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6F02F" w14:textId="0D5C1790" w:rsidR="005C78FF" w:rsidRDefault="000223C4">
      <w:pPr>
        <w:rPr>
          <w:b/>
          <w:sz w:val="32"/>
          <w:szCs w:val="32"/>
        </w:rPr>
      </w:pPr>
      <w:r>
        <w:rPr>
          <w:b/>
          <w:sz w:val="32"/>
          <w:szCs w:val="32"/>
        </w:rPr>
        <w:t> Principles to apply to a SASG Retail C</w:t>
      </w:r>
      <w:r w:rsidR="00FA31E7">
        <w:rPr>
          <w:b/>
          <w:sz w:val="32"/>
          <w:szCs w:val="32"/>
        </w:rPr>
        <w:t>ontract</w:t>
      </w:r>
    </w:p>
    <w:tbl>
      <w:tblPr>
        <w:tblW w:w="0" w:type="auto"/>
        <w:tblCellMar>
          <w:left w:w="0" w:type="dxa"/>
          <w:right w:w="0" w:type="dxa"/>
        </w:tblCellMar>
        <w:tblLook w:val="04A0" w:firstRow="1" w:lastRow="0" w:firstColumn="1" w:lastColumn="0" w:noHBand="0" w:noVBand="1"/>
      </w:tblPr>
      <w:tblGrid>
        <w:gridCol w:w="2116"/>
        <w:gridCol w:w="7126"/>
      </w:tblGrid>
      <w:tr w:rsidR="005C78FF" w14:paraId="288925AA" w14:textId="77777777">
        <w:tc>
          <w:tcPr>
            <w:tcW w:w="2119"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484912D1" w14:textId="77777777" w:rsidR="005C78FF" w:rsidRDefault="00FA31E7">
            <w:r>
              <w:rPr>
                <w:b/>
                <w:bCs/>
              </w:rPr>
              <w:t>Concept</w:t>
            </w:r>
          </w:p>
        </w:tc>
        <w:tc>
          <w:tcPr>
            <w:tcW w:w="7231" w:type="dxa"/>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hideMark/>
          </w:tcPr>
          <w:p w14:paraId="3663AA4D" w14:textId="77777777" w:rsidR="005C78FF" w:rsidRDefault="00FA31E7">
            <w:r>
              <w:rPr>
                <w:b/>
                <w:bCs/>
              </w:rPr>
              <w:t>Principles</w:t>
            </w:r>
          </w:p>
        </w:tc>
      </w:tr>
      <w:tr w:rsidR="005C78FF" w14:paraId="7B412EC5" w14:textId="77777777">
        <w:tc>
          <w:tcPr>
            <w:tcW w:w="21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076AE7F" w14:textId="77777777" w:rsidR="005C78FF" w:rsidRDefault="00FA31E7">
            <w:r>
              <w:t>SASG Scheme</w:t>
            </w:r>
          </w:p>
        </w:tc>
        <w:tc>
          <w:tcPr>
            <w:tcW w:w="7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410F967" w14:textId="77777777" w:rsidR="005C78FF" w:rsidRDefault="00FA31E7">
            <w:r>
              <w:t>Include short explanation of scheme and that Customer agrees to participate in the scheme in accordance with the terms of this agreement and any other documentation and terms entered between the Customer and the relevant SASG Group.</w:t>
            </w:r>
          </w:p>
          <w:p w14:paraId="2A3CD842" w14:textId="77777777" w:rsidR="005C78FF" w:rsidRDefault="00FA31E7">
            <w:r>
              <w:t>Participation in the SASG Scheme is subject to the Customer paying the relevant membership fees and registration/documentation with the relevant SASG Group.</w:t>
            </w:r>
          </w:p>
        </w:tc>
      </w:tr>
      <w:tr w:rsidR="005C78FF" w14:paraId="5D6E5EEB" w14:textId="77777777">
        <w:tc>
          <w:tcPr>
            <w:tcW w:w="21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AC30C2" w14:textId="77777777" w:rsidR="005C78FF" w:rsidRDefault="00FA31E7">
            <w:r>
              <w:t>Pricing</w:t>
            </w:r>
          </w:p>
        </w:tc>
        <w:tc>
          <w:tcPr>
            <w:tcW w:w="7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ED7393F" w14:textId="77777777" w:rsidR="005C78FF" w:rsidRDefault="00FA31E7">
            <w:r>
              <w:t>Include explanation and pricing terms for SASG specific charges:</w:t>
            </w:r>
          </w:p>
          <w:p w14:paraId="08F4E567" w14:textId="526E576D" w:rsidR="00045172" w:rsidRPr="00045172" w:rsidRDefault="00045172" w:rsidP="00EB6AA5">
            <w:pPr>
              <w:pStyle w:val="ListParagraph"/>
              <w:numPr>
                <w:ilvl w:val="0"/>
                <w:numId w:val="1"/>
              </w:numPr>
            </w:pPr>
            <w:r w:rsidRPr="00045172">
              <w:rPr>
                <w:b/>
              </w:rPr>
              <w:t>Benefit Charge</w:t>
            </w:r>
            <w:r>
              <w:rPr>
                <w:rFonts w:ascii="Calibri" w:hAnsi="Calibri" w:cs="Calibri"/>
                <w:color w:val="222222"/>
              </w:rPr>
              <w:t xml:space="preserve"> (from retailer to Customer) </w:t>
            </w:r>
            <w:r>
              <w:rPr>
                <w:rFonts w:ascii="Calibri" w:hAnsi="Calibri" w:cs="Calibri"/>
                <w:color w:val="222222"/>
              </w:rPr>
              <w:br/>
            </w:r>
            <w:proofErr w:type="gramStart"/>
            <w:r>
              <w:rPr>
                <w:rFonts w:ascii="Calibri" w:hAnsi="Calibri" w:cs="Calibri"/>
                <w:color w:val="222222"/>
              </w:rPr>
              <w:t>This</w:t>
            </w:r>
            <w:proofErr w:type="gramEnd"/>
            <w:r>
              <w:rPr>
                <w:rFonts w:ascii="Calibri" w:hAnsi="Calibri" w:cs="Calibri"/>
                <w:color w:val="222222"/>
              </w:rPr>
              <w:t xml:space="preserve"> is the charge applied for electricity co-incident with generation from the customer’s share of the solar farm, and is equal to applicable pass through charges (network charges, market and environmental fees), plus any applicable retailer margin to cover billing costs. </w:t>
            </w:r>
            <w:r>
              <w:rPr>
                <w:rFonts w:ascii="Calibri" w:hAnsi="Calibri" w:cs="Calibri"/>
                <w:color w:val="222222"/>
              </w:rPr>
              <w:br/>
            </w:r>
            <w:bookmarkStart w:id="0" w:name="_GoBack"/>
            <w:bookmarkEnd w:id="0"/>
          </w:p>
          <w:p w14:paraId="48C940CA" w14:textId="3611577E" w:rsidR="005C78FF" w:rsidRDefault="00FA31E7" w:rsidP="00EB6AA5">
            <w:pPr>
              <w:pStyle w:val="ListParagraph"/>
              <w:numPr>
                <w:ilvl w:val="0"/>
                <w:numId w:val="1"/>
              </w:numPr>
            </w:pPr>
            <w:r w:rsidRPr="00EB6AA5">
              <w:rPr>
                <w:b/>
              </w:rPr>
              <w:t xml:space="preserve">FiT </w:t>
            </w:r>
            <w:r>
              <w:rPr>
                <w:b/>
              </w:rPr>
              <w:t>Payment</w:t>
            </w:r>
            <w:r>
              <w:t xml:space="preserve"> (to be paid by retailer to Customer)</w:t>
            </w:r>
            <w:r>
              <w:br/>
              <w:t xml:space="preserve">This is the customer ‘feed-in tariff’ payment calculated for generation from the customer’s share of the solar farm which is in excess of consumption at the customer premises. </w:t>
            </w:r>
          </w:p>
          <w:p w14:paraId="6BC77207" w14:textId="77777777" w:rsidR="005C78FF" w:rsidRDefault="00FA31E7">
            <w:r>
              <w:t xml:space="preserve">Specific charges should be in a schedule. Note: SASGs and retailers may choose different terms for these charges. </w:t>
            </w:r>
          </w:p>
        </w:tc>
      </w:tr>
      <w:tr w:rsidR="005C78FF" w14:paraId="1F028EBE" w14:textId="77777777">
        <w:tc>
          <w:tcPr>
            <w:tcW w:w="21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3C3842" w14:textId="77777777" w:rsidR="005C78FF" w:rsidRDefault="00FA31E7">
            <w:r>
              <w:t>Billing</w:t>
            </w:r>
          </w:p>
        </w:tc>
        <w:tc>
          <w:tcPr>
            <w:tcW w:w="7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747227B" w14:textId="77777777" w:rsidR="005C78FF" w:rsidRDefault="00FA31E7">
            <w:r>
              <w:t>Include statement that SASG charges will be provided in the standard bill (as required) and calculated in accordance with the terms of this agreement.</w:t>
            </w:r>
          </w:p>
        </w:tc>
      </w:tr>
      <w:tr w:rsidR="005C78FF" w14:paraId="55F262B0" w14:textId="77777777">
        <w:tc>
          <w:tcPr>
            <w:tcW w:w="21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02AE27E" w14:textId="77777777" w:rsidR="005C78FF" w:rsidRDefault="00FA31E7">
            <w:r>
              <w:t>Confidentiality/ Privacy/Information</w:t>
            </w:r>
          </w:p>
        </w:tc>
        <w:tc>
          <w:tcPr>
            <w:tcW w:w="7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83FE2F3" w14:textId="77777777" w:rsidR="005C78FF" w:rsidRDefault="00FA31E7">
            <w:r>
              <w:t xml:space="preserve">Subject to any relevant privacy policy/Privacy Act, Customer gives consent for the Retailer to share relevant information about the Customer (including electricity usage and data) with SASG Group as part of participation in the SASG Scheme. Upon termination of the Customer’s participation in the SASG Scheme such consent will be withdrawn. </w:t>
            </w:r>
          </w:p>
        </w:tc>
      </w:tr>
      <w:tr w:rsidR="005C78FF" w14:paraId="237206F6" w14:textId="77777777">
        <w:tc>
          <w:tcPr>
            <w:tcW w:w="21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EC0CEAE" w14:textId="77777777" w:rsidR="005C78FF" w:rsidRDefault="00FA31E7">
            <w:r>
              <w:t>Termination</w:t>
            </w:r>
          </w:p>
        </w:tc>
        <w:tc>
          <w:tcPr>
            <w:tcW w:w="7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5C5D3C2" w14:textId="77777777" w:rsidR="005C78FF" w:rsidRDefault="00FA31E7">
            <w:r>
              <w:t>Customer may terminate participation in the SASG Scheme by:</w:t>
            </w:r>
          </w:p>
          <w:p w14:paraId="21599E8F" w14:textId="77777777" w:rsidR="005C78FF" w:rsidRDefault="00FA31E7">
            <w:r>
              <w:t>-        Terminating membership with the relevant SASG Group in accordance with membership terms (information regarding how Customer can give up their share of the SASG will be included in the SASG Group membership terms);</w:t>
            </w:r>
          </w:p>
          <w:p w14:paraId="062488B4" w14:textId="77777777" w:rsidR="005C78FF" w:rsidRDefault="00FA31E7">
            <w:r>
              <w:t>-        Giving notice to retailer of terminated membership with the relevant SASG Group;</w:t>
            </w:r>
          </w:p>
          <w:p w14:paraId="429D1012" w14:textId="77777777" w:rsidR="005C78FF" w:rsidRDefault="00FA31E7">
            <w:r>
              <w:t xml:space="preserve">-        Termination of this agreement in accordance with its terms. </w:t>
            </w:r>
          </w:p>
          <w:p w14:paraId="71995C2C" w14:textId="4C9562FE" w:rsidR="005C78FF" w:rsidRDefault="00FA31E7">
            <w:r>
              <w:t>Membership in SASG Group will not be transferrable to another retailer.</w:t>
            </w:r>
          </w:p>
        </w:tc>
      </w:tr>
    </w:tbl>
    <w:p w14:paraId="4844680A" w14:textId="5E7BA3DF" w:rsidR="005C78FF" w:rsidRDefault="00FA31E7">
      <w:r>
        <w:t> </w:t>
      </w:r>
    </w:p>
    <w:sectPr w:rsidR="005C78F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E9475" w16cid:durableId="1F7B32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14B6"/>
    <w:multiLevelType w:val="hybridMultilevel"/>
    <w:tmpl w:val="6426A16E"/>
    <w:lvl w:ilvl="0" w:tplc="F2EA94E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FF"/>
    <w:rsid w:val="000223C4"/>
    <w:rsid w:val="00045172"/>
    <w:rsid w:val="005C78FF"/>
    <w:rsid w:val="009626CE"/>
    <w:rsid w:val="00B02967"/>
    <w:rsid w:val="00EB6AA5"/>
    <w:rsid w:val="00FA3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4F3A"/>
  <w15:docId w15:val="{BD639298-805A-46DD-A32A-738593C2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pPr>
      <w:spacing w:before="240" w:after="0" w:line="240" w:lineRule="auto"/>
    </w:pPr>
    <w:rPr>
      <w:rFonts w:ascii="Arial" w:eastAsia="Times New Roman" w:hAnsi="Arial" w:cs="Times New Roman"/>
      <w:sz w:val="20"/>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04361">
      <w:bodyDiv w:val="1"/>
      <w:marLeft w:val="0"/>
      <w:marRight w:val="0"/>
      <w:marTop w:val="0"/>
      <w:marBottom w:val="0"/>
      <w:divBdr>
        <w:top w:val="none" w:sz="0" w:space="0" w:color="auto"/>
        <w:left w:val="none" w:sz="0" w:space="0" w:color="auto"/>
        <w:bottom w:val="none" w:sz="0" w:space="0" w:color="auto"/>
        <w:right w:val="none" w:sz="0" w:space="0" w:color="auto"/>
      </w:divBdr>
    </w:div>
    <w:div w:id="19217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9BC7-2F2C-4718-8DAD-E8EBCE54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Noble</dc:creator>
  <cp:keywords/>
  <dc:description/>
  <cp:lastModifiedBy>Elizabeth Noble</cp:lastModifiedBy>
  <cp:revision>4</cp:revision>
  <dcterms:created xsi:type="dcterms:W3CDTF">2018-10-26T04:17:00Z</dcterms:created>
  <dcterms:modified xsi:type="dcterms:W3CDTF">2018-10-30T01:31:00Z</dcterms:modified>
</cp:coreProperties>
</file>