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27691372"/>
        <w:docPartObj>
          <w:docPartGallery w:val="Cover Pages"/>
          <w:docPartUnique/>
        </w:docPartObj>
      </w:sdtPr>
      <w:sdtEndPr/>
      <w:sdtContent>
        <w:p w14:paraId="6F98CD2C" w14:textId="2DF68C95" w:rsidR="00433B15" w:rsidRDefault="00547CEC" w:rsidP="00D25C93">
          <w:pPr>
            <w:jc w:val="right"/>
          </w:pPr>
          <w:r>
            <w:rPr>
              <w:noProof/>
            </w:rPr>
            <w:drawing>
              <wp:anchor distT="0" distB="0" distL="114300" distR="114300" simplePos="0" relativeHeight="251658249" behindDoc="0" locked="0" layoutInCell="1" allowOverlap="1" wp14:anchorId="6DEF3E54" wp14:editId="1564ACF8">
                <wp:simplePos x="0" y="0"/>
                <wp:positionH relativeFrom="page">
                  <wp:posOffset>-88900</wp:posOffset>
                </wp:positionH>
                <wp:positionV relativeFrom="page">
                  <wp:posOffset>444500</wp:posOffset>
                </wp:positionV>
                <wp:extent cx="7683311" cy="9917634"/>
                <wp:effectExtent l="0" t="0" r="635" b="1270"/>
                <wp:wrapThrough wrapText="bothSides">
                  <wp:wrapPolygon edited="0">
                    <wp:start x="0" y="0"/>
                    <wp:lineTo x="0" y="21575"/>
                    <wp:lineTo x="21566" y="21575"/>
                    <wp:lineTo x="21566" y="0"/>
                    <wp:lineTo x="0" y="0"/>
                  </wp:wrapPolygon>
                </wp:wrapThrough>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06413" cy="9947455"/>
                        </a:xfrm>
                        <a:prstGeom prst="rect">
                          <a:avLst/>
                        </a:prstGeom>
                      </pic:spPr>
                    </pic:pic>
                  </a:graphicData>
                </a:graphic>
                <wp14:sizeRelH relativeFrom="margin">
                  <wp14:pctWidth>0</wp14:pctWidth>
                </wp14:sizeRelH>
                <wp14:sizeRelV relativeFrom="margin">
                  <wp14:pctHeight>0</wp14:pctHeight>
                </wp14:sizeRelV>
              </wp:anchor>
            </w:drawing>
          </w:r>
        </w:p>
        <w:p w14:paraId="54040A98" w14:textId="77777777" w:rsidR="00433B15" w:rsidRDefault="00B01FD9"/>
      </w:sdtContent>
    </w:sdt>
    <w:p w14:paraId="3A173B91" w14:textId="6934079E" w:rsidR="00570928" w:rsidRPr="00393EE9" w:rsidRDefault="00570928" w:rsidP="00393EE9">
      <w:pPr>
        <w:rPr>
          <w:color w:val="0000FF" w:themeColor="accent1"/>
          <w:sz w:val="44"/>
          <w:szCs w:val="44"/>
        </w:rPr>
      </w:pPr>
      <w:r w:rsidRPr="00393EE9">
        <w:rPr>
          <w:color w:val="0000FF" w:themeColor="accent1"/>
          <w:sz w:val="44"/>
          <w:szCs w:val="44"/>
        </w:rPr>
        <w:t xml:space="preserve">The </w:t>
      </w:r>
      <w:r w:rsidR="0521331F" w:rsidRPr="00393EE9">
        <w:rPr>
          <w:color w:val="0000FF" w:themeColor="accent1"/>
          <w:sz w:val="44"/>
          <w:szCs w:val="44"/>
        </w:rPr>
        <w:t>Enforcement of Telecommunications Consumer Protections</w:t>
      </w:r>
    </w:p>
    <w:p w14:paraId="2854F50E" w14:textId="77777777" w:rsidR="00570928" w:rsidRDefault="00570928" w:rsidP="00570928">
      <w:pPr>
        <w:pStyle w:val="Title"/>
        <w:rPr>
          <w:color w:val="104BEB"/>
        </w:rPr>
      </w:pPr>
    </w:p>
    <w:p w14:paraId="5492EE9E" w14:textId="77777777" w:rsidR="000078D1" w:rsidRPr="00677F60" w:rsidRDefault="000078D1" w:rsidP="00677F60">
      <w:pPr>
        <w:pStyle w:val="Heading2"/>
        <w:rPr>
          <w:rFonts w:cs="Arial"/>
          <w:lang w:eastAsia="en-AU"/>
        </w:rPr>
      </w:pPr>
    </w:p>
    <w:p w14:paraId="23D8F60C" w14:textId="4DDA2809" w:rsidR="000078D1" w:rsidRPr="00C01B09" w:rsidRDefault="000078D1" w:rsidP="00C01B09">
      <w:pPr>
        <w:rPr>
          <w:sz w:val="30"/>
          <w:szCs w:val="30"/>
        </w:rPr>
      </w:pPr>
      <w:bookmarkStart w:id="1" w:name="_Toc98187482"/>
      <w:bookmarkStart w:id="2" w:name="_Toc98856430"/>
      <w:r w:rsidRPr="00C01B09">
        <w:rPr>
          <w:sz w:val="30"/>
          <w:szCs w:val="30"/>
        </w:rPr>
        <w:t>About the Centre for Media Transition</w:t>
      </w:r>
      <w:bookmarkEnd w:id="1"/>
      <w:bookmarkEnd w:id="2"/>
      <w:r w:rsidRPr="00C01B09">
        <w:rPr>
          <w:sz w:val="30"/>
          <w:szCs w:val="30"/>
        </w:rPr>
        <w:t xml:space="preserve"> </w:t>
      </w:r>
    </w:p>
    <w:p w14:paraId="7544B543" w14:textId="77777777" w:rsidR="000078D1" w:rsidRPr="00A827EA" w:rsidRDefault="000078D1" w:rsidP="000078D1">
      <w:pPr>
        <w:pStyle w:val="BodyText"/>
        <w:rPr>
          <w:rFonts w:eastAsia="Calibri"/>
          <w:sz w:val="18"/>
          <w:szCs w:val="18"/>
        </w:rPr>
      </w:pPr>
      <w:r w:rsidRPr="00A827EA">
        <w:rPr>
          <w:rFonts w:eastAsia="Calibri"/>
          <w:sz w:val="18"/>
          <w:szCs w:val="18"/>
        </w:rPr>
        <w:t xml:space="preserve">The Centre for Media Transition (CMT) is an applied research unit based at the University of Technology Sydney (UTS). Launched in 2017, the CMT is an interdisciplinary initiative of the Faculty of Arts and Social Sciences and the Faculty of Law. </w:t>
      </w:r>
    </w:p>
    <w:p w14:paraId="67EAC253" w14:textId="77777777" w:rsidR="000078D1" w:rsidRPr="00A827EA" w:rsidRDefault="000078D1" w:rsidP="000078D1">
      <w:pPr>
        <w:pStyle w:val="BodyText"/>
        <w:rPr>
          <w:rFonts w:eastAsia="Calibri"/>
          <w:sz w:val="18"/>
          <w:szCs w:val="18"/>
        </w:rPr>
      </w:pPr>
      <w:r w:rsidRPr="00A827EA">
        <w:rPr>
          <w:rFonts w:eastAsia="Calibri"/>
          <w:sz w:val="18"/>
          <w:szCs w:val="18"/>
        </w:rPr>
        <w:t>CMT works across disciplines to explore and develop responses to the dramatic and ongoing movements wrought by digital disruption to the media industry, the role of journalism in Australian democracy and the world more widely, and the business models that support a diverse and prosperous industry.</w:t>
      </w:r>
    </w:p>
    <w:p w14:paraId="496E4BDD" w14:textId="77777777" w:rsidR="002043CE" w:rsidRDefault="002043CE" w:rsidP="000078D1">
      <w:pPr>
        <w:pStyle w:val="BodyText"/>
        <w:rPr>
          <w:rFonts w:eastAsia="Calibri"/>
          <w:sz w:val="18"/>
          <w:szCs w:val="18"/>
        </w:rPr>
      </w:pPr>
    </w:p>
    <w:p w14:paraId="342DD513" w14:textId="1261B520" w:rsidR="000078D1" w:rsidRPr="00A827EA" w:rsidRDefault="000078D1" w:rsidP="000078D1">
      <w:pPr>
        <w:pStyle w:val="BodyText"/>
        <w:rPr>
          <w:rFonts w:eastAsia="Calibri"/>
          <w:sz w:val="18"/>
          <w:szCs w:val="18"/>
        </w:rPr>
      </w:pPr>
      <w:r w:rsidRPr="00A827EA">
        <w:rPr>
          <w:rFonts w:eastAsia="Calibri"/>
          <w:sz w:val="18"/>
          <w:szCs w:val="18"/>
        </w:rPr>
        <w:t>CONTACT</w:t>
      </w:r>
    </w:p>
    <w:p w14:paraId="5D541B75" w14:textId="77777777" w:rsidR="000078D1" w:rsidRPr="00A827EA" w:rsidRDefault="000078D1" w:rsidP="000078D1">
      <w:pPr>
        <w:pStyle w:val="BodyText"/>
        <w:jc w:val="left"/>
        <w:rPr>
          <w:rFonts w:eastAsia="Calibri"/>
          <w:sz w:val="18"/>
          <w:szCs w:val="18"/>
        </w:rPr>
      </w:pPr>
      <w:r w:rsidRPr="00A827EA">
        <w:rPr>
          <w:rFonts w:eastAsia="Calibri"/>
          <w:sz w:val="18"/>
          <w:szCs w:val="18"/>
        </w:rPr>
        <w:t>Centre for Media Transition</w:t>
      </w:r>
      <w:r w:rsidRPr="00A827EA">
        <w:rPr>
          <w:rFonts w:eastAsia="Calibri"/>
          <w:sz w:val="18"/>
          <w:szCs w:val="18"/>
        </w:rPr>
        <w:br/>
        <w:t>Faculty of Law, University of Technology Sydney</w:t>
      </w:r>
      <w:r w:rsidRPr="00A827EA">
        <w:rPr>
          <w:rFonts w:eastAsia="Calibri"/>
          <w:sz w:val="18"/>
          <w:szCs w:val="18"/>
        </w:rPr>
        <w:br/>
        <w:t xml:space="preserve">Building 2, Level 15        </w:t>
      </w:r>
      <w:r w:rsidRPr="00A827EA">
        <w:rPr>
          <w:rFonts w:eastAsia="Calibri"/>
          <w:sz w:val="18"/>
          <w:szCs w:val="18"/>
        </w:rPr>
        <w:br/>
        <w:t>UTS City Campus, Broadway</w:t>
      </w:r>
      <w:r w:rsidRPr="00A827EA">
        <w:rPr>
          <w:rFonts w:eastAsia="Calibri"/>
          <w:sz w:val="18"/>
          <w:szCs w:val="18"/>
        </w:rPr>
        <w:br/>
        <w:t xml:space="preserve">PO Box 123, Broadway NSW 2007 </w:t>
      </w:r>
    </w:p>
    <w:p w14:paraId="7EAE445F" w14:textId="77777777" w:rsidR="000078D1" w:rsidRPr="00A827EA" w:rsidRDefault="00B01FD9" w:rsidP="000078D1">
      <w:pPr>
        <w:pStyle w:val="BodyText"/>
        <w:jc w:val="left"/>
        <w:rPr>
          <w:sz w:val="18"/>
          <w:szCs w:val="18"/>
        </w:rPr>
      </w:pPr>
      <w:hyperlink r:id="rId12" w:history="1">
        <w:r w:rsidR="00B85CD9" w:rsidRPr="00085E23">
          <w:rPr>
            <w:rStyle w:val="Hyperlink"/>
            <w:rFonts w:eastAsia="Calibri"/>
            <w:sz w:val="18"/>
            <w:szCs w:val="18"/>
          </w:rPr>
          <w:t>cmt@uts.edu.au</w:t>
        </w:r>
      </w:hyperlink>
      <w:r w:rsidR="00B85CD9">
        <w:rPr>
          <w:rFonts w:eastAsia="Calibri"/>
          <w:sz w:val="18"/>
          <w:szCs w:val="18"/>
        </w:rPr>
        <w:t xml:space="preserve"> | </w:t>
      </w:r>
      <w:hyperlink r:id="rId13">
        <w:r w:rsidR="000078D1" w:rsidRPr="00A827EA">
          <w:rPr>
            <w:rFonts w:eastAsia="Calibri"/>
            <w:sz w:val="18"/>
            <w:szCs w:val="18"/>
          </w:rPr>
          <w:t>cmt.uts.edu.au</w:t>
        </w:r>
      </w:hyperlink>
    </w:p>
    <w:p w14:paraId="7E81EDCA" w14:textId="77777777" w:rsidR="000078D1" w:rsidRPr="00A827EA" w:rsidRDefault="000078D1" w:rsidP="000078D1">
      <w:pPr>
        <w:pStyle w:val="BodyText"/>
        <w:rPr>
          <w:rFonts w:eastAsia="Calibri"/>
          <w:sz w:val="18"/>
          <w:szCs w:val="18"/>
        </w:rPr>
      </w:pPr>
    </w:p>
    <w:p w14:paraId="598C5332" w14:textId="50C5F3C0" w:rsidR="000078D1" w:rsidRPr="00A827EA" w:rsidRDefault="000078D1" w:rsidP="000078D1">
      <w:pPr>
        <w:pStyle w:val="BodyText"/>
        <w:rPr>
          <w:rFonts w:eastAsia="Calibri"/>
          <w:sz w:val="18"/>
          <w:szCs w:val="18"/>
        </w:rPr>
      </w:pPr>
      <w:r w:rsidRPr="00A827EA">
        <w:rPr>
          <w:rFonts w:eastAsia="Calibri"/>
          <w:sz w:val="18"/>
          <w:szCs w:val="18"/>
        </w:rPr>
        <w:t>This report was written by Karen Lee (ORCID 0000-0002-9640-221X), Derek Wilding (ORCID 0000-0002-7806-8895), Kieran Lindsay</w:t>
      </w:r>
      <w:r w:rsidR="00C342AB">
        <w:rPr>
          <w:rFonts w:eastAsia="Calibri"/>
          <w:sz w:val="18"/>
          <w:szCs w:val="18"/>
        </w:rPr>
        <w:t xml:space="preserve"> (</w:t>
      </w:r>
      <w:r w:rsidR="00976A43">
        <w:rPr>
          <w:rFonts w:eastAsia="Calibri"/>
          <w:sz w:val="18"/>
          <w:szCs w:val="18"/>
        </w:rPr>
        <w:t xml:space="preserve">ORCID </w:t>
      </w:r>
      <w:r w:rsidR="00FC4C36" w:rsidRPr="00FC4C36">
        <w:rPr>
          <w:rFonts w:eastAsia="Calibri"/>
          <w:sz w:val="18"/>
          <w:szCs w:val="18"/>
        </w:rPr>
        <w:t>0000-0002-1624-7679</w:t>
      </w:r>
      <w:r w:rsidR="00C342AB">
        <w:rPr>
          <w:rFonts w:eastAsia="Calibri"/>
          <w:sz w:val="18"/>
          <w:szCs w:val="18"/>
        </w:rPr>
        <w:t>)</w:t>
      </w:r>
      <w:r w:rsidRPr="00A827EA">
        <w:rPr>
          <w:rFonts w:eastAsia="Calibri"/>
          <w:sz w:val="18"/>
          <w:szCs w:val="18"/>
        </w:rPr>
        <w:t xml:space="preserve"> and Vidya Kathirgamalingam. Report design and production by Rosa Alice.</w:t>
      </w:r>
    </w:p>
    <w:p w14:paraId="776085E5" w14:textId="77777777" w:rsidR="000078D1" w:rsidRPr="00A827EA" w:rsidRDefault="000078D1" w:rsidP="000078D1">
      <w:pPr>
        <w:pStyle w:val="BodyText"/>
        <w:rPr>
          <w:sz w:val="18"/>
          <w:szCs w:val="18"/>
        </w:rPr>
      </w:pPr>
      <w:r w:rsidRPr="74495BF9">
        <w:rPr>
          <w:sz w:val="18"/>
          <w:szCs w:val="18"/>
        </w:rPr>
        <w:t xml:space="preserve">The research was commissioned by the Australian Communications Consumer Action Network (ACCAN).  The operation of ACCAN is made possible by funding provided by the Commonwealth of Australia under section 593 of the </w:t>
      </w:r>
      <w:r w:rsidRPr="00A827EA">
        <w:rPr>
          <w:i/>
          <w:sz w:val="18"/>
          <w:szCs w:val="18"/>
        </w:rPr>
        <w:t>Telecommunications Act 1997</w:t>
      </w:r>
      <w:r w:rsidRPr="74495BF9">
        <w:rPr>
          <w:sz w:val="18"/>
          <w:szCs w:val="18"/>
        </w:rPr>
        <w:t xml:space="preserve">. This funding is recovered from charges on telecommunications carriers. </w:t>
      </w:r>
    </w:p>
    <w:p w14:paraId="45FF7234" w14:textId="0041FB87" w:rsidR="00707F0E" w:rsidRDefault="00520AC6" w:rsidP="000078D1">
      <w:pPr>
        <w:pStyle w:val="BodyText"/>
        <w:rPr>
          <w:sz w:val="18"/>
          <w:szCs w:val="18"/>
        </w:rPr>
      </w:pPr>
      <w:r>
        <w:rPr>
          <w:sz w:val="18"/>
          <w:szCs w:val="18"/>
        </w:rPr>
        <w:t>S</w:t>
      </w:r>
      <w:r w:rsidR="1509E66F" w:rsidRPr="7F461801">
        <w:rPr>
          <w:sz w:val="18"/>
          <w:szCs w:val="18"/>
        </w:rPr>
        <w:t xml:space="preserve">taff </w:t>
      </w:r>
      <w:r>
        <w:rPr>
          <w:sz w:val="18"/>
          <w:szCs w:val="18"/>
        </w:rPr>
        <w:t>from the Australian Communications and Media</w:t>
      </w:r>
      <w:r w:rsidR="00107E3F">
        <w:rPr>
          <w:sz w:val="18"/>
          <w:szCs w:val="18"/>
        </w:rPr>
        <w:t xml:space="preserve"> </w:t>
      </w:r>
      <w:r>
        <w:rPr>
          <w:sz w:val="18"/>
          <w:szCs w:val="18"/>
        </w:rPr>
        <w:t>Authority</w:t>
      </w:r>
      <w:r w:rsidR="00107E3F">
        <w:rPr>
          <w:sz w:val="18"/>
          <w:szCs w:val="18"/>
        </w:rPr>
        <w:t xml:space="preserve"> </w:t>
      </w:r>
      <w:r w:rsidR="50002900" w:rsidRPr="7F461801">
        <w:rPr>
          <w:sz w:val="18"/>
          <w:szCs w:val="18"/>
        </w:rPr>
        <w:t xml:space="preserve">provided comments on </w:t>
      </w:r>
      <w:r w:rsidR="299F7BAC" w:rsidRPr="7F461801">
        <w:rPr>
          <w:sz w:val="18"/>
          <w:szCs w:val="18"/>
        </w:rPr>
        <w:t xml:space="preserve">an </w:t>
      </w:r>
      <w:r w:rsidR="50002900" w:rsidRPr="00707F0E">
        <w:rPr>
          <w:sz w:val="18"/>
          <w:szCs w:val="18"/>
        </w:rPr>
        <w:t>earlier draft</w:t>
      </w:r>
      <w:r w:rsidR="50002900" w:rsidRPr="7F461801">
        <w:rPr>
          <w:sz w:val="18"/>
          <w:szCs w:val="18"/>
        </w:rPr>
        <w:t xml:space="preserve"> of this report </w:t>
      </w:r>
      <w:r w:rsidR="14E00159" w:rsidRPr="7F461801">
        <w:rPr>
          <w:sz w:val="18"/>
          <w:szCs w:val="18"/>
        </w:rPr>
        <w:t xml:space="preserve">for which we are grateful. </w:t>
      </w:r>
      <w:r w:rsidR="2F2820BC" w:rsidRPr="7F461801">
        <w:rPr>
          <w:sz w:val="18"/>
          <w:szCs w:val="18"/>
        </w:rPr>
        <w:t>Any errors in th</w:t>
      </w:r>
      <w:r w:rsidR="7EC383C2" w:rsidRPr="7F461801">
        <w:rPr>
          <w:sz w:val="18"/>
          <w:szCs w:val="18"/>
        </w:rPr>
        <w:t xml:space="preserve">is final </w:t>
      </w:r>
      <w:r w:rsidR="2F2820BC" w:rsidRPr="7F461801">
        <w:rPr>
          <w:sz w:val="18"/>
          <w:szCs w:val="18"/>
        </w:rPr>
        <w:t>report are our own</w:t>
      </w:r>
      <w:r w:rsidR="29EDF3B8" w:rsidRPr="7F461801">
        <w:rPr>
          <w:sz w:val="18"/>
          <w:szCs w:val="18"/>
        </w:rPr>
        <w:t>.</w:t>
      </w:r>
    </w:p>
    <w:p w14:paraId="4CFD8F23" w14:textId="1EC6C1EB" w:rsidR="000078D1" w:rsidRPr="00A827EA" w:rsidRDefault="0F561A30" w:rsidP="000078D1">
      <w:pPr>
        <w:pStyle w:val="BodyText"/>
        <w:rPr>
          <w:rFonts w:eastAsia="Calibri"/>
          <w:sz w:val="18"/>
          <w:szCs w:val="18"/>
        </w:rPr>
      </w:pPr>
      <w:r w:rsidRPr="7EFE6C20">
        <w:rPr>
          <w:rFonts w:eastAsia="Calibri"/>
          <w:b/>
          <w:bCs/>
          <w:sz w:val="18"/>
          <w:szCs w:val="18"/>
        </w:rPr>
        <w:t>Suggested citation</w:t>
      </w:r>
      <w:r w:rsidRPr="7EFE6C20">
        <w:rPr>
          <w:rFonts w:eastAsia="Calibri"/>
          <w:sz w:val="18"/>
          <w:szCs w:val="18"/>
        </w:rPr>
        <w:t xml:space="preserve">: Karen Lee, Derek Wilding, Kieran Lindsay &amp; Vidya Kathirgamalingam, </w:t>
      </w:r>
      <w:r w:rsidR="3C948054" w:rsidRPr="7EFE6C20">
        <w:rPr>
          <w:rFonts w:eastAsia="Calibri"/>
          <w:i/>
          <w:iCs/>
          <w:sz w:val="18"/>
          <w:szCs w:val="18"/>
        </w:rPr>
        <w:t xml:space="preserve">The </w:t>
      </w:r>
      <w:r w:rsidRPr="7EFE6C20">
        <w:rPr>
          <w:rFonts w:eastAsia="Calibri"/>
          <w:i/>
          <w:iCs/>
          <w:sz w:val="18"/>
          <w:szCs w:val="18"/>
        </w:rPr>
        <w:t>Enforcement of Telecommunications Consumer Protections</w:t>
      </w:r>
      <w:r w:rsidRPr="7EFE6C20">
        <w:rPr>
          <w:rFonts w:eastAsia="Calibri"/>
          <w:sz w:val="18"/>
          <w:szCs w:val="18"/>
        </w:rPr>
        <w:t xml:space="preserve"> (UTS Centre for Media Transition, 202</w:t>
      </w:r>
      <w:r w:rsidR="0091615B">
        <w:rPr>
          <w:rFonts w:eastAsia="Calibri"/>
          <w:sz w:val="18"/>
          <w:szCs w:val="18"/>
        </w:rPr>
        <w:t>4</w:t>
      </w:r>
      <w:r w:rsidRPr="7EFE6C20">
        <w:rPr>
          <w:rFonts w:eastAsia="Calibri"/>
          <w:sz w:val="18"/>
          <w:szCs w:val="18"/>
        </w:rPr>
        <w:t>).</w:t>
      </w:r>
    </w:p>
    <w:p w14:paraId="36690FC0" w14:textId="77777777" w:rsidR="000078D1" w:rsidRPr="00A827EA" w:rsidRDefault="000078D1" w:rsidP="000078D1">
      <w:pPr>
        <w:pStyle w:val="BodyText"/>
        <w:rPr>
          <w:rFonts w:eastAsia="Calibri"/>
          <w:sz w:val="18"/>
          <w:szCs w:val="18"/>
        </w:rPr>
      </w:pPr>
    </w:p>
    <w:p w14:paraId="778E1103" w14:textId="3F14AEFB" w:rsidR="000078D1" w:rsidRPr="00A827EA" w:rsidRDefault="000078D1" w:rsidP="000078D1">
      <w:pPr>
        <w:pStyle w:val="BodyText"/>
        <w:rPr>
          <w:rFonts w:eastAsia="Calibri"/>
          <w:sz w:val="18"/>
          <w:szCs w:val="18"/>
        </w:rPr>
      </w:pPr>
      <w:r w:rsidRPr="00A827EA">
        <w:rPr>
          <w:rFonts w:eastAsia="Calibri"/>
          <w:sz w:val="18"/>
          <w:szCs w:val="18"/>
        </w:rPr>
        <w:t>DOI:</w:t>
      </w:r>
      <w:r w:rsidR="00456F9A">
        <w:rPr>
          <w:rFonts w:eastAsia="Calibri"/>
          <w:sz w:val="18"/>
          <w:szCs w:val="18"/>
        </w:rPr>
        <w:t xml:space="preserve"> 10.6084</w:t>
      </w:r>
      <w:r w:rsidR="007A5C84">
        <w:rPr>
          <w:rFonts w:eastAsia="Calibri"/>
          <w:sz w:val="18"/>
          <w:szCs w:val="18"/>
        </w:rPr>
        <w:t>/m</w:t>
      </w:r>
      <w:r w:rsidR="00415334">
        <w:rPr>
          <w:rFonts w:eastAsia="Calibri"/>
          <w:sz w:val="18"/>
          <w:szCs w:val="18"/>
        </w:rPr>
        <w:t>9.figshare.25241806</w:t>
      </w:r>
    </w:p>
    <w:p w14:paraId="202F9F3F" w14:textId="77777777" w:rsidR="000078D1" w:rsidRPr="00A827EA" w:rsidRDefault="000078D1" w:rsidP="000078D1">
      <w:pPr>
        <w:pStyle w:val="BodyText"/>
        <w:rPr>
          <w:rFonts w:eastAsia="Calibri"/>
          <w:sz w:val="18"/>
          <w:szCs w:val="18"/>
        </w:rPr>
      </w:pPr>
      <w:r w:rsidRPr="00A827EA">
        <w:rPr>
          <w:noProof/>
          <w:sz w:val="18"/>
          <w:szCs w:val="18"/>
        </w:rPr>
        <w:drawing>
          <wp:anchor distT="0" distB="0" distL="114300" distR="114300" simplePos="0" relativeHeight="251658247" behindDoc="1" locked="0" layoutInCell="1" allowOverlap="1" wp14:anchorId="49CC606A" wp14:editId="67111522">
            <wp:simplePos x="0" y="0"/>
            <wp:positionH relativeFrom="column">
              <wp:posOffset>0</wp:posOffset>
            </wp:positionH>
            <wp:positionV relativeFrom="paragraph">
              <wp:posOffset>5715</wp:posOffset>
            </wp:positionV>
            <wp:extent cx="1252855" cy="438150"/>
            <wp:effectExtent l="0" t="0" r="4445" b="0"/>
            <wp:wrapTight wrapText="bothSides">
              <wp:wrapPolygon edited="0">
                <wp:start x="0" y="0"/>
                <wp:lineTo x="0" y="20661"/>
                <wp:lineTo x="21348" y="20661"/>
                <wp:lineTo x="21348" y="0"/>
                <wp:lineTo x="0" y="0"/>
              </wp:wrapPolygon>
            </wp:wrapTight>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2855" cy="438150"/>
                    </a:xfrm>
                    <a:prstGeom prst="rect">
                      <a:avLst/>
                    </a:prstGeom>
                    <a:noFill/>
                    <a:ln>
                      <a:noFill/>
                    </a:ln>
                  </pic:spPr>
                </pic:pic>
              </a:graphicData>
            </a:graphic>
          </wp:anchor>
        </w:drawing>
      </w:r>
      <w:r w:rsidRPr="00A827EA">
        <w:rPr>
          <w:rFonts w:eastAsia="Calibri"/>
          <w:sz w:val="18"/>
          <w:szCs w:val="18"/>
        </w:rPr>
        <w:t>This work is licensed under the Creative Commons Attribution-Non-Commercial-ShareAlike 4.0 International License. To view a copy of this license, visit: https://creativecommons.org/licenses/by-nc-sa/4.0/</w:t>
      </w:r>
    </w:p>
    <w:p w14:paraId="5DFCF0CD" w14:textId="77777777" w:rsidR="000078D1" w:rsidRPr="00A827EA" w:rsidRDefault="000078D1" w:rsidP="000078D1">
      <w:pPr>
        <w:rPr>
          <w:sz w:val="18"/>
          <w:szCs w:val="18"/>
        </w:rPr>
      </w:pPr>
    </w:p>
    <w:p w14:paraId="4BAEDC29" w14:textId="77777777" w:rsidR="000078D1" w:rsidRPr="000078D1" w:rsidRDefault="000078D1" w:rsidP="000078D1"/>
    <w:p w14:paraId="7D0E1D1E" w14:textId="77777777" w:rsidR="0053586F" w:rsidRDefault="0053586F"/>
    <w:p w14:paraId="49788B89" w14:textId="483A48EB" w:rsidR="0053586F" w:rsidRDefault="0053586F">
      <w:r>
        <w:br w:type="page"/>
      </w:r>
    </w:p>
    <w:p w14:paraId="4D05BCD2" w14:textId="11A78A1D" w:rsidR="0053586F" w:rsidRPr="002B147B" w:rsidRDefault="0053586F" w:rsidP="0053586F">
      <w:pPr>
        <w:rPr>
          <w:rFonts w:cs="Arial"/>
          <w:noProof/>
          <w:color w:val="0F4BFF"/>
          <w:sz w:val="44"/>
          <w:szCs w:val="44"/>
        </w:rPr>
      </w:pPr>
      <w:r w:rsidRPr="002B147B">
        <w:rPr>
          <w:rFonts w:cs="Arial"/>
          <w:noProof/>
          <w:color w:val="0F4BEB"/>
          <w:sz w:val="44"/>
          <w:szCs w:val="44"/>
        </w:rPr>
        <w:lastRenderedPageBreak/>
        <w:t>Contents</w:t>
      </w:r>
    </w:p>
    <w:p w14:paraId="46B7A75C" w14:textId="5C9E7F7D" w:rsidR="00F60F3D" w:rsidRDefault="00381200">
      <w:pPr>
        <w:pStyle w:val="TOC1"/>
        <w:rPr>
          <w:rFonts w:asciiTheme="minorHAnsi" w:eastAsiaTheme="minorEastAsia" w:hAnsiTheme="minorHAnsi"/>
          <w:bCs w:val="0"/>
          <w:caps w:val="0"/>
          <w:color w:val="auto"/>
          <w:kern w:val="2"/>
          <w:lang w:eastAsia="en-AU"/>
          <w14:ligatures w14:val="standardContextual"/>
        </w:rPr>
      </w:pPr>
      <w:r w:rsidRPr="7C087036">
        <w:rPr>
          <w:rFonts w:ascii="Arial" w:hAnsi="Arial" w:cs="Arial"/>
        </w:rPr>
        <w:fldChar w:fldCharType="begin"/>
      </w:r>
      <w:r w:rsidRPr="00111982">
        <w:rPr>
          <w:rFonts w:ascii="Arial" w:hAnsi="Arial" w:cs="Arial"/>
        </w:rPr>
        <w:instrText xml:space="preserve"> TOC \o "1-3" \u </w:instrText>
      </w:r>
      <w:r w:rsidRPr="7C087036">
        <w:rPr>
          <w:rFonts w:ascii="Arial" w:hAnsi="Arial" w:cs="Arial"/>
        </w:rPr>
        <w:fldChar w:fldCharType="separate"/>
      </w:r>
      <w:r w:rsidR="00F60F3D">
        <w:t>Executive Summary</w:t>
      </w:r>
      <w:r w:rsidR="00F60F3D">
        <w:tab/>
      </w:r>
      <w:r w:rsidR="00F60F3D">
        <w:fldChar w:fldCharType="begin"/>
      </w:r>
      <w:r w:rsidR="00F60F3D">
        <w:instrText xml:space="preserve"> PAGEREF _Toc161836145 \h </w:instrText>
      </w:r>
      <w:r w:rsidR="00F60F3D">
        <w:fldChar w:fldCharType="separate"/>
      </w:r>
      <w:r w:rsidR="00F60F3D">
        <w:t>5</w:t>
      </w:r>
      <w:r w:rsidR="00F60F3D">
        <w:fldChar w:fldCharType="end"/>
      </w:r>
    </w:p>
    <w:p w14:paraId="0E9C462C" w14:textId="279597B1" w:rsidR="00F60F3D" w:rsidRDefault="00F60F3D">
      <w:pPr>
        <w:pStyle w:val="TOC1"/>
        <w:rPr>
          <w:rFonts w:asciiTheme="minorHAnsi" w:eastAsiaTheme="minorEastAsia" w:hAnsiTheme="minorHAnsi"/>
          <w:bCs w:val="0"/>
          <w:caps w:val="0"/>
          <w:color w:val="auto"/>
          <w:kern w:val="2"/>
          <w:lang w:eastAsia="en-AU"/>
          <w14:ligatures w14:val="standardContextual"/>
        </w:rPr>
      </w:pPr>
      <w:r>
        <w:t>Introduction</w:t>
      </w:r>
      <w:r>
        <w:tab/>
      </w:r>
      <w:r>
        <w:fldChar w:fldCharType="begin"/>
      </w:r>
      <w:r>
        <w:instrText xml:space="preserve"> PAGEREF _Toc161836146 \h </w:instrText>
      </w:r>
      <w:r>
        <w:fldChar w:fldCharType="separate"/>
      </w:r>
      <w:r>
        <w:t>8</w:t>
      </w:r>
      <w:r>
        <w:fldChar w:fldCharType="end"/>
      </w:r>
    </w:p>
    <w:p w14:paraId="1C3CBFFB" w14:textId="65884DE4" w:rsidR="00F60F3D" w:rsidRDefault="00F60F3D">
      <w:pPr>
        <w:pStyle w:val="TOC1"/>
        <w:rPr>
          <w:rFonts w:asciiTheme="minorHAnsi" w:eastAsiaTheme="minorEastAsia" w:hAnsiTheme="minorHAnsi"/>
          <w:bCs w:val="0"/>
          <w:caps w:val="0"/>
          <w:color w:val="auto"/>
          <w:kern w:val="2"/>
          <w:lang w:eastAsia="en-AU"/>
          <w14:ligatures w14:val="standardContextual"/>
        </w:rPr>
      </w:pPr>
      <w:r>
        <w:t>1</w:t>
      </w:r>
      <w:r>
        <w:rPr>
          <w:rFonts w:asciiTheme="minorHAnsi" w:eastAsiaTheme="minorEastAsia" w:hAnsiTheme="minorHAnsi"/>
          <w:bCs w:val="0"/>
          <w:caps w:val="0"/>
          <w:color w:val="auto"/>
          <w:kern w:val="2"/>
          <w:lang w:eastAsia="en-AU"/>
          <w14:ligatures w14:val="standardContextual"/>
        </w:rPr>
        <w:tab/>
      </w:r>
      <w:r>
        <w:t>Responsive and Risk-based Regulation</w:t>
      </w:r>
      <w:r>
        <w:tab/>
      </w:r>
      <w:r>
        <w:fldChar w:fldCharType="begin"/>
      </w:r>
      <w:r>
        <w:instrText xml:space="preserve"> PAGEREF _Toc161836147 \h </w:instrText>
      </w:r>
      <w:r>
        <w:fldChar w:fldCharType="separate"/>
      </w:r>
      <w:r>
        <w:t>11</w:t>
      </w:r>
      <w:r>
        <w:fldChar w:fldCharType="end"/>
      </w:r>
    </w:p>
    <w:p w14:paraId="619DCA49" w14:textId="251B82B6"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 xml:space="preserve">A </w:t>
      </w:r>
      <w:r>
        <w:rPr>
          <w:rFonts w:asciiTheme="minorHAnsi" w:eastAsiaTheme="minorEastAsia" w:hAnsiTheme="minorHAnsi" w:cstheme="minorBidi"/>
          <w:b w:val="0"/>
          <w:bCs w:val="0"/>
          <w:noProof/>
          <w:kern w:val="2"/>
          <w:sz w:val="24"/>
          <w:szCs w:val="24"/>
          <w:lang w:eastAsia="en-AU"/>
          <w14:ligatures w14:val="standardContextual"/>
        </w:rPr>
        <w:tab/>
      </w:r>
      <w:r>
        <w:rPr>
          <w:noProof/>
        </w:rPr>
        <w:t>Responsive Regulation</w:t>
      </w:r>
      <w:r>
        <w:rPr>
          <w:noProof/>
        </w:rPr>
        <w:tab/>
      </w:r>
      <w:r>
        <w:rPr>
          <w:noProof/>
        </w:rPr>
        <w:fldChar w:fldCharType="begin"/>
      </w:r>
      <w:r>
        <w:rPr>
          <w:noProof/>
        </w:rPr>
        <w:instrText xml:space="preserve"> PAGEREF _Toc161836148 \h </w:instrText>
      </w:r>
      <w:r>
        <w:rPr>
          <w:noProof/>
        </w:rPr>
      </w:r>
      <w:r>
        <w:rPr>
          <w:noProof/>
        </w:rPr>
        <w:fldChar w:fldCharType="separate"/>
      </w:r>
      <w:r>
        <w:rPr>
          <w:noProof/>
        </w:rPr>
        <w:t>11</w:t>
      </w:r>
      <w:r>
        <w:rPr>
          <w:noProof/>
        </w:rPr>
        <w:fldChar w:fldCharType="end"/>
      </w:r>
    </w:p>
    <w:p w14:paraId="7D664502" w14:textId="584653FD"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1</w:t>
      </w:r>
      <w:r>
        <w:rPr>
          <w:rFonts w:asciiTheme="minorHAnsi" w:eastAsiaTheme="minorEastAsia" w:hAnsiTheme="minorHAnsi" w:cstheme="minorBidi"/>
          <w:noProof/>
          <w:kern w:val="2"/>
          <w:sz w:val="24"/>
          <w:szCs w:val="24"/>
          <w:lang w:eastAsia="en-AU"/>
          <w14:ligatures w14:val="standardContextual"/>
        </w:rPr>
        <w:tab/>
      </w:r>
      <w:r>
        <w:rPr>
          <w:noProof/>
        </w:rPr>
        <w:t>Some Criticisms of Responsive Regulation</w:t>
      </w:r>
      <w:r>
        <w:rPr>
          <w:noProof/>
        </w:rPr>
        <w:tab/>
      </w:r>
      <w:r>
        <w:rPr>
          <w:noProof/>
        </w:rPr>
        <w:fldChar w:fldCharType="begin"/>
      </w:r>
      <w:r>
        <w:rPr>
          <w:noProof/>
        </w:rPr>
        <w:instrText xml:space="preserve"> PAGEREF _Toc161836149 \h </w:instrText>
      </w:r>
      <w:r>
        <w:rPr>
          <w:noProof/>
        </w:rPr>
      </w:r>
      <w:r>
        <w:rPr>
          <w:noProof/>
        </w:rPr>
        <w:fldChar w:fldCharType="separate"/>
      </w:r>
      <w:r>
        <w:rPr>
          <w:noProof/>
        </w:rPr>
        <w:t>13</w:t>
      </w:r>
      <w:r>
        <w:rPr>
          <w:noProof/>
        </w:rPr>
        <w:fldChar w:fldCharType="end"/>
      </w:r>
    </w:p>
    <w:p w14:paraId="57724C8B" w14:textId="559EF867"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2</w:t>
      </w:r>
      <w:r>
        <w:rPr>
          <w:rFonts w:asciiTheme="minorHAnsi" w:eastAsiaTheme="minorEastAsia" w:hAnsiTheme="minorHAnsi" w:cstheme="minorBidi"/>
          <w:noProof/>
          <w:kern w:val="2"/>
          <w:sz w:val="24"/>
          <w:szCs w:val="24"/>
          <w:lang w:eastAsia="en-AU"/>
          <w14:ligatures w14:val="standardContextual"/>
        </w:rPr>
        <w:tab/>
      </w:r>
      <w:r>
        <w:rPr>
          <w:noProof/>
        </w:rPr>
        <w:t>What Makes Regulators ‘Responsive’?</w:t>
      </w:r>
      <w:r>
        <w:rPr>
          <w:noProof/>
        </w:rPr>
        <w:tab/>
      </w:r>
      <w:r>
        <w:rPr>
          <w:noProof/>
        </w:rPr>
        <w:fldChar w:fldCharType="begin"/>
      </w:r>
      <w:r>
        <w:rPr>
          <w:noProof/>
        </w:rPr>
        <w:instrText xml:space="preserve"> PAGEREF _Toc161836150 \h </w:instrText>
      </w:r>
      <w:r>
        <w:rPr>
          <w:noProof/>
        </w:rPr>
      </w:r>
      <w:r>
        <w:rPr>
          <w:noProof/>
        </w:rPr>
        <w:fldChar w:fldCharType="separate"/>
      </w:r>
      <w:r>
        <w:rPr>
          <w:noProof/>
        </w:rPr>
        <w:t>14</w:t>
      </w:r>
      <w:r>
        <w:rPr>
          <w:noProof/>
        </w:rPr>
        <w:fldChar w:fldCharType="end"/>
      </w:r>
    </w:p>
    <w:p w14:paraId="56EF6336" w14:textId="7826148D"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3</w:t>
      </w:r>
      <w:r>
        <w:rPr>
          <w:rFonts w:asciiTheme="minorHAnsi" w:eastAsiaTheme="minorEastAsia" w:hAnsiTheme="minorHAnsi" w:cstheme="minorBidi"/>
          <w:noProof/>
          <w:kern w:val="2"/>
          <w:sz w:val="24"/>
          <w:szCs w:val="24"/>
          <w:lang w:eastAsia="en-AU"/>
          <w14:ligatures w14:val="standardContextual"/>
        </w:rPr>
        <w:tab/>
      </w:r>
      <w:r>
        <w:rPr>
          <w:noProof/>
        </w:rPr>
        <w:t>The Strengths-based Pyramid</w:t>
      </w:r>
      <w:r>
        <w:rPr>
          <w:noProof/>
        </w:rPr>
        <w:tab/>
      </w:r>
      <w:r>
        <w:rPr>
          <w:noProof/>
        </w:rPr>
        <w:fldChar w:fldCharType="begin"/>
      </w:r>
      <w:r>
        <w:rPr>
          <w:noProof/>
        </w:rPr>
        <w:instrText xml:space="preserve"> PAGEREF _Toc161836151 \h </w:instrText>
      </w:r>
      <w:r>
        <w:rPr>
          <w:noProof/>
        </w:rPr>
      </w:r>
      <w:r>
        <w:rPr>
          <w:noProof/>
        </w:rPr>
        <w:fldChar w:fldCharType="separate"/>
      </w:r>
      <w:r>
        <w:rPr>
          <w:noProof/>
        </w:rPr>
        <w:t>16</w:t>
      </w:r>
      <w:r>
        <w:rPr>
          <w:noProof/>
        </w:rPr>
        <w:fldChar w:fldCharType="end"/>
      </w:r>
    </w:p>
    <w:p w14:paraId="38BDEBFB" w14:textId="72039F94"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 xml:space="preserve">B </w:t>
      </w:r>
      <w:r>
        <w:rPr>
          <w:rFonts w:asciiTheme="minorHAnsi" w:eastAsiaTheme="minorEastAsia" w:hAnsiTheme="minorHAnsi" w:cstheme="minorBidi"/>
          <w:b w:val="0"/>
          <w:bCs w:val="0"/>
          <w:noProof/>
          <w:kern w:val="2"/>
          <w:sz w:val="24"/>
          <w:szCs w:val="24"/>
          <w:lang w:eastAsia="en-AU"/>
          <w14:ligatures w14:val="standardContextual"/>
        </w:rPr>
        <w:tab/>
      </w:r>
      <w:r>
        <w:rPr>
          <w:noProof/>
        </w:rPr>
        <w:t>Risk-based Regulation</w:t>
      </w:r>
      <w:r>
        <w:rPr>
          <w:noProof/>
        </w:rPr>
        <w:tab/>
      </w:r>
      <w:r>
        <w:rPr>
          <w:noProof/>
        </w:rPr>
        <w:fldChar w:fldCharType="begin"/>
      </w:r>
      <w:r>
        <w:rPr>
          <w:noProof/>
        </w:rPr>
        <w:instrText xml:space="preserve"> PAGEREF _Toc161836152 \h </w:instrText>
      </w:r>
      <w:r>
        <w:rPr>
          <w:noProof/>
        </w:rPr>
      </w:r>
      <w:r>
        <w:rPr>
          <w:noProof/>
        </w:rPr>
        <w:fldChar w:fldCharType="separate"/>
      </w:r>
      <w:r>
        <w:rPr>
          <w:noProof/>
        </w:rPr>
        <w:t>17</w:t>
      </w:r>
      <w:r>
        <w:rPr>
          <w:noProof/>
        </w:rPr>
        <w:fldChar w:fldCharType="end"/>
      </w:r>
    </w:p>
    <w:p w14:paraId="6912BC18" w14:textId="282786AC" w:rsidR="00F60F3D" w:rsidRDefault="00F60F3D">
      <w:pPr>
        <w:pStyle w:val="TOC1"/>
        <w:rPr>
          <w:rFonts w:asciiTheme="minorHAnsi" w:eastAsiaTheme="minorEastAsia" w:hAnsiTheme="minorHAnsi"/>
          <w:bCs w:val="0"/>
          <w:caps w:val="0"/>
          <w:color w:val="auto"/>
          <w:kern w:val="2"/>
          <w:lang w:eastAsia="en-AU"/>
          <w14:ligatures w14:val="standardContextual"/>
        </w:rPr>
      </w:pPr>
      <w:r>
        <w:t>2</w:t>
      </w:r>
      <w:r>
        <w:rPr>
          <w:rFonts w:asciiTheme="minorHAnsi" w:eastAsiaTheme="minorEastAsia" w:hAnsiTheme="minorHAnsi"/>
          <w:bCs w:val="0"/>
          <w:caps w:val="0"/>
          <w:color w:val="auto"/>
          <w:kern w:val="2"/>
          <w:lang w:eastAsia="en-AU"/>
          <w14:ligatures w14:val="standardContextual"/>
        </w:rPr>
        <w:tab/>
      </w:r>
      <w:r>
        <w:t>Enforcement Mechanisms</w:t>
      </w:r>
      <w:r>
        <w:tab/>
      </w:r>
      <w:r>
        <w:fldChar w:fldCharType="begin"/>
      </w:r>
      <w:r>
        <w:instrText xml:space="preserve"> PAGEREF _Toc161836153 \h </w:instrText>
      </w:r>
      <w:r>
        <w:fldChar w:fldCharType="separate"/>
      </w:r>
      <w:r>
        <w:t>19</w:t>
      </w:r>
      <w:r>
        <w:fldChar w:fldCharType="end"/>
      </w:r>
    </w:p>
    <w:p w14:paraId="0EC6E29A" w14:textId="2DCADA18"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A</w:t>
      </w:r>
      <w:r>
        <w:rPr>
          <w:rFonts w:asciiTheme="minorHAnsi" w:eastAsiaTheme="minorEastAsia" w:hAnsiTheme="minorHAnsi" w:cstheme="minorBidi"/>
          <w:b w:val="0"/>
          <w:bCs w:val="0"/>
          <w:noProof/>
          <w:kern w:val="2"/>
          <w:sz w:val="24"/>
          <w:szCs w:val="24"/>
          <w:lang w:eastAsia="en-AU"/>
          <w14:ligatures w14:val="standardContextual"/>
        </w:rPr>
        <w:tab/>
      </w:r>
      <w:r>
        <w:rPr>
          <w:noProof/>
        </w:rPr>
        <w:t>Categorising Penalties</w:t>
      </w:r>
      <w:r>
        <w:rPr>
          <w:noProof/>
        </w:rPr>
        <w:tab/>
      </w:r>
      <w:r>
        <w:rPr>
          <w:noProof/>
        </w:rPr>
        <w:fldChar w:fldCharType="begin"/>
      </w:r>
      <w:r>
        <w:rPr>
          <w:noProof/>
        </w:rPr>
        <w:instrText xml:space="preserve"> PAGEREF _Toc161836154 \h </w:instrText>
      </w:r>
      <w:r>
        <w:rPr>
          <w:noProof/>
        </w:rPr>
      </w:r>
      <w:r>
        <w:rPr>
          <w:noProof/>
        </w:rPr>
        <w:fldChar w:fldCharType="separate"/>
      </w:r>
      <w:r>
        <w:rPr>
          <w:noProof/>
        </w:rPr>
        <w:t>19</w:t>
      </w:r>
      <w:r>
        <w:rPr>
          <w:noProof/>
        </w:rPr>
        <w:fldChar w:fldCharType="end"/>
      </w:r>
    </w:p>
    <w:p w14:paraId="7EEFE769" w14:textId="3E8F326A"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B</w:t>
      </w:r>
      <w:r>
        <w:rPr>
          <w:rFonts w:asciiTheme="minorHAnsi" w:eastAsiaTheme="minorEastAsia" w:hAnsiTheme="minorHAnsi" w:cstheme="minorBidi"/>
          <w:b w:val="0"/>
          <w:bCs w:val="0"/>
          <w:noProof/>
          <w:kern w:val="2"/>
          <w:sz w:val="24"/>
          <w:szCs w:val="24"/>
          <w:lang w:eastAsia="en-AU"/>
          <w14:ligatures w14:val="standardContextual"/>
        </w:rPr>
        <w:tab/>
      </w:r>
      <w:r>
        <w:rPr>
          <w:noProof/>
        </w:rPr>
        <w:t>The ACMA’s Enforcement Mechanisms</w:t>
      </w:r>
      <w:r>
        <w:rPr>
          <w:noProof/>
        </w:rPr>
        <w:tab/>
      </w:r>
      <w:r>
        <w:rPr>
          <w:noProof/>
        </w:rPr>
        <w:fldChar w:fldCharType="begin"/>
      </w:r>
      <w:r>
        <w:rPr>
          <w:noProof/>
        </w:rPr>
        <w:instrText xml:space="preserve"> PAGEREF _Toc161836155 \h </w:instrText>
      </w:r>
      <w:r>
        <w:rPr>
          <w:noProof/>
        </w:rPr>
      </w:r>
      <w:r>
        <w:rPr>
          <w:noProof/>
        </w:rPr>
        <w:fldChar w:fldCharType="separate"/>
      </w:r>
      <w:r>
        <w:rPr>
          <w:noProof/>
        </w:rPr>
        <w:t>20</w:t>
      </w:r>
      <w:r>
        <w:rPr>
          <w:noProof/>
        </w:rPr>
        <w:fldChar w:fldCharType="end"/>
      </w:r>
    </w:p>
    <w:p w14:paraId="548DB38F" w14:textId="3044200B"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1</w:t>
      </w:r>
      <w:r>
        <w:rPr>
          <w:rFonts w:asciiTheme="minorHAnsi" w:eastAsiaTheme="minorEastAsia" w:hAnsiTheme="minorHAnsi" w:cstheme="minorBidi"/>
          <w:noProof/>
          <w:kern w:val="2"/>
          <w:sz w:val="24"/>
          <w:szCs w:val="24"/>
          <w:lang w:eastAsia="en-AU"/>
          <w14:ligatures w14:val="standardContextual"/>
        </w:rPr>
        <w:tab/>
      </w:r>
      <w:r>
        <w:rPr>
          <w:noProof/>
        </w:rPr>
        <w:t>Administrative Mechanisms</w:t>
      </w:r>
      <w:r>
        <w:rPr>
          <w:noProof/>
        </w:rPr>
        <w:tab/>
      </w:r>
      <w:r>
        <w:rPr>
          <w:noProof/>
        </w:rPr>
        <w:fldChar w:fldCharType="begin"/>
      </w:r>
      <w:r>
        <w:rPr>
          <w:noProof/>
        </w:rPr>
        <w:instrText xml:space="preserve"> PAGEREF _Toc161836156 \h </w:instrText>
      </w:r>
      <w:r>
        <w:rPr>
          <w:noProof/>
        </w:rPr>
      </w:r>
      <w:r>
        <w:rPr>
          <w:noProof/>
        </w:rPr>
        <w:fldChar w:fldCharType="separate"/>
      </w:r>
      <w:r>
        <w:rPr>
          <w:noProof/>
        </w:rPr>
        <w:t>20</w:t>
      </w:r>
      <w:r>
        <w:rPr>
          <w:noProof/>
        </w:rPr>
        <w:fldChar w:fldCharType="end"/>
      </w:r>
    </w:p>
    <w:p w14:paraId="5B2E5E13" w14:textId="6E17E83D"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2</w:t>
      </w:r>
      <w:r>
        <w:rPr>
          <w:rFonts w:asciiTheme="minorHAnsi" w:eastAsiaTheme="minorEastAsia" w:hAnsiTheme="minorHAnsi" w:cstheme="minorBidi"/>
          <w:noProof/>
          <w:kern w:val="2"/>
          <w:sz w:val="24"/>
          <w:szCs w:val="24"/>
          <w:lang w:eastAsia="en-AU"/>
          <w14:ligatures w14:val="standardContextual"/>
        </w:rPr>
        <w:tab/>
      </w:r>
      <w:r>
        <w:rPr>
          <w:noProof/>
        </w:rPr>
        <w:t>Civil Mechanisms</w:t>
      </w:r>
      <w:r>
        <w:rPr>
          <w:noProof/>
        </w:rPr>
        <w:tab/>
      </w:r>
      <w:r>
        <w:rPr>
          <w:noProof/>
        </w:rPr>
        <w:fldChar w:fldCharType="begin"/>
      </w:r>
      <w:r>
        <w:rPr>
          <w:noProof/>
        </w:rPr>
        <w:instrText xml:space="preserve"> PAGEREF _Toc161836157 \h </w:instrText>
      </w:r>
      <w:r>
        <w:rPr>
          <w:noProof/>
        </w:rPr>
      </w:r>
      <w:r>
        <w:rPr>
          <w:noProof/>
        </w:rPr>
        <w:fldChar w:fldCharType="separate"/>
      </w:r>
      <w:r>
        <w:rPr>
          <w:noProof/>
        </w:rPr>
        <w:t>23</w:t>
      </w:r>
      <w:r>
        <w:rPr>
          <w:noProof/>
        </w:rPr>
        <w:fldChar w:fldCharType="end"/>
      </w:r>
    </w:p>
    <w:p w14:paraId="1CDBD2AD" w14:textId="1E610585"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3</w:t>
      </w:r>
      <w:r>
        <w:rPr>
          <w:rFonts w:asciiTheme="minorHAnsi" w:eastAsiaTheme="minorEastAsia" w:hAnsiTheme="minorHAnsi" w:cstheme="minorBidi"/>
          <w:noProof/>
          <w:kern w:val="2"/>
          <w:sz w:val="24"/>
          <w:szCs w:val="24"/>
          <w:lang w:eastAsia="en-AU"/>
          <w14:ligatures w14:val="standardContextual"/>
        </w:rPr>
        <w:tab/>
      </w:r>
      <w:r>
        <w:rPr>
          <w:noProof/>
        </w:rPr>
        <w:t>Criminal Mechanisms</w:t>
      </w:r>
      <w:r>
        <w:rPr>
          <w:noProof/>
        </w:rPr>
        <w:tab/>
      </w:r>
      <w:r>
        <w:rPr>
          <w:noProof/>
        </w:rPr>
        <w:fldChar w:fldCharType="begin"/>
      </w:r>
      <w:r>
        <w:rPr>
          <w:noProof/>
        </w:rPr>
        <w:instrText xml:space="preserve"> PAGEREF _Toc161836158 \h </w:instrText>
      </w:r>
      <w:r>
        <w:rPr>
          <w:noProof/>
        </w:rPr>
      </w:r>
      <w:r>
        <w:rPr>
          <w:noProof/>
        </w:rPr>
        <w:fldChar w:fldCharType="separate"/>
      </w:r>
      <w:r>
        <w:rPr>
          <w:noProof/>
        </w:rPr>
        <w:t>24</w:t>
      </w:r>
      <w:r>
        <w:rPr>
          <w:noProof/>
        </w:rPr>
        <w:fldChar w:fldCharType="end"/>
      </w:r>
    </w:p>
    <w:p w14:paraId="382DED2C" w14:textId="32F5C9C3"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4</w:t>
      </w:r>
      <w:r>
        <w:rPr>
          <w:rFonts w:asciiTheme="minorHAnsi" w:eastAsiaTheme="minorEastAsia" w:hAnsiTheme="minorHAnsi" w:cstheme="minorBidi"/>
          <w:noProof/>
          <w:kern w:val="2"/>
          <w:sz w:val="24"/>
          <w:szCs w:val="24"/>
          <w:lang w:eastAsia="en-AU"/>
          <w14:ligatures w14:val="standardContextual"/>
        </w:rPr>
        <w:tab/>
      </w:r>
      <w:r>
        <w:rPr>
          <w:noProof/>
        </w:rPr>
        <w:t>Enforceable Undertakings</w:t>
      </w:r>
      <w:r>
        <w:rPr>
          <w:noProof/>
        </w:rPr>
        <w:tab/>
      </w:r>
      <w:r>
        <w:rPr>
          <w:noProof/>
        </w:rPr>
        <w:fldChar w:fldCharType="begin"/>
      </w:r>
      <w:r>
        <w:rPr>
          <w:noProof/>
        </w:rPr>
        <w:instrText xml:space="preserve"> PAGEREF _Toc161836159 \h </w:instrText>
      </w:r>
      <w:r>
        <w:rPr>
          <w:noProof/>
        </w:rPr>
      </w:r>
      <w:r>
        <w:rPr>
          <w:noProof/>
        </w:rPr>
        <w:fldChar w:fldCharType="separate"/>
      </w:r>
      <w:r>
        <w:rPr>
          <w:noProof/>
        </w:rPr>
        <w:t>25</w:t>
      </w:r>
      <w:r>
        <w:rPr>
          <w:noProof/>
        </w:rPr>
        <w:fldChar w:fldCharType="end"/>
      </w:r>
    </w:p>
    <w:p w14:paraId="54F07EE9" w14:textId="65AEABF1"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C</w:t>
      </w:r>
      <w:r>
        <w:rPr>
          <w:rFonts w:asciiTheme="minorHAnsi" w:eastAsiaTheme="minorEastAsia" w:hAnsiTheme="minorHAnsi" w:cstheme="minorBidi"/>
          <w:b w:val="0"/>
          <w:bCs w:val="0"/>
          <w:noProof/>
          <w:kern w:val="2"/>
          <w:sz w:val="24"/>
          <w:szCs w:val="24"/>
          <w:lang w:eastAsia="en-AU"/>
          <w14:ligatures w14:val="standardContextual"/>
        </w:rPr>
        <w:tab/>
      </w:r>
      <w:r>
        <w:rPr>
          <w:noProof/>
        </w:rPr>
        <w:t>Which Mechanisms May be Used When?</w:t>
      </w:r>
      <w:r>
        <w:rPr>
          <w:noProof/>
        </w:rPr>
        <w:tab/>
      </w:r>
      <w:r>
        <w:rPr>
          <w:noProof/>
        </w:rPr>
        <w:fldChar w:fldCharType="begin"/>
      </w:r>
      <w:r>
        <w:rPr>
          <w:noProof/>
        </w:rPr>
        <w:instrText xml:space="preserve"> PAGEREF _Toc161836160 \h </w:instrText>
      </w:r>
      <w:r>
        <w:rPr>
          <w:noProof/>
        </w:rPr>
      </w:r>
      <w:r>
        <w:rPr>
          <w:noProof/>
        </w:rPr>
        <w:fldChar w:fldCharType="separate"/>
      </w:r>
      <w:r>
        <w:rPr>
          <w:noProof/>
        </w:rPr>
        <w:t>26</w:t>
      </w:r>
      <w:r>
        <w:rPr>
          <w:noProof/>
        </w:rPr>
        <w:fldChar w:fldCharType="end"/>
      </w:r>
    </w:p>
    <w:p w14:paraId="294186E4" w14:textId="4D9AF79F"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1</w:t>
      </w:r>
      <w:r>
        <w:rPr>
          <w:rFonts w:asciiTheme="minorHAnsi" w:eastAsiaTheme="minorEastAsia" w:hAnsiTheme="minorHAnsi" w:cstheme="minorBidi"/>
          <w:noProof/>
          <w:kern w:val="2"/>
          <w:sz w:val="24"/>
          <w:szCs w:val="24"/>
          <w:lang w:eastAsia="en-AU"/>
          <w14:ligatures w14:val="standardContextual"/>
        </w:rPr>
        <w:tab/>
      </w:r>
      <w:r>
        <w:rPr>
          <w:noProof/>
        </w:rPr>
        <w:t>Industry Codes</w:t>
      </w:r>
      <w:r>
        <w:rPr>
          <w:noProof/>
        </w:rPr>
        <w:tab/>
      </w:r>
      <w:r>
        <w:rPr>
          <w:noProof/>
        </w:rPr>
        <w:fldChar w:fldCharType="begin"/>
      </w:r>
      <w:r>
        <w:rPr>
          <w:noProof/>
        </w:rPr>
        <w:instrText xml:space="preserve"> PAGEREF _Toc161836161 \h </w:instrText>
      </w:r>
      <w:r>
        <w:rPr>
          <w:noProof/>
        </w:rPr>
      </w:r>
      <w:r>
        <w:rPr>
          <w:noProof/>
        </w:rPr>
        <w:fldChar w:fldCharType="separate"/>
      </w:r>
      <w:r>
        <w:rPr>
          <w:noProof/>
        </w:rPr>
        <w:t>26</w:t>
      </w:r>
      <w:r>
        <w:rPr>
          <w:noProof/>
        </w:rPr>
        <w:fldChar w:fldCharType="end"/>
      </w:r>
    </w:p>
    <w:p w14:paraId="51E08EED" w14:textId="41ECF5D8"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2</w:t>
      </w:r>
      <w:r>
        <w:rPr>
          <w:rFonts w:asciiTheme="minorHAnsi" w:eastAsiaTheme="minorEastAsia" w:hAnsiTheme="minorHAnsi" w:cstheme="minorBidi"/>
          <w:noProof/>
          <w:kern w:val="2"/>
          <w:sz w:val="24"/>
          <w:szCs w:val="24"/>
          <w:lang w:eastAsia="en-AU"/>
          <w14:ligatures w14:val="standardContextual"/>
        </w:rPr>
        <w:tab/>
      </w:r>
      <w:r>
        <w:rPr>
          <w:noProof/>
        </w:rPr>
        <w:t>Industry Standards</w:t>
      </w:r>
      <w:r>
        <w:rPr>
          <w:noProof/>
        </w:rPr>
        <w:tab/>
      </w:r>
      <w:r>
        <w:rPr>
          <w:noProof/>
        </w:rPr>
        <w:fldChar w:fldCharType="begin"/>
      </w:r>
      <w:r>
        <w:rPr>
          <w:noProof/>
        </w:rPr>
        <w:instrText xml:space="preserve"> PAGEREF _Toc161836162 \h </w:instrText>
      </w:r>
      <w:r>
        <w:rPr>
          <w:noProof/>
        </w:rPr>
      </w:r>
      <w:r>
        <w:rPr>
          <w:noProof/>
        </w:rPr>
        <w:fldChar w:fldCharType="separate"/>
      </w:r>
      <w:r>
        <w:rPr>
          <w:noProof/>
        </w:rPr>
        <w:t>28</w:t>
      </w:r>
      <w:r>
        <w:rPr>
          <w:noProof/>
        </w:rPr>
        <w:fldChar w:fldCharType="end"/>
      </w:r>
    </w:p>
    <w:p w14:paraId="2ED7F97C" w14:textId="45C72016"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3</w:t>
      </w:r>
      <w:r>
        <w:rPr>
          <w:rFonts w:asciiTheme="minorHAnsi" w:eastAsiaTheme="minorEastAsia" w:hAnsiTheme="minorHAnsi" w:cstheme="minorBidi"/>
          <w:noProof/>
          <w:kern w:val="2"/>
          <w:sz w:val="24"/>
          <w:szCs w:val="24"/>
          <w:lang w:eastAsia="en-AU"/>
          <w14:ligatures w14:val="standardContextual"/>
        </w:rPr>
        <w:tab/>
      </w:r>
      <w:r>
        <w:rPr>
          <w:noProof/>
        </w:rPr>
        <w:t>Select Service Provider Rules</w:t>
      </w:r>
      <w:r>
        <w:rPr>
          <w:noProof/>
        </w:rPr>
        <w:tab/>
      </w:r>
      <w:r>
        <w:rPr>
          <w:noProof/>
        </w:rPr>
        <w:fldChar w:fldCharType="begin"/>
      </w:r>
      <w:r>
        <w:rPr>
          <w:noProof/>
        </w:rPr>
        <w:instrText xml:space="preserve"> PAGEREF _Toc161836163 \h </w:instrText>
      </w:r>
      <w:r>
        <w:rPr>
          <w:noProof/>
        </w:rPr>
      </w:r>
      <w:r>
        <w:rPr>
          <w:noProof/>
        </w:rPr>
        <w:fldChar w:fldCharType="separate"/>
      </w:r>
      <w:r>
        <w:rPr>
          <w:noProof/>
        </w:rPr>
        <w:t>30</w:t>
      </w:r>
      <w:r>
        <w:rPr>
          <w:noProof/>
        </w:rPr>
        <w:fldChar w:fldCharType="end"/>
      </w:r>
    </w:p>
    <w:p w14:paraId="2E8AC64A" w14:textId="0EEB1302"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4</w:t>
      </w:r>
      <w:r>
        <w:rPr>
          <w:rFonts w:asciiTheme="minorHAnsi" w:eastAsiaTheme="minorEastAsia" w:hAnsiTheme="minorHAnsi" w:cstheme="minorBidi"/>
          <w:noProof/>
          <w:kern w:val="2"/>
          <w:sz w:val="24"/>
          <w:szCs w:val="24"/>
          <w:lang w:eastAsia="en-AU"/>
          <w14:ligatures w14:val="standardContextual"/>
        </w:rPr>
        <w:tab/>
      </w:r>
      <w:r>
        <w:rPr>
          <w:noProof/>
        </w:rPr>
        <w:t>Select Carrier Licence Conditions</w:t>
      </w:r>
      <w:r>
        <w:rPr>
          <w:noProof/>
        </w:rPr>
        <w:tab/>
      </w:r>
      <w:r>
        <w:rPr>
          <w:noProof/>
        </w:rPr>
        <w:fldChar w:fldCharType="begin"/>
      </w:r>
      <w:r>
        <w:rPr>
          <w:noProof/>
        </w:rPr>
        <w:instrText xml:space="preserve"> PAGEREF _Toc161836164 \h </w:instrText>
      </w:r>
      <w:r>
        <w:rPr>
          <w:noProof/>
        </w:rPr>
      </w:r>
      <w:r>
        <w:rPr>
          <w:noProof/>
        </w:rPr>
        <w:fldChar w:fldCharType="separate"/>
      </w:r>
      <w:r>
        <w:rPr>
          <w:noProof/>
        </w:rPr>
        <w:t>33</w:t>
      </w:r>
      <w:r>
        <w:rPr>
          <w:noProof/>
        </w:rPr>
        <w:fldChar w:fldCharType="end"/>
      </w:r>
    </w:p>
    <w:p w14:paraId="1CE5E039" w14:textId="31F897D8" w:rsidR="00F60F3D" w:rsidRDefault="00F60F3D">
      <w:pPr>
        <w:pStyle w:val="TOC1"/>
        <w:rPr>
          <w:rFonts w:asciiTheme="minorHAnsi" w:eastAsiaTheme="minorEastAsia" w:hAnsiTheme="minorHAnsi"/>
          <w:bCs w:val="0"/>
          <w:caps w:val="0"/>
          <w:color w:val="auto"/>
          <w:kern w:val="2"/>
          <w:lang w:eastAsia="en-AU"/>
          <w14:ligatures w14:val="standardContextual"/>
        </w:rPr>
      </w:pPr>
      <w:r>
        <w:t>3</w:t>
      </w:r>
      <w:r>
        <w:rPr>
          <w:rFonts w:asciiTheme="minorHAnsi" w:eastAsiaTheme="minorEastAsia" w:hAnsiTheme="minorHAnsi"/>
          <w:bCs w:val="0"/>
          <w:caps w:val="0"/>
          <w:color w:val="auto"/>
          <w:kern w:val="2"/>
          <w:lang w:eastAsia="en-AU"/>
          <w14:ligatures w14:val="standardContextual"/>
        </w:rPr>
        <w:tab/>
      </w:r>
      <w:r>
        <w:t>Approach to Enforcement</w:t>
      </w:r>
      <w:r>
        <w:tab/>
      </w:r>
      <w:r>
        <w:fldChar w:fldCharType="begin"/>
      </w:r>
      <w:r>
        <w:instrText xml:space="preserve"> PAGEREF _Toc161836165 \h </w:instrText>
      </w:r>
      <w:r>
        <w:fldChar w:fldCharType="separate"/>
      </w:r>
      <w:r>
        <w:t>36</w:t>
      </w:r>
      <w:r>
        <w:fldChar w:fldCharType="end"/>
      </w:r>
    </w:p>
    <w:p w14:paraId="39D7AE4B" w14:textId="0CBD80CA"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A</w:t>
      </w:r>
      <w:r>
        <w:rPr>
          <w:rFonts w:asciiTheme="minorHAnsi" w:eastAsiaTheme="minorEastAsia" w:hAnsiTheme="minorHAnsi" w:cstheme="minorBidi"/>
          <w:b w:val="0"/>
          <w:bCs w:val="0"/>
          <w:noProof/>
          <w:kern w:val="2"/>
          <w:sz w:val="24"/>
          <w:szCs w:val="24"/>
          <w:lang w:eastAsia="en-AU"/>
          <w14:ligatures w14:val="standardContextual"/>
        </w:rPr>
        <w:tab/>
      </w:r>
      <w:r>
        <w:rPr>
          <w:noProof/>
        </w:rPr>
        <w:t>General Compliance and Enforcement Approach and Factors Influencing the ACMA’s Approach</w:t>
      </w:r>
      <w:r>
        <w:rPr>
          <w:noProof/>
        </w:rPr>
        <w:tab/>
      </w:r>
      <w:r>
        <w:rPr>
          <w:noProof/>
        </w:rPr>
        <w:fldChar w:fldCharType="begin"/>
      </w:r>
      <w:r>
        <w:rPr>
          <w:noProof/>
        </w:rPr>
        <w:instrText xml:space="preserve"> PAGEREF _Toc161836166 \h </w:instrText>
      </w:r>
      <w:r>
        <w:rPr>
          <w:noProof/>
        </w:rPr>
      </w:r>
      <w:r>
        <w:rPr>
          <w:noProof/>
        </w:rPr>
        <w:fldChar w:fldCharType="separate"/>
      </w:r>
      <w:r>
        <w:rPr>
          <w:noProof/>
        </w:rPr>
        <w:t>36</w:t>
      </w:r>
      <w:r>
        <w:rPr>
          <w:noProof/>
        </w:rPr>
        <w:fldChar w:fldCharType="end"/>
      </w:r>
    </w:p>
    <w:p w14:paraId="224646F1" w14:textId="7480A805"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1</w:t>
      </w:r>
      <w:r>
        <w:rPr>
          <w:rFonts w:asciiTheme="minorHAnsi" w:eastAsiaTheme="minorEastAsia" w:hAnsiTheme="minorHAnsi" w:cstheme="minorBidi"/>
          <w:noProof/>
          <w:kern w:val="2"/>
          <w:sz w:val="24"/>
          <w:szCs w:val="24"/>
          <w:lang w:eastAsia="en-AU"/>
          <w14:ligatures w14:val="standardContextual"/>
        </w:rPr>
        <w:tab/>
      </w:r>
      <w:r>
        <w:rPr>
          <w:noProof/>
        </w:rPr>
        <w:t>Infringement Notice Factors</w:t>
      </w:r>
      <w:r>
        <w:rPr>
          <w:noProof/>
        </w:rPr>
        <w:tab/>
      </w:r>
      <w:r>
        <w:rPr>
          <w:noProof/>
        </w:rPr>
        <w:fldChar w:fldCharType="begin"/>
      </w:r>
      <w:r>
        <w:rPr>
          <w:noProof/>
        </w:rPr>
        <w:instrText xml:space="preserve"> PAGEREF _Toc161836167 \h </w:instrText>
      </w:r>
      <w:r>
        <w:rPr>
          <w:noProof/>
        </w:rPr>
      </w:r>
      <w:r>
        <w:rPr>
          <w:noProof/>
        </w:rPr>
        <w:fldChar w:fldCharType="separate"/>
      </w:r>
      <w:r>
        <w:rPr>
          <w:noProof/>
        </w:rPr>
        <w:t>39</w:t>
      </w:r>
      <w:r>
        <w:rPr>
          <w:noProof/>
        </w:rPr>
        <w:fldChar w:fldCharType="end"/>
      </w:r>
    </w:p>
    <w:p w14:paraId="7D1C6144" w14:textId="786E5086"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2</w:t>
      </w:r>
      <w:r>
        <w:rPr>
          <w:rFonts w:asciiTheme="minorHAnsi" w:eastAsiaTheme="minorEastAsia" w:hAnsiTheme="minorHAnsi" w:cstheme="minorBidi"/>
          <w:noProof/>
          <w:kern w:val="2"/>
          <w:sz w:val="24"/>
          <w:szCs w:val="24"/>
          <w:lang w:eastAsia="en-AU"/>
          <w14:ligatures w14:val="standardContextual"/>
        </w:rPr>
        <w:tab/>
      </w:r>
      <w:r>
        <w:rPr>
          <w:noProof/>
        </w:rPr>
        <w:t>Enforceable Undertaking Factors</w:t>
      </w:r>
      <w:r>
        <w:rPr>
          <w:noProof/>
        </w:rPr>
        <w:tab/>
      </w:r>
      <w:r>
        <w:rPr>
          <w:noProof/>
        </w:rPr>
        <w:fldChar w:fldCharType="begin"/>
      </w:r>
      <w:r>
        <w:rPr>
          <w:noProof/>
        </w:rPr>
        <w:instrText xml:space="preserve"> PAGEREF _Toc161836168 \h </w:instrText>
      </w:r>
      <w:r>
        <w:rPr>
          <w:noProof/>
        </w:rPr>
      </w:r>
      <w:r>
        <w:rPr>
          <w:noProof/>
        </w:rPr>
        <w:fldChar w:fldCharType="separate"/>
      </w:r>
      <w:r>
        <w:rPr>
          <w:noProof/>
        </w:rPr>
        <w:t>40</w:t>
      </w:r>
      <w:r>
        <w:rPr>
          <w:noProof/>
        </w:rPr>
        <w:fldChar w:fldCharType="end"/>
      </w:r>
    </w:p>
    <w:p w14:paraId="44CC661D" w14:textId="7D3D0215"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3</w:t>
      </w:r>
      <w:r>
        <w:rPr>
          <w:rFonts w:asciiTheme="minorHAnsi" w:eastAsiaTheme="minorEastAsia" w:hAnsiTheme="minorHAnsi" w:cstheme="minorBidi"/>
          <w:noProof/>
          <w:kern w:val="2"/>
          <w:sz w:val="24"/>
          <w:szCs w:val="24"/>
          <w:lang w:eastAsia="en-AU"/>
          <w14:ligatures w14:val="standardContextual"/>
        </w:rPr>
        <w:tab/>
      </w:r>
      <w:r>
        <w:rPr>
          <w:noProof/>
        </w:rPr>
        <w:t>Remedial Directions Factors</w:t>
      </w:r>
      <w:r>
        <w:rPr>
          <w:noProof/>
        </w:rPr>
        <w:tab/>
      </w:r>
      <w:r>
        <w:rPr>
          <w:noProof/>
        </w:rPr>
        <w:fldChar w:fldCharType="begin"/>
      </w:r>
      <w:r>
        <w:rPr>
          <w:noProof/>
        </w:rPr>
        <w:instrText xml:space="preserve"> PAGEREF _Toc161836169 \h </w:instrText>
      </w:r>
      <w:r>
        <w:rPr>
          <w:noProof/>
        </w:rPr>
      </w:r>
      <w:r>
        <w:rPr>
          <w:noProof/>
        </w:rPr>
        <w:fldChar w:fldCharType="separate"/>
      </w:r>
      <w:r>
        <w:rPr>
          <w:noProof/>
        </w:rPr>
        <w:t>40</w:t>
      </w:r>
      <w:r>
        <w:rPr>
          <w:noProof/>
        </w:rPr>
        <w:fldChar w:fldCharType="end"/>
      </w:r>
    </w:p>
    <w:p w14:paraId="70763C7A" w14:textId="2882C47A"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B</w:t>
      </w:r>
      <w:r>
        <w:rPr>
          <w:rFonts w:asciiTheme="minorHAnsi" w:eastAsiaTheme="minorEastAsia" w:hAnsiTheme="minorHAnsi" w:cstheme="minorBidi"/>
          <w:b w:val="0"/>
          <w:bCs w:val="0"/>
          <w:noProof/>
          <w:kern w:val="2"/>
          <w:sz w:val="24"/>
          <w:szCs w:val="24"/>
          <w:lang w:eastAsia="en-AU"/>
          <w14:ligatures w14:val="standardContextual"/>
        </w:rPr>
        <w:tab/>
      </w:r>
      <w:r>
        <w:rPr>
          <w:noProof/>
        </w:rPr>
        <w:t>Comparing the ACMA’s Responsive Approach with Responsive Regulation Theory</w:t>
      </w:r>
      <w:r>
        <w:rPr>
          <w:noProof/>
        </w:rPr>
        <w:tab/>
      </w:r>
      <w:r>
        <w:rPr>
          <w:noProof/>
        </w:rPr>
        <w:fldChar w:fldCharType="begin"/>
      </w:r>
      <w:r>
        <w:rPr>
          <w:noProof/>
        </w:rPr>
        <w:instrText xml:space="preserve"> PAGEREF _Toc161836170 \h </w:instrText>
      </w:r>
      <w:r>
        <w:rPr>
          <w:noProof/>
        </w:rPr>
      </w:r>
      <w:r>
        <w:rPr>
          <w:noProof/>
        </w:rPr>
        <w:fldChar w:fldCharType="separate"/>
      </w:r>
      <w:r>
        <w:rPr>
          <w:noProof/>
        </w:rPr>
        <w:t>40</w:t>
      </w:r>
      <w:r>
        <w:rPr>
          <w:noProof/>
        </w:rPr>
        <w:fldChar w:fldCharType="end"/>
      </w:r>
    </w:p>
    <w:p w14:paraId="02FAFB47" w14:textId="1698E586"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C</w:t>
      </w:r>
      <w:r>
        <w:rPr>
          <w:rFonts w:asciiTheme="minorHAnsi" w:eastAsiaTheme="minorEastAsia" w:hAnsiTheme="minorHAnsi" w:cstheme="minorBidi"/>
          <w:b w:val="0"/>
          <w:bCs w:val="0"/>
          <w:noProof/>
          <w:kern w:val="2"/>
          <w:sz w:val="24"/>
          <w:szCs w:val="24"/>
          <w:lang w:eastAsia="en-AU"/>
          <w14:ligatures w14:val="standardContextual"/>
        </w:rPr>
        <w:tab/>
      </w:r>
      <w:r>
        <w:rPr>
          <w:noProof/>
        </w:rPr>
        <w:t>Enforcement Priorities</w:t>
      </w:r>
      <w:r>
        <w:rPr>
          <w:noProof/>
        </w:rPr>
        <w:tab/>
      </w:r>
      <w:r>
        <w:rPr>
          <w:noProof/>
        </w:rPr>
        <w:fldChar w:fldCharType="begin"/>
      </w:r>
      <w:r>
        <w:rPr>
          <w:noProof/>
        </w:rPr>
        <w:instrText xml:space="preserve"> PAGEREF _Toc161836171 \h </w:instrText>
      </w:r>
      <w:r>
        <w:rPr>
          <w:noProof/>
        </w:rPr>
      </w:r>
      <w:r>
        <w:rPr>
          <w:noProof/>
        </w:rPr>
        <w:fldChar w:fldCharType="separate"/>
      </w:r>
      <w:r>
        <w:rPr>
          <w:noProof/>
        </w:rPr>
        <w:t>41</w:t>
      </w:r>
      <w:r>
        <w:rPr>
          <w:noProof/>
        </w:rPr>
        <w:fldChar w:fldCharType="end"/>
      </w:r>
    </w:p>
    <w:p w14:paraId="71867615" w14:textId="74EBDB97" w:rsidR="00F60F3D" w:rsidRDefault="00F60F3D">
      <w:pPr>
        <w:pStyle w:val="TOC1"/>
        <w:rPr>
          <w:rFonts w:asciiTheme="minorHAnsi" w:eastAsiaTheme="minorEastAsia" w:hAnsiTheme="minorHAnsi"/>
          <w:bCs w:val="0"/>
          <w:caps w:val="0"/>
          <w:color w:val="auto"/>
          <w:kern w:val="2"/>
          <w:lang w:eastAsia="en-AU"/>
          <w14:ligatures w14:val="standardContextual"/>
        </w:rPr>
      </w:pPr>
      <w:r>
        <w:t>4</w:t>
      </w:r>
      <w:r>
        <w:rPr>
          <w:rFonts w:asciiTheme="minorHAnsi" w:eastAsiaTheme="minorEastAsia" w:hAnsiTheme="minorHAnsi"/>
          <w:bCs w:val="0"/>
          <w:caps w:val="0"/>
          <w:color w:val="auto"/>
          <w:kern w:val="2"/>
          <w:lang w:eastAsia="en-AU"/>
          <w14:ligatures w14:val="standardContextual"/>
        </w:rPr>
        <w:tab/>
      </w:r>
      <w:r>
        <w:t>How Have the Enforcement Mechanisms Been Used?</w:t>
      </w:r>
      <w:r>
        <w:tab/>
      </w:r>
      <w:r>
        <w:fldChar w:fldCharType="begin"/>
      </w:r>
      <w:r>
        <w:instrText xml:space="preserve"> PAGEREF _Toc161836172 \h </w:instrText>
      </w:r>
      <w:r>
        <w:fldChar w:fldCharType="separate"/>
      </w:r>
      <w:r>
        <w:t>43</w:t>
      </w:r>
      <w:r>
        <w:fldChar w:fldCharType="end"/>
      </w:r>
    </w:p>
    <w:p w14:paraId="4E6CF2AD" w14:textId="10589A41"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A</w:t>
      </w:r>
      <w:r>
        <w:rPr>
          <w:rFonts w:asciiTheme="minorHAnsi" w:eastAsiaTheme="minorEastAsia" w:hAnsiTheme="minorHAnsi" w:cstheme="minorBidi"/>
          <w:b w:val="0"/>
          <w:bCs w:val="0"/>
          <w:noProof/>
          <w:kern w:val="2"/>
          <w:sz w:val="24"/>
          <w:szCs w:val="24"/>
          <w:lang w:eastAsia="en-AU"/>
          <w14:ligatures w14:val="standardContextual"/>
        </w:rPr>
        <w:tab/>
      </w:r>
      <w:r>
        <w:rPr>
          <w:noProof/>
        </w:rPr>
        <w:t>Research Limitations and Context</w:t>
      </w:r>
      <w:r>
        <w:rPr>
          <w:noProof/>
        </w:rPr>
        <w:tab/>
      </w:r>
      <w:r>
        <w:rPr>
          <w:noProof/>
        </w:rPr>
        <w:fldChar w:fldCharType="begin"/>
      </w:r>
      <w:r>
        <w:rPr>
          <w:noProof/>
        </w:rPr>
        <w:instrText xml:space="preserve"> PAGEREF _Toc161836173 \h </w:instrText>
      </w:r>
      <w:r>
        <w:rPr>
          <w:noProof/>
        </w:rPr>
      </w:r>
      <w:r>
        <w:rPr>
          <w:noProof/>
        </w:rPr>
        <w:fldChar w:fldCharType="separate"/>
      </w:r>
      <w:r>
        <w:rPr>
          <w:noProof/>
        </w:rPr>
        <w:t>43</w:t>
      </w:r>
      <w:r>
        <w:rPr>
          <w:noProof/>
        </w:rPr>
        <w:fldChar w:fldCharType="end"/>
      </w:r>
    </w:p>
    <w:p w14:paraId="44A6A8BF" w14:textId="67AFFA35"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1. Research Limitations</w:t>
      </w:r>
      <w:r>
        <w:rPr>
          <w:noProof/>
        </w:rPr>
        <w:tab/>
      </w:r>
      <w:r>
        <w:rPr>
          <w:noProof/>
        </w:rPr>
        <w:fldChar w:fldCharType="begin"/>
      </w:r>
      <w:r>
        <w:rPr>
          <w:noProof/>
        </w:rPr>
        <w:instrText xml:space="preserve"> PAGEREF _Toc161836174 \h </w:instrText>
      </w:r>
      <w:r>
        <w:rPr>
          <w:noProof/>
        </w:rPr>
      </w:r>
      <w:r>
        <w:rPr>
          <w:noProof/>
        </w:rPr>
        <w:fldChar w:fldCharType="separate"/>
      </w:r>
      <w:r>
        <w:rPr>
          <w:noProof/>
        </w:rPr>
        <w:t>43</w:t>
      </w:r>
      <w:r>
        <w:rPr>
          <w:noProof/>
        </w:rPr>
        <w:fldChar w:fldCharType="end"/>
      </w:r>
    </w:p>
    <w:p w14:paraId="48A46F51" w14:textId="097B4A15"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2. Contextual Information</w:t>
      </w:r>
      <w:r>
        <w:rPr>
          <w:noProof/>
        </w:rPr>
        <w:tab/>
      </w:r>
      <w:r>
        <w:rPr>
          <w:noProof/>
        </w:rPr>
        <w:fldChar w:fldCharType="begin"/>
      </w:r>
      <w:r>
        <w:rPr>
          <w:noProof/>
        </w:rPr>
        <w:instrText xml:space="preserve"> PAGEREF _Toc161836175 \h </w:instrText>
      </w:r>
      <w:r>
        <w:rPr>
          <w:noProof/>
        </w:rPr>
      </w:r>
      <w:r>
        <w:rPr>
          <w:noProof/>
        </w:rPr>
        <w:fldChar w:fldCharType="separate"/>
      </w:r>
      <w:r>
        <w:rPr>
          <w:noProof/>
        </w:rPr>
        <w:t>46</w:t>
      </w:r>
      <w:r>
        <w:rPr>
          <w:noProof/>
        </w:rPr>
        <w:fldChar w:fldCharType="end"/>
      </w:r>
    </w:p>
    <w:p w14:paraId="674F5EA6" w14:textId="2BEFA9D5"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B Total Publicised Enforcement Actions and Amounts of Publicised Infringement and Civil Penalties</w:t>
      </w:r>
      <w:r>
        <w:rPr>
          <w:noProof/>
        </w:rPr>
        <w:tab/>
      </w:r>
      <w:r>
        <w:rPr>
          <w:noProof/>
        </w:rPr>
        <w:fldChar w:fldCharType="begin"/>
      </w:r>
      <w:r>
        <w:rPr>
          <w:noProof/>
        </w:rPr>
        <w:instrText xml:space="preserve"> PAGEREF _Toc161836176 \h </w:instrText>
      </w:r>
      <w:r>
        <w:rPr>
          <w:noProof/>
        </w:rPr>
      </w:r>
      <w:r>
        <w:rPr>
          <w:noProof/>
        </w:rPr>
        <w:fldChar w:fldCharType="separate"/>
      </w:r>
      <w:r>
        <w:rPr>
          <w:noProof/>
        </w:rPr>
        <w:t>48</w:t>
      </w:r>
      <w:r>
        <w:rPr>
          <w:noProof/>
        </w:rPr>
        <w:fldChar w:fldCharType="end"/>
      </w:r>
    </w:p>
    <w:p w14:paraId="6AEEF98B" w14:textId="53212470"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lastRenderedPageBreak/>
        <w:t xml:space="preserve">C </w:t>
      </w:r>
      <w:r>
        <w:rPr>
          <w:rFonts w:asciiTheme="minorHAnsi" w:eastAsiaTheme="minorEastAsia" w:hAnsiTheme="minorHAnsi" w:cstheme="minorBidi"/>
          <w:b w:val="0"/>
          <w:bCs w:val="0"/>
          <w:noProof/>
          <w:kern w:val="2"/>
          <w:sz w:val="24"/>
          <w:szCs w:val="24"/>
          <w:lang w:eastAsia="en-AU"/>
          <w14:ligatures w14:val="standardContextual"/>
        </w:rPr>
        <w:tab/>
      </w:r>
      <w:r>
        <w:rPr>
          <w:noProof/>
        </w:rPr>
        <w:t>Examples of How the ACMA has Exercised its Enforcement Powers</w:t>
      </w:r>
      <w:r>
        <w:rPr>
          <w:noProof/>
        </w:rPr>
        <w:tab/>
      </w:r>
      <w:r>
        <w:rPr>
          <w:noProof/>
        </w:rPr>
        <w:fldChar w:fldCharType="begin"/>
      </w:r>
      <w:r>
        <w:rPr>
          <w:noProof/>
        </w:rPr>
        <w:instrText xml:space="preserve"> PAGEREF _Toc161836177 \h </w:instrText>
      </w:r>
      <w:r>
        <w:rPr>
          <w:noProof/>
        </w:rPr>
      </w:r>
      <w:r>
        <w:rPr>
          <w:noProof/>
        </w:rPr>
        <w:fldChar w:fldCharType="separate"/>
      </w:r>
      <w:r>
        <w:rPr>
          <w:noProof/>
        </w:rPr>
        <w:t>49</w:t>
      </w:r>
      <w:r>
        <w:rPr>
          <w:noProof/>
        </w:rPr>
        <w:fldChar w:fldCharType="end"/>
      </w:r>
    </w:p>
    <w:p w14:paraId="6CE83145" w14:textId="3434EACB"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1</w:t>
      </w:r>
      <w:r>
        <w:rPr>
          <w:rFonts w:asciiTheme="minorHAnsi" w:eastAsiaTheme="minorEastAsia" w:hAnsiTheme="minorHAnsi" w:cstheme="minorBidi"/>
          <w:noProof/>
          <w:kern w:val="2"/>
          <w:sz w:val="24"/>
          <w:szCs w:val="24"/>
          <w:lang w:eastAsia="en-AU"/>
          <w14:ligatures w14:val="standardContextual"/>
        </w:rPr>
        <w:tab/>
      </w:r>
      <w:r>
        <w:rPr>
          <w:noProof/>
        </w:rPr>
        <w:t>Administrative Enforcement Actions</w:t>
      </w:r>
      <w:r>
        <w:rPr>
          <w:noProof/>
        </w:rPr>
        <w:tab/>
      </w:r>
      <w:r>
        <w:rPr>
          <w:noProof/>
        </w:rPr>
        <w:fldChar w:fldCharType="begin"/>
      </w:r>
      <w:r>
        <w:rPr>
          <w:noProof/>
        </w:rPr>
        <w:instrText xml:space="preserve"> PAGEREF _Toc161836178 \h </w:instrText>
      </w:r>
      <w:r>
        <w:rPr>
          <w:noProof/>
        </w:rPr>
      </w:r>
      <w:r>
        <w:rPr>
          <w:noProof/>
        </w:rPr>
        <w:fldChar w:fldCharType="separate"/>
      </w:r>
      <w:r>
        <w:rPr>
          <w:noProof/>
        </w:rPr>
        <w:t>50</w:t>
      </w:r>
      <w:r>
        <w:rPr>
          <w:noProof/>
        </w:rPr>
        <w:fldChar w:fldCharType="end"/>
      </w:r>
    </w:p>
    <w:p w14:paraId="22B713F0" w14:textId="7F6B5157"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2</w:t>
      </w:r>
      <w:r>
        <w:rPr>
          <w:rFonts w:asciiTheme="minorHAnsi" w:eastAsiaTheme="minorEastAsia" w:hAnsiTheme="minorHAnsi" w:cstheme="minorBidi"/>
          <w:noProof/>
          <w:kern w:val="2"/>
          <w:sz w:val="24"/>
          <w:szCs w:val="24"/>
          <w:lang w:eastAsia="en-AU"/>
          <w14:ligatures w14:val="standardContextual"/>
        </w:rPr>
        <w:tab/>
      </w:r>
      <w:r>
        <w:rPr>
          <w:noProof/>
        </w:rPr>
        <w:t>Civil Penalty Enforcement Actions</w:t>
      </w:r>
      <w:r>
        <w:rPr>
          <w:noProof/>
        </w:rPr>
        <w:tab/>
      </w:r>
      <w:r>
        <w:rPr>
          <w:noProof/>
        </w:rPr>
        <w:fldChar w:fldCharType="begin"/>
      </w:r>
      <w:r>
        <w:rPr>
          <w:noProof/>
        </w:rPr>
        <w:instrText xml:space="preserve"> PAGEREF _Toc161836179 \h </w:instrText>
      </w:r>
      <w:r>
        <w:rPr>
          <w:noProof/>
        </w:rPr>
      </w:r>
      <w:r>
        <w:rPr>
          <w:noProof/>
        </w:rPr>
        <w:fldChar w:fldCharType="separate"/>
      </w:r>
      <w:r>
        <w:rPr>
          <w:noProof/>
        </w:rPr>
        <w:t>55</w:t>
      </w:r>
      <w:r>
        <w:rPr>
          <w:noProof/>
        </w:rPr>
        <w:fldChar w:fldCharType="end"/>
      </w:r>
    </w:p>
    <w:p w14:paraId="64849901" w14:textId="65977292"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D Telcos with the Most Investigations and Enforcement Actions</w:t>
      </w:r>
      <w:r>
        <w:rPr>
          <w:noProof/>
        </w:rPr>
        <w:tab/>
      </w:r>
      <w:r>
        <w:rPr>
          <w:noProof/>
        </w:rPr>
        <w:fldChar w:fldCharType="begin"/>
      </w:r>
      <w:r>
        <w:rPr>
          <w:noProof/>
        </w:rPr>
        <w:instrText xml:space="preserve"> PAGEREF _Toc161836180 \h </w:instrText>
      </w:r>
      <w:r>
        <w:rPr>
          <w:noProof/>
        </w:rPr>
      </w:r>
      <w:r>
        <w:rPr>
          <w:noProof/>
        </w:rPr>
        <w:fldChar w:fldCharType="separate"/>
      </w:r>
      <w:r>
        <w:rPr>
          <w:noProof/>
        </w:rPr>
        <w:t>58</w:t>
      </w:r>
      <w:r>
        <w:rPr>
          <w:noProof/>
        </w:rPr>
        <w:fldChar w:fldCharType="end"/>
      </w:r>
    </w:p>
    <w:p w14:paraId="4DEEABC1" w14:textId="326A6DA2"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1</w:t>
      </w:r>
      <w:r>
        <w:rPr>
          <w:rFonts w:asciiTheme="minorHAnsi" w:eastAsiaTheme="minorEastAsia" w:hAnsiTheme="minorHAnsi" w:cstheme="minorBidi"/>
          <w:noProof/>
          <w:kern w:val="2"/>
          <w:sz w:val="24"/>
          <w:szCs w:val="24"/>
          <w:lang w:eastAsia="en-AU"/>
          <w14:ligatures w14:val="standardContextual"/>
        </w:rPr>
        <w:tab/>
      </w:r>
      <w:r>
        <w:rPr>
          <w:noProof/>
        </w:rPr>
        <w:t>Enforcement Actions Against Telstra</w:t>
      </w:r>
      <w:r>
        <w:rPr>
          <w:noProof/>
        </w:rPr>
        <w:tab/>
      </w:r>
      <w:r>
        <w:rPr>
          <w:noProof/>
        </w:rPr>
        <w:fldChar w:fldCharType="begin"/>
      </w:r>
      <w:r>
        <w:rPr>
          <w:noProof/>
        </w:rPr>
        <w:instrText xml:space="preserve"> PAGEREF _Toc161836181 \h </w:instrText>
      </w:r>
      <w:r>
        <w:rPr>
          <w:noProof/>
        </w:rPr>
      </w:r>
      <w:r>
        <w:rPr>
          <w:noProof/>
        </w:rPr>
        <w:fldChar w:fldCharType="separate"/>
      </w:r>
      <w:r>
        <w:rPr>
          <w:noProof/>
        </w:rPr>
        <w:t>60</w:t>
      </w:r>
      <w:r>
        <w:rPr>
          <w:noProof/>
        </w:rPr>
        <w:fldChar w:fldCharType="end"/>
      </w:r>
    </w:p>
    <w:p w14:paraId="583FF6A2" w14:textId="353B2C44"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2</w:t>
      </w:r>
      <w:r>
        <w:rPr>
          <w:rFonts w:asciiTheme="minorHAnsi" w:eastAsiaTheme="minorEastAsia" w:hAnsiTheme="minorHAnsi" w:cstheme="minorBidi"/>
          <w:noProof/>
          <w:kern w:val="2"/>
          <w:sz w:val="24"/>
          <w:szCs w:val="24"/>
          <w:lang w:eastAsia="en-AU"/>
          <w14:ligatures w14:val="standardContextual"/>
        </w:rPr>
        <w:tab/>
      </w:r>
      <w:r>
        <w:rPr>
          <w:noProof/>
        </w:rPr>
        <w:t>Enforcement Actions Against Lycamobile</w:t>
      </w:r>
      <w:r>
        <w:rPr>
          <w:noProof/>
        </w:rPr>
        <w:tab/>
      </w:r>
      <w:r>
        <w:rPr>
          <w:noProof/>
        </w:rPr>
        <w:fldChar w:fldCharType="begin"/>
      </w:r>
      <w:r>
        <w:rPr>
          <w:noProof/>
        </w:rPr>
        <w:instrText xml:space="preserve"> PAGEREF _Toc161836182 \h </w:instrText>
      </w:r>
      <w:r>
        <w:rPr>
          <w:noProof/>
        </w:rPr>
      </w:r>
      <w:r>
        <w:rPr>
          <w:noProof/>
        </w:rPr>
        <w:fldChar w:fldCharType="separate"/>
      </w:r>
      <w:r>
        <w:rPr>
          <w:noProof/>
        </w:rPr>
        <w:t>61</w:t>
      </w:r>
      <w:r>
        <w:rPr>
          <w:noProof/>
        </w:rPr>
        <w:fldChar w:fldCharType="end"/>
      </w:r>
    </w:p>
    <w:p w14:paraId="28E597CB" w14:textId="2B3DBA13"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3</w:t>
      </w:r>
      <w:r>
        <w:rPr>
          <w:rFonts w:asciiTheme="minorHAnsi" w:eastAsiaTheme="minorEastAsia" w:hAnsiTheme="minorHAnsi" w:cstheme="minorBidi"/>
          <w:noProof/>
          <w:kern w:val="2"/>
          <w:sz w:val="24"/>
          <w:szCs w:val="24"/>
          <w:lang w:eastAsia="en-AU"/>
          <w14:ligatures w14:val="standardContextual"/>
        </w:rPr>
        <w:tab/>
      </w:r>
      <w:r>
        <w:rPr>
          <w:noProof/>
        </w:rPr>
        <w:t>Enforcement Actions Against Optus</w:t>
      </w:r>
      <w:r>
        <w:rPr>
          <w:noProof/>
        </w:rPr>
        <w:tab/>
      </w:r>
      <w:r>
        <w:rPr>
          <w:noProof/>
        </w:rPr>
        <w:fldChar w:fldCharType="begin"/>
      </w:r>
      <w:r>
        <w:rPr>
          <w:noProof/>
        </w:rPr>
        <w:instrText xml:space="preserve"> PAGEREF _Toc161836183 \h </w:instrText>
      </w:r>
      <w:r>
        <w:rPr>
          <w:noProof/>
        </w:rPr>
      </w:r>
      <w:r>
        <w:rPr>
          <w:noProof/>
        </w:rPr>
        <w:fldChar w:fldCharType="separate"/>
      </w:r>
      <w:r>
        <w:rPr>
          <w:noProof/>
        </w:rPr>
        <w:t>62</w:t>
      </w:r>
      <w:r>
        <w:rPr>
          <w:noProof/>
        </w:rPr>
        <w:fldChar w:fldCharType="end"/>
      </w:r>
    </w:p>
    <w:p w14:paraId="0AFD12A7" w14:textId="0A40C663"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4</w:t>
      </w:r>
      <w:r>
        <w:rPr>
          <w:rFonts w:asciiTheme="minorHAnsi" w:eastAsiaTheme="minorEastAsia" w:hAnsiTheme="minorHAnsi" w:cstheme="minorBidi"/>
          <w:noProof/>
          <w:kern w:val="2"/>
          <w:sz w:val="24"/>
          <w:szCs w:val="24"/>
          <w:lang w:eastAsia="en-AU"/>
          <w14:ligatures w14:val="standardContextual"/>
        </w:rPr>
        <w:tab/>
      </w:r>
      <w:r>
        <w:rPr>
          <w:noProof/>
        </w:rPr>
        <w:t>Enforcement Actions Against SpinTel</w:t>
      </w:r>
      <w:r>
        <w:rPr>
          <w:noProof/>
        </w:rPr>
        <w:tab/>
      </w:r>
      <w:r>
        <w:rPr>
          <w:noProof/>
        </w:rPr>
        <w:fldChar w:fldCharType="begin"/>
      </w:r>
      <w:r>
        <w:rPr>
          <w:noProof/>
        </w:rPr>
        <w:instrText xml:space="preserve"> PAGEREF _Toc161836184 \h </w:instrText>
      </w:r>
      <w:r>
        <w:rPr>
          <w:noProof/>
        </w:rPr>
      </w:r>
      <w:r>
        <w:rPr>
          <w:noProof/>
        </w:rPr>
        <w:fldChar w:fldCharType="separate"/>
      </w:r>
      <w:r>
        <w:rPr>
          <w:noProof/>
        </w:rPr>
        <w:t>62</w:t>
      </w:r>
      <w:r>
        <w:rPr>
          <w:noProof/>
        </w:rPr>
        <w:fldChar w:fldCharType="end"/>
      </w:r>
    </w:p>
    <w:p w14:paraId="29C14438" w14:textId="44E857C8"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5</w:t>
      </w:r>
      <w:r>
        <w:rPr>
          <w:rFonts w:asciiTheme="minorHAnsi" w:eastAsiaTheme="minorEastAsia" w:hAnsiTheme="minorHAnsi" w:cstheme="minorBidi"/>
          <w:noProof/>
          <w:kern w:val="2"/>
          <w:sz w:val="24"/>
          <w:szCs w:val="24"/>
          <w:lang w:eastAsia="en-AU"/>
          <w14:ligatures w14:val="standardContextual"/>
        </w:rPr>
        <w:tab/>
      </w:r>
      <w:r>
        <w:rPr>
          <w:noProof/>
        </w:rPr>
        <w:t>Enforcement Actions Against TPG</w:t>
      </w:r>
      <w:r>
        <w:rPr>
          <w:noProof/>
        </w:rPr>
        <w:tab/>
      </w:r>
      <w:r>
        <w:rPr>
          <w:noProof/>
        </w:rPr>
        <w:fldChar w:fldCharType="begin"/>
      </w:r>
      <w:r>
        <w:rPr>
          <w:noProof/>
        </w:rPr>
        <w:instrText xml:space="preserve"> PAGEREF _Toc161836185 \h </w:instrText>
      </w:r>
      <w:r>
        <w:rPr>
          <w:noProof/>
        </w:rPr>
      </w:r>
      <w:r>
        <w:rPr>
          <w:noProof/>
        </w:rPr>
        <w:fldChar w:fldCharType="separate"/>
      </w:r>
      <w:r>
        <w:rPr>
          <w:noProof/>
        </w:rPr>
        <w:t>63</w:t>
      </w:r>
      <w:r>
        <w:rPr>
          <w:noProof/>
        </w:rPr>
        <w:fldChar w:fldCharType="end"/>
      </w:r>
    </w:p>
    <w:p w14:paraId="7662F0FB" w14:textId="04B091EB"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6</w:t>
      </w:r>
      <w:r>
        <w:rPr>
          <w:rFonts w:asciiTheme="minorHAnsi" w:eastAsiaTheme="minorEastAsia" w:hAnsiTheme="minorHAnsi" w:cstheme="minorBidi"/>
          <w:noProof/>
          <w:kern w:val="2"/>
          <w:sz w:val="24"/>
          <w:szCs w:val="24"/>
          <w:lang w:eastAsia="en-AU"/>
          <w14:ligatures w14:val="standardContextual"/>
        </w:rPr>
        <w:tab/>
      </w:r>
      <w:r>
        <w:rPr>
          <w:noProof/>
        </w:rPr>
        <w:t>Enforcement Actions Against Vodafone</w:t>
      </w:r>
      <w:r>
        <w:rPr>
          <w:noProof/>
        </w:rPr>
        <w:tab/>
      </w:r>
      <w:r>
        <w:rPr>
          <w:noProof/>
        </w:rPr>
        <w:fldChar w:fldCharType="begin"/>
      </w:r>
      <w:r>
        <w:rPr>
          <w:noProof/>
        </w:rPr>
        <w:instrText xml:space="preserve"> PAGEREF _Toc161836186 \h </w:instrText>
      </w:r>
      <w:r>
        <w:rPr>
          <w:noProof/>
        </w:rPr>
      </w:r>
      <w:r>
        <w:rPr>
          <w:noProof/>
        </w:rPr>
        <w:fldChar w:fldCharType="separate"/>
      </w:r>
      <w:r>
        <w:rPr>
          <w:noProof/>
        </w:rPr>
        <w:t>64</w:t>
      </w:r>
      <w:r>
        <w:rPr>
          <w:noProof/>
        </w:rPr>
        <w:fldChar w:fldCharType="end"/>
      </w:r>
    </w:p>
    <w:p w14:paraId="4CC3C8D1" w14:textId="098514DA"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7</w:t>
      </w:r>
      <w:r>
        <w:rPr>
          <w:rFonts w:asciiTheme="minorHAnsi" w:eastAsiaTheme="minorEastAsia" w:hAnsiTheme="minorHAnsi" w:cstheme="minorBidi"/>
          <w:noProof/>
          <w:kern w:val="2"/>
          <w:sz w:val="24"/>
          <w:szCs w:val="24"/>
          <w:lang w:eastAsia="en-AU"/>
          <w14:ligatures w14:val="standardContextual"/>
        </w:rPr>
        <w:tab/>
      </w:r>
      <w:r>
        <w:rPr>
          <w:noProof/>
        </w:rPr>
        <w:t>Enforcement Actions Against Dodo</w:t>
      </w:r>
      <w:r>
        <w:rPr>
          <w:noProof/>
        </w:rPr>
        <w:tab/>
      </w:r>
      <w:r>
        <w:rPr>
          <w:noProof/>
        </w:rPr>
        <w:fldChar w:fldCharType="begin"/>
      </w:r>
      <w:r>
        <w:rPr>
          <w:noProof/>
        </w:rPr>
        <w:instrText xml:space="preserve"> PAGEREF _Toc161836187 \h </w:instrText>
      </w:r>
      <w:r>
        <w:rPr>
          <w:noProof/>
        </w:rPr>
      </w:r>
      <w:r>
        <w:rPr>
          <w:noProof/>
        </w:rPr>
        <w:fldChar w:fldCharType="separate"/>
      </w:r>
      <w:r>
        <w:rPr>
          <w:noProof/>
        </w:rPr>
        <w:t>64</w:t>
      </w:r>
      <w:r>
        <w:rPr>
          <w:noProof/>
        </w:rPr>
        <w:fldChar w:fldCharType="end"/>
      </w:r>
    </w:p>
    <w:p w14:paraId="0DFBC8AE" w14:textId="6A85A4D7"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8</w:t>
      </w:r>
      <w:r>
        <w:rPr>
          <w:rFonts w:asciiTheme="minorHAnsi" w:eastAsiaTheme="minorEastAsia" w:hAnsiTheme="minorHAnsi" w:cstheme="minorBidi"/>
          <w:noProof/>
          <w:kern w:val="2"/>
          <w:sz w:val="24"/>
          <w:szCs w:val="24"/>
          <w:lang w:eastAsia="en-AU"/>
          <w14:ligatures w14:val="standardContextual"/>
        </w:rPr>
        <w:tab/>
      </w:r>
      <w:r>
        <w:rPr>
          <w:noProof/>
        </w:rPr>
        <w:t>Enforcement Actions Against Exetel</w:t>
      </w:r>
      <w:r>
        <w:rPr>
          <w:noProof/>
        </w:rPr>
        <w:tab/>
      </w:r>
      <w:r>
        <w:rPr>
          <w:noProof/>
        </w:rPr>
        <w:fldChar w:fldCharType="begin"/>
      </w:r>
      <w:r>
        <w:rPr>
          <w:noProof/>
        </w:rPr>
        <w:instrText xml:space="preserve"> PAGEREF _Toc161836188 \h </w:instrText>
      </w:r>
      <w:r>
        <w:rPr>
          <w:noProof/>
        </w:rPr>
      </w:r>
      <w:r>
        <w:rPr>
          <w:noProof/>
        </w:rPr>
        <w:fldChar w:fldCharType="separate"/>
      </w:r>
      <w:r>
        <w:rPr>
          <w:noProof/>
        </w:rPr>
        <w:t>65</w:t>
      </w:r>
      <w:r>
        <w:rPr>
          <w:noProof/>
        </w:rPr>
        <w:fldChar w:fldCharType="end"/>
      </w:r>
    </w:p>
    <w:p w14:paraId="0F4E6B05" w14:textId="15101B74"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9</w:t>
      </w:r>
      <w:r>
        <w:rPr>
          <w:rFonts w:asciiTheme="minorHAnsi" w:eastAsiaTheme="minorEastAsia" w:hAnsiTheme="minorHAnsi" w:cstheme="minorBidi"/>
          <w:noProof/>
          <w:kern w:val="2"/>
          <w:sz w:val="24"/>
          <w:szCs w:val="24"/>
          <w:lang w:eastAsia="en-AU"/>
          <w14:ligatures w14:val="standardContextual"/>
        </w:rPr>
        <w:tab/>
      </w:r>
      <w:r>
        <w:rPr>
          <w:noProof/>
        </w:rPr>
        <w:t>Enforcement Actions Against iTalkBB</w:t>
      </w:r>
      <w:r>
        <w:rPr>
          <w:noProof/>
        </w:rPr>
        <w:tab/>
      </w:r>
      <w:r>
        <w:rPr>
          <w:noProof/>
        </w:rPr>
        <w:fldChar w:fldCharType="begin"/>
      </w:r>
      <w:r>
        <w:rPr>
          <w:noProof/>
        </w:rPr>
        <w:instrText xml:space="preserve"> PAGEREF _Toc161836189 \h </w:instrText>
      </w:r>
      <w:r>
        <w:rPr>
          <w:noProof/>
        </w:rPr>
      </w:r>
      <w:r>
        <w:rPr>
          <w:noProof/>
        </w:rPr>
        <w:fldChar w:fldCharType="separate"/>
      </w:r>
      <w:r>
        <w:rPr>
          <w:noProof/>
        </w:rPr>
        <w:t>65</w:t>
      </w:r>
      <w:r>
        <w:rPr>
          <w:noProof/>
        </w:rPr>
        <w:fldChar w:fldCharType="end"/>
      </w:r>
    </w:p>
    <w:p w14:paraId="4E6C4DF2" w14:textId="48C6CDB2"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10</w:t>
      </w:r>
      <w:r>
        <w:rPr>
          <w:rFonts w:asciiTheme="minorHAnsi" w:eastAsiaTheme="minorEastAsia" w:hAnsiTheme="minorHAnsi" w:cstheme="minorBidi"/>
          <w:noProof/>
          <w:kern w:val="2"/>
          <w:sz w:val="24"/>
          <w:szCs w:val="24"/>
          <w:lang w:eastAsia="en-AU"/>
          <w14:ligatures w14:val="standardContextual"/>
        </w:rPr>
        <w:tab/>
      </w:r>
      <w:r>
        <w:rPr>
          <w:noProof/>
        </w:rPr>
        <w:t>Enforcement Actions Against MyRepublic</w:t>
      </w:r>
      <w:r>
        <w:rPr>
          <w:noProof/>
        </w:rPr>
        <w:tab/>
      </w:r>
      <w:r>
        <w:rPr>
          <w:noProof/>
        </w:rPr>
        <w:fldChar w:fldCharType="begin"/>
      </w:r>
      <w:r>
        <w:rPr>
          <w:noProof/>
        </w:rPr>
        <w:instrText xml:space="preserve"> PAGEREF _Toc161836190 \h </w:instrText>
      </w:r>
      <w:r>
        <w:rPr>
          <w:noProof/>
        </w:rPr>
      </w:r>
      <w:r>
        <w:rPr>
          <w:noProof/>
        </w:rPr>
        <w:fldChar w:fldCharType="separate"/>
      </w:r>
      <w:r>
        <w:rPr>
          <w:noProof/>
        </w:rPr>
        <w:t>65</w:t>
      </w:r>
      <w:r>
        <w:rPr>
          <w:noProof/>
        </w:rPr>
        <w:fldChar w:fldCharType="end"/>
      </w:r>
    </w:p>
    <w:p w14:paraId="2BF7206C" w14:textId="6CBDA2B6"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11</w:t>
      </w:r>
      <w:r>
        <w:rPr>
          <w:rFonts w:asciiTheme="minorHAnsi" w:eastAsiaTheme="minorEastAsia" w:hAnsiTheme="minorHAnsi" w:cstheme="minorBidi"/>
          <w:noProof/>
          <w:kern w:val="2"/>
          <w:sz w:val="24"/>
          <w:szCs w:val="24"/>
          <w:lang w:eastAsia="en-AU"/>
          <w14:ligatures w14:val="standardContextual"/>
        </w:rPr>
        <w:tab/>
      </w:r>
      <w:r>
        <w:rPr>
          <w:noProof/>
        </w:rPr>
        <w:t>Enforcement Actions Against Southern Phone Company</w:t>
      </w:r>
      <w:r>
        <w:rPr>
          <w:noProof/>
        </w:rPr>
        <w:tab/>
      </w:r>
      <w:r>
        <w:rPr>
          <w:noProof/>
        </w:rPr>
        <w:fldChar w:fldCharType="begin"/>
      </w:r>
      <w:r>
        <w:rPr>
          <w:noProof/>
        </w:rPr>
        <w:instrText xml:space="preserve"> PAGEREF _Toc161836191 \h </w:instrText>
      </w:r>
      <w:r>
        <w:rPr>
          <w:noProof/>
        </w:rPr>
      </w:r>
      <w:r>
        <w:rPr>
          <w:noProof/>
        </w:rPr>
        <w:fldChar w:fldCharType="separate"/>
      </w:r>
      <w:r>
        <w:rPr>
          <w:noProof/>
        </w:rPr>
        <w:t>66</w:t>
      </w:r>
      <w:r>
        <w:rPr>
          <w:noProof/>
        </w:rPr>
        <w:fldChar w:fldCharType="end"/>
      </w:r>
    </w:p>
    <w:p w14:paraId="42A38B1A" w14:textId="2C491905" w:rsidR="00F60F3D" w:rsidRDefault="00F60F3D">
      <w:pPr>
        <w:pStyle w:val="TOC3"/>
        <w:rPr>
          <w:rFonts w:asciiTheme="minorHAnsi" w:eastAsiaTheme="minorEastAsia" w:hAnsiTheme="minorHAnsi" w:cstheme="minorBidi"/>
          <w:noProof/>
          <w:kern w:val="2"/>
          <w:sz w:val="24"/>
          <w:szCs w:val="24"/>
          <w:lang w:eastAsia="en-AU"/>
          <w14:ligatures w14:val="standardContextual"/>
        </w:rPr>
      </w:pPr>
      <w:r>
        <w:rPr>
          <w:noProof/>
        </w:rPr>
        <w:t>Additional Note on the TPG Group</w:t>
      </w:r>
      <w:r>
        <w:rPr>
          <w:noProof/>
        </w:rPr>
        <w:tab/>
      </w:r>
      <w:r>
        <w:rPr>
          <w:noProof/>
        </w:rPr>
        <w:fldChar w:fldCharType="begin"/>
      </w:r>
      <w:r>
        <w:rPr>
          <w:noProof/>
        </w:rPr>
        <w:instrText xml:space="preserve"> PAGEREF _Toc161836192 \h </w:instrText>
      </w:r>
      <w:r>
        <w:rPr>
          <w:noProof/>
        </w:rPr>
      </w:r>
      <w:r>
        <w:rPr>
          <w:noProof/>
        </w:rPr>
        <w:fldChar w:fldCharType="separate"/>
      </w:r>
      <w:r>
        <w:rPr>
          <w:noProof/>
        </w:rPr>
        <w:t>66</w:t>
      </w:r>
      <w:r>
        <w:rPr>
          <w:noProof/>
        </w:rPr>
        <w:fldChar w:fldCharType="end"/>
      </w:r>
    </w:p>
    <w:p w14:paraId="171C434F" w14:textId="7ACD8A8F"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E</w:t>
      </w:r>
      <w:r>
        <w:rPr>
          <w:rFonts w:asciiTheme="minorHAnsi" w:eastAsiaTheme="minorEastAsia" w:hAnsiTheme="minorHAnsi" w:cstheme="minorBidi"/>
          <w:b w:val="0"/>
          <w:bCs w:val="0"/>
          <w:noProof/>
          <w:kern w:val="2"/>
          <w:sz w:val="24"/>
          <w:szCs w:val="24"/>
          <w:lang w:eastAsia="en-AU"/>
          <w14:ligatures w14:val="standardContextual"/>
        </w:rPr>
        <w:tab/>
      </w:r>
      <w:r>
        <w:rPr>
          <w:noProof/>
        </w:rPr>
        <w:t>Provisions with the Most Enforcement Actions in Published Investigations</w:t>
      </w:r>
      <w:r>
        <w:rPr>
          <w:noProof/>
        </w:rPr>
        <w:tab/>
      </w:r>
      <w:r>
        <w:rPr>
          <w:noProof/>
        </w:rPr>
        <w:fldChar w:fldCharType="begin"/>
      </w:r>
      <w:r>
        <w:rPr>
          <w:noProof/>
        </w:rPr>
        <w:instrText xml:space="preserve"> PAGEREF _Toc161836193 \h </w:instrText>
      </w:r>
      <w:r>
        <w:rPr>
          <w:noProof/>
        </w:rPr>
      </w:r>
      <w:r>
        <w:rPr>
          <w:noProof/>
        </w:rPr>
        <w:fldChar w:fldCharType="separate"/>
      </w:r>
      <w:r>
        <w:rPr>
          <w:noProof/>
        </w:rPr>
        <w:t>69</w:t>
      </w:r>
      <w:r>
        <w:rPr>
          <w:noProof/>
        </w:rPr>
        <w:fldChar w:fldCharType="end"/>
      </w:r>
    </w:p>
    <w:p w14:paraId="324EDF87" w14:textId="43404C17"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F Most Common Enforcement Actions in Published Investigations</w:t>
      </w:r>
      <w:r>
        <w:rPr>
          <w:noProof/>
        </w:rPr>
        <w:tab/>
      </w:r>
      <w:r>
        <w:rPr>
          <w:noProof/>
        </w:rPr>
        <w:fldChar w:fldCharType="begin"/>
      </w:r>
      <w:r>
        <w:rPr>
          <w:noProof/>
        </w:rPr>
        <w:instrText xml:space="preserve"> PAGEREF _Toc161836194 \h </w:instrText>
      </w:r>
      <w:r>
        <w:rPr>
          <w:noProof/>
        </w:rPr>
      </w:r>
      <w:r>
        <w:rPr>
          <w:noProof/>
        </w:rPr>
        <w:fldChar w:fldCharType="separate"/>
      </w:r>
      <w:r>
        <w:rPr>
          <w:noProof/>
        </w:rPr>
        <w:t>70</w:t>
      </w:r>
      <w:r>
        <w:rPr>
          <w:noProof/>
        </w:rPr>
        <w:fldChar w:fldCharType="end"/>
      </w:r>
    </w:p>
    <w:p w14:paraId="16E20FDE" w14:textId="462AD66A"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 xml:space="preserve">G </w:t>
      </w:r>
      <w:r>
        <w:rPr>
          <w:rFonts w:asciiTheme="minorHAnsi" w:eastAsiaTheme="minorEastAsia" w:hAnsiTheme="minorHAnsi" w:cstheme="minorBidi"/>
          <w:b w:val="0"/>
          <w:bCs w:val="0"/>
          <w:noProof/>
          <w:kern w:val="2"/>
          <w:sz w:val="24"/>
          <w:szCs w:val="24"/>
          <w:lang w:eastAsia="en-AU"/>
          <w14:ligatures w14:val="standardContextual"/>
        </w:rPr>
        <w:tab/>
      </w:r>
      <w:r>
        <w:rPr>
          <w:noProof/>
        </w:rPr>
        <w:t>Years When the ACMA Engaged in the Least and Most Enforcement Activity</w:t>
      </w:r>
      <w:r>
        <w:rPr>
          <w:noProof/>
        </w:rPr>
        <w:tab/>
      </w:r>
      <w:r>
        <w:rPr>
          <w:noProof/>
        </w:rPr>
        <w:fldChar w:fldCharType="begin"/>
      </w:r>
      <w:r>
        <w:rPr>
          <w:noProof/>
        </w:rPr>
        <w:instrText xml:space="preserve"> PAGEREF _Toc161836195 \h </w:instrText>
      </w:r>
      <w:r>
        <w:rPr>
          <w:noProof/>
        </w:rPr>
      </w:r>
      <w:r>
        <w:rPr>
          <w:noProof/>
        </w:rPr>
        <w:fldChar w:fldCharType="separate"/>
      </w:r>
      <w:r>
        <w:rPr>
          <w:noProof/>
        </w:rPr>
        <w:t>77</w:t>
      </w:r>
      <w:r>
        <w:rPr>
          <w:noProof/>
        </w:rPr>
        <w:fldChar w:fldCharType="end"/>
      </w:r>
    </w:p>
    <w:p w14:paraId="7987789C" w14:textId="47FF8630" w:rsidR="00F60F3D" w:rsidRDefault="00F60F3D">
      <w:pPr>
        <w:pStyle w:val="TOC1"/>
        <w:rPr>
          <w:rFonts w:asciiTheme="minorHAnsi" w:eastAsiaTheme="minorEastAsia" w:hAnsiTheme="minorHAnsi"/>
          <w:bCs w:val="0"/>
          <w:caps w:val="0"/>
          <w:color w:val="auto"/>
          <w:kern w:val="2"/>
          <w:lang w:eastAsia="en-AU"/>
          <w14:ligatures w14:val="standardContextual"/>
        </w:rPr>
      </w:pPr>
      <w:r>
        <w:t>Conclusion</w:t>
      </w:r>
      <w:r>
        <w:tab/>
      </w:r>
      <w:r>
        <w:fldChar w:fldCharType="begin"/>
      </w:r>
      <w:r>
        <w:instrText xml:space="preserve"> PAGEREF _Toc161836196 \h </w:instrText>
      </w:r>
      <w:r>
        <w:fldChar w:fldCharType="separate"/>
      </w:r>
      <w:r>
        <w:t>79</w:t>
      </w:r>
      <w:r>
        <w:fldChar w:fldCharType="end"/>
      </w:r>
    </w:p>
    <w:p w14:paraId="5D2AE504" w14:textId="461ED133" w:rsidR="00F60F3D" w:rsidRDefault="00F60F3D">
      <w:pPr>
        <w:pStyle w:val="TOC1"/>
        <w:rPr>
          <w:rFonts w:asciiTheme="minorHAnsi" w:eastAsiaTheme="minorEastAsia" w:hAnsiTheme="minorHAnsi"/>
          <w:bCs w:val="0"/>
          <w:caps w:val="0"/>
          <w:color w:val="auto"/>
          <w:kern w:val="2"/>
          <w:lang w:eastAsia="en-AU"/>
          <w14:ligatures w14:val="standardContextual"/>
        </w:rPr>
      </w:pPr>
      <w:r>
        <w:t>ANNEX A</w:t>
      </w:r>
      <w:r>
        <w:tab/>
      </w:r>
      <w:r>
        <w:fldChar w:fldCharType="begin"/>
      </w:r>
      <w:r>
        <w:instrText xml:space="preserve"> PAGEREF _Toc161836197 \h </w:instrText>
      </w:r>
      <w:r>
        <w:fldChar w:fldCharType="separate"/>
      </w:r>
      <w:r>
        <w:t>83</w:t>
      </w:r>
      <w:r>
        <w:fldChar w:fldCharType="end"/>
      </w:r>
    </w:p>
    <w:p w14:paraId="51A0BD78" w14:textId="487A0585"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Industry Codes Registered by the ACMA under Part 6</w:t>
      </w:r>
      <w:r>
        <w:rPr>
          <w:noProof/>
        </w:rPr>
        <w:tab/>
      </w:r>
      <w:r>
        <w:rPr>
          <w:noProof/>
        </w:rPr>
        <w:fldChar w:fldCharType="begin"/>
      </w:r>
      <w:r>
        <w:rPr>
          <w:noProof/>
        </w:rPr>
        <w:instrText xml:space="preserve"> PAGEREF _Toc161836198 \h </w:instrText>
      </w:r>
      <w:r>
        <w:rPr>
          <w:noProof/>
        </w:rPr>
      </w:r>
      <w:r>
        <w:rPr>
          <w:noProof/>
        </w:rPr>
        <w:fldChar w:fldCharType="separate"/>
      </w:r>
      <w:r>
        <w:rPr>
          <w:noProof/>
        </w:rPr>
        <w:t>83</w:t>
      </w:r>
      <w:r>
        <w:rPr>
          <w:noProof/>
        </w:rPr>
        <w:fldChar w:fldCharType="end"/>
      </w:r>
    </w:p>
    <w:p w14:paraId="1E917778" w14:textId="41E4DD73" w:rsidR="00F60F3D" w:rsidRDefault="00F60F3D">
      <w:pPr>
        <w:pStyle w:val="TOC1"/>
        <w:rPr>
          <w:rFonts w:asciiTheme="minorHAnsi" w:eastAsiaTheme="minorEastAsia" w:hAnsiTheme="minorHAnsi"/>
          <w:bCs w:val="0"/>
          <w:caps w:val="0"/>
          <w:color w:val="auto"/>
          <w:kern w:val="2"/>
          <w:lang w:eastAsia="en-AU"/>
          <w14:ligatures w14:val="standardContextual"/>
        </w:rPr>
      </w:pPr>
      <w:r>
        <w:t>ANNEX B</w:t>
      </w:r>
      <w:r>
        <w:tab/>
      </w:r>
      <w:r>
        <w:fldChar w:fldCharType="begin"/>
      </w:r>
      <w:r>
        <w:instrText xml:space="preserve"> PAGEREF _Toc161836199 \h </w:instrText>
      </w:r>
      <w:r>
        <w:fldChar w:fldCharType="separate"/>
      </w:r>
      <w:r>
        <w:t>84</w:t>
      </w:r>
      <w:r>
        <w:fldChar w:fldCharType="end"/>
      </w:r>
    </w:p>
    <w:p w14:paraId="4DA0E606" w14:textId="44B6D0BD"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Data Collection Methodology</w:t>
      </w:r>
      <w:r>
        <w:rPr>
          <w:noProof/>
        </w:rPr>
        <w:tab/>
      </w:r>
      <w:r>
        <w:rPr>
          <w:noProof/>
        </w:rPr>
        <w:fldChar w:fldCharType="begin"/>
      </w:r>
      <w:r>
        <w:rPr>
          <w:noProof/>
        </w:rPr>
        <w:instrText xml:space="preserve"> PAGEREF _Toc161836200 \h </w:instrText>
      </w:r>
      <w:r>
        <w:rPr>
          <w:noProof/>
        </w:rPr>
      </w:r>
      <w:r>
        <w:rPr>
          <w:noProof/>
        </w:rPr>
        <w:fldChar w:fldCharType="separate"/>
      </w:r>
      <w:r>
        <w:rPr>
          <w:noProof/>
        </w:rPr>
        <w:t>84</w:t>
      </w:r>
      <w:r>
        <w:rPr>
          <w:noProof/>
        </w:rPr>
        <w:fldChar w:fldCharType="end"/>
      </w:r>
    </w:p>
    <w:p w14:paraId="30A54D32" w14:textId="0BB1D3AF" w:rsidR="00F60F3D" w:rsidRDefault="00F60F3D">
      <w:pPr>
        <w:pStyle w:val="TOC1"/>
        <w:rPr>
          <w:rFonts w:asciiTheme="minorHAnsi" w:eastAsiaTheme="minorEastAsia" w:hAnsiTheme="minorHAnsi"/>
          <w:bCs w:val="0"/>
          <w:caps w:val="0"/>
          <w:color w:val="auto"/>
          <w:kern w:val="2"/>
          <w:lang w:eastAsia="en-AU"/>
          <w14:ligatures w14:val="standardContextual"/>
        </w:rPr>
      </w:pPr>
      <w:r>
        <w:t>ANNEX C</w:t>
      </w:r>
      <w:r>
        <w:tab/>
      </w:r>
      <w:r>
        <w:fldChar w:fldCharType="begin"/>
      </w:r>
      <w:r>
        <w:instrText xml:space="preserve"> PAGEREF _Toc161836201 \h </w:instrText>
      </w:r>
      <w:r>
        <w:fldChar w:fldCharType="separate"/>
      </w:r>
      <w:r>
        <w:t>86</w:t>
      </w:r>
      <w:r>
        <w:fldChar w:fldCharType="end"/>
      </w:r>
    </w:p>
    <w:p w14:paraId="508F48E9" w14:textId="7ECAE9E7" w:rsidR="00F60F3D" w:rsidRDefault="00F60F3D">
      <w:pPr>
        <w:pStyle w:val="TOC2"/>
        <w:rPr>
          <w:rFonts w:asciiTheme="minorHAnsi" w:eastAsiaTheme="minorEastAsia" w:hAnsiTheme="minorHAnsi" w:cstheme="minorBidi"/>
          <w:b w:val="0"/>
          <w:bCs w:val="0"/>
          <w:noProof/>
          <w:kern w:val="2"/>
          <w:sz w:val="24"/>
          <w:szCs w:val="24"/>
          <w:lang w:eastAsia="en-AU"/>
          <w14:ligatures w14:val="standardContextual"/>
        </w:rPr>
      </w:pPr>
      <w:r>
        <w:rPr>
          <w:noProof/>
        </w:rPr>
        <w:t>Examples of the ACMA Compliance Audits</w:t>
      </w:r>
      <w:r>
        <w:rPr>
          <w:noProof/>
        </w:rPr>
        <w:tab/>
      </w:r>
      <w:r>
        <w:rPr>
          <w:noProof/>
        </w:rPr>
        <w:fldChar w:fldCharType="begin"/>
      </w:r>
      <w:r>
        <w:rPr>
          <w:noProof/>
        </w:rPr>
        <w:instrText xml:space="preserve"> PAGEREF _Toc161836202 \h </w:instrText>
      </w:r>
      <w:r>
        <w:rPr>
          <w:noProof/>
        </w:rPr>
      </w:r>
      <w:r>
        <w:rPr>
          <w:noProof/>
        </w:rPr>
        <w:fldChar w:fldCharType="separate"/>
      </w:r>
      <w:r>
        <w:rPr>
          <w:noProof/>
        </w:rPr>
        <w:t>86</w:t>
      </w:r>
      <w:r>
        <w:rPr>
          <w:noProof/>
        </w:rPr>
        <w:fldChar w:fldCharType="end"/>
      </w:r>
    </w:p>
    <w:p w14:paraId="2FE59E7D" w14:textId="23ECF301" w:rsidR="003B6531" w:rsidRDefault="00381200" w:rsidP="7C087036">
      <w:pPr>
        <w:pStyle w:val="Heading1"/>
      </w:pPr>
      <w:r w:rsidRPr="7C087036">
        <w:rPr>
          <w:rFonts w:eastAsiaTheme="minorEastAsia" w:cs="Arial"/>
          <w:b/>
          <w:caps/>
          <w:sz w:val="24"/>
          <w:szCs w:val="24"/>
        </w:rPr>
        <w:fldChar w:fldCharType="end"/>
      </w:r>
      <w:r w:rsidR="004B547E">
        <w:br w:type="page"/>
      </w:r>
      <w:bookmarkStart w:id="3" w:name="_Toc146201017"/>
      <w:bookmarkStart w:id="4" w:name="_Toc161836145"/>
      <w:bookmarkStart w:id="5" w:name="_Toc139024378"/>
      <w:bookmarkStart w:id="6" w:name="_Toc139024701"/>
      <w:bookmarkStart w:id="7" w:name="_Toc139031344"/>
      <w:bookmarkStart w:id="8" w:name="Introduction"/>
      <w:r w:rsidR="00662BC9" w:rsidRPr="00D333FF">
        <w:lastRenderedPageBreak/>
        <w:t xml:space="preserve">Executive </w:t>
      </w:r>
      <w:r w:rsidR="00662BC9" w:rsidRPr="0053586F">
        <w:t>Summary</w:t>
      </w:r>
      <w:bookmarkEnd w:id="3"/>
      <w:bookmarkEnd w:id="4"/>
    </w:p>
    <w:p w14:paraId="43CAF825" w14:textId="2A9246C2" w:rsidR="7C087036" w:rsidRDefault="7C087036" w:rsidP="7C087036"/>
    <w:p w14:paraId="54BD5A62" w14:textId="2C1F27D7" w:rsidR="00271736" w:rsidRPr="00271736" w:rsidRDefault="00FA19B3" w:rsidP="00855F5B">
      <w:r>
        <w:t xml:space="preserve">In this report </w:t>
      </w:r>
      <w:r w:rsidR="1AC167EF">
        <w:t xml:space="preserve"> we </w:t>
      </w:r>
      <w:r w:rsidR="3D4C4BA4">
        <w:t xml:space="preserve">present </w:t>
      </w:r>
      <w:r w:rsidR="1AC167EF">
        <w:t xml:space="preserve">a preliminary account of enforcement action taken by </w:t>
      </w:r>
      <w:r>
        <w:t>the Australian Communications and Media Authority (</w:t>
      </w:r>
      <w:r w:rsidR="00D11F2F">
        <w:t>the ACMA</w:t>
      </w:r>
      <w:r>
        <w:t>)</w:t>
      </w:r>
      <w:r w:rsidR="06E7D5C5">
        <w:t xml:space="preserve"> </w:t>
      </w:r>
      <w:r w:rsidR="1AC167EF">
        <w:t xml:space="preserve">between 1 January 2010 and </w:t>
      </w:r>
      <w:r w:rsidR="00660C6C">
        <w:t>30</w:t>
      </w:r>
      <w:r w:rsidR="1AC167EF">
        <w:t xml:space="preserve"> June 2023 in relation to four sources of consumer protection rules arising out of the </w:t>
      </w:r>
      <w:r w:rsidR="004413C9" w:rsidRPr="31481F43">
        <w:rPr>
          <w:i/>
          <w:iCs/>
        </w:rPr>
        <w:t>Telecommunications Act 1997</w:t>
      </w:r>
      <w:r w:rsidR="004413C9">
        <w:t xml:space="preserve"> (Cth) (</w:t>
      </w:r>
      <w:r w:rsidR="00AA7AED">
        <w:t>Tel Act</w:t>
      </w:r>
      <w:r w:rsidR="004413C9">
        <w:t>)</w:t>
      </w:r>
      <w:r w:rsidR="1AC167EF">
        <w:t xml:space="preserve">: industry codes registered under Part 6 of that Act, industry standards determined under ss </w:t>
      </w:r>
      <w:r w:rsidR="39C99520">
        <w:t xml:space="preserve">123, 124, </w:t>
      </w:r>
      <w:r w:rsidR="1AC167EF">
        <w:t xml:space="preserve">125 and 125AA, select service provider rules, and select carrier licence conditions. </w:t>
      </w:r>
    </w:p>
    <w:p w14:paraId="7B7A2362" w14:textId="2E29DFBC" w:rsidR="007A39C6" w:rsidRDefault="40EA47DE" w:rsidP="007A39C6">
      <w:r>
        <w:t xml:space="preserve">An explanation of the types of enforcement mechanisms available to </w:t>
      </w:r>
      <w:r w:rsidR="00D11F2F">
        <w:t>the ACMA</w:t>
      </w:r>
      <w:r>
        <w:t xml:space="preserve"> and the circumstances in which they can be used (for example, in the first instance, </w:t>
      </w:r>
      <w:r w:rsidR="00D11F2F">
        <w:t>the ACMA</w:t>
      </w:r>
      <w:r>
        <w:t xml:space="preserve"> may be limited by legislation to issuing a formal warning or direction to comply) is provided in Chapter 2 below. </w:t>
      </w:r>
    </w:p>
    <w:p w14:paraId="0AF706C9" w14:textId="438EBBC0" w:rsidR="003322F0" w:rsidRDefault="21F33495" w:rsidP="003322F0">
      <w:r>
        <w:t xml:space="preserve">A comprehensive assessment of </w:t>
      </w:r>
      <w:r w:rsidR="002D394F">
        <w:t>compliance enforcement action</w:t>
      </w:r>
      <w:r>
        <w:t xml:space="preserve"> would require a richer understanding of context and access to additional data. In the Introduction below we outline limitations encountered in this research, qualifications to the findings, and comments on the presentation of the data. For example, </w:t>
      </w:r>
      <w:r w:rsidR="002D394F">
        <w:t xml:space="preserve">we do not offer a comparative assessment based on the degree of consumer harm. </w:t>
      </w:r>
      <w:r>
        <w:t xml:space="preserve">In addition, </w:t>
      </w:r>
      <w:r w:rsidR="002D394F">
        <w:t xml:space="preserve">information on compliance </w:t>
      </w:r>
      <w:r>
        <w:t xml:space="preserve">investigations conducted by </w:t>
      </w:r>
      <w:r w:rsidR="00D11F2F">
        <w:t>the ACMA</w:t>
      </w:r>
      <w:r>
        <w:t xml:space="preserve"> – as distinct from specific enforcement actions – </w:t>
      </w:r>
      <w:r w:rsidR="002D394F">
        <w:t>is</w:t>
      </w:r>
      <w:r>
        <w:t xml:space="preserve"> limited to those matters where </w:t>
      </w:r>
      <w:r w:rsidR="00D11F2F">
        <w:t>the ACMA</w:t>
      </w:r>
      <w:r>
        <w:t xml:space="preserve"> </w:t>
      </w:r>
      <w:r w:rsidR="5F0F7142">
        <w:t xml:space="preserve">publicly </w:t>
      </w:r>
      <w:r w:rsidR="0CE38AA4">
        <w:t xml:space="preserve">reported </w:t>
      </w:r>
      <w:r>
        <w:t>a breach of one of the</w:t>
      </w:r>
      <w:r w:rsidR="002D394F">
        <w:t xml:space="preserve"> consumer protections rules, as </w:t>
      </w:r>
      <w:r w:rsidR="00D11F2F">
        <w:t>the ACMA</w:t>
      </w:r>
      <w:r w:rsidR="002D394F">
        <w:t xml:space="preserve"> does not </w:t>
      </w:r>
      <w:r w:rsidR="270F26F6">
        <w:t xml:space="preserve">generally </w:t>
      </w:r>
      <w:r w:rsidR="002D394F">
        <w:t>publish data on investigations where there is no breach finding.</w:t>
      </w:r>
      <w:r>
        <w:t xml:space="preserve"> </w:t>
      </w:r>
      <w:r w:rsidR="40EA47DE">
        <w:t xml:space="preserve">And, as explained below, </w:t>
      </w:r>
      <w:r w:rsidR="00D11F2F">
        <w:t>the ACMA</w:t>
      </w:r>
      <w:r w:rsidR="40EA47DE">
        <w:t xml:space="preserve"> may consider it is not in the public interest to publicly release information </w:t>
      </w:r>
      <w:r w:rsidR="4B27E045">
        <w:t xml:space="preserve">about </w:t>
      </w:r>
      <w:r w:rsidR="40EA47DE">
        <w:t xml:space="preserve">a beach even where enforcement action is taken. </w:t>
      </w:r>
      <w:r>
        <w:t>Nevertheless, the report offers some insight</w:t>
      </w:r>
      <w:r w:rsidR="005E4E51">
        <w:t>,</w:t>
      </w:r>
      <w:r>
        <w:t xml:space="preserve"> not otherwise available</w:t>
      </w:r>
      <w:r w:rsidR="00F6023F">
        <w:t>,</w:t>
      </w:r>
      <w:r>
        <w:t xml:space="preserve"> into </w:t>
      </w:r>
      <w:r w:rsidR="00D11F2F">
        <w:t>the ACMA</w:t>
      </w:r>
      <w:r w:rsidR="7AC8D007">
        <w:t xml:space="preserve">’s </w:t>
      </w:r>
      <w:r>
        <w:t xml:space="preserve">enforcement practices over time. </w:t>
      </w:r>
    </w:p>
    <w:p w14:paraId="7D8F8E98" w14:textId="050EA82F" w:rsidR="00CB4635" w:rsidRPr="004B32EA" w:rsidRDefault="00CB4635" w:rsidP="00855F5B">
      <w:pPr>
        <w:rPr>
          <w:color w:val="0000FF" w:themeColor="accent1"/>
          <w:sz w:val="30"/>
          <w:szCs w:val="30"/>
        </w:rPr>
      </w:pPr>
      <w:r w:rsidRPr="004B32EA">
        <w:rPr>
          <w:color w:val="0000FF" w:themeColor="accent1"/>
          <w:sz w:val="30"/>
          <w:szCs w:val="30"/>
        </w:rPr>
        <w:t>Findings</w:t>
      </w:r>
    </w:p>
    <w:p w14:paraId="7389D7AC" w14:textId="6285C3CF" w:rsidR="003005DC" w:rsidRDefault="1F16B9C5" w:rsidP="00855F5B">
      <w:r>
        <w:t xml:space="preserve">Overall, </w:t>
      </w:r>
      <w:r w:rsidR="00A524A2">
        <w:t xml:space="preserve">we </w:t>
      </w:r>
      <w:r w:rsidR="00742B82">
        <w:t>found 48</w:t>
      </w:r>
      <w:r w:rsidR="00FF4BC2">
        <w:t>7</w:t>
      </w:r>
      <w:r w:rsidR="00742B82">
        <w:t xml:space="preserve"> investigations into breaches of our </w:t>
      </w:r>
      <w:r w:rsidR="002E0BED">
        <w:t xml:space="preserve">select consumer protection rules </w:t>
      </w:r>
      <w:r w:rsidR="00742B82">
        <w:t xml:space="preserve">that </w:t>
      </w:r>
      <w:r w:rsidR="00D11F2F">
        <w:t>the ACMA</w:t>
      </w:r>
      <w:r w:rsidR="00742B82">
        <w:t xml:space="preserve"> had made public</w:t>
      </w:r>
      <w:r w:rsidR="002E0BED">
        <w:t xml:space="preserve">. </w:t>
      </w:r>
      <w:r w:rsidR="009645AF">
        <w:t>There were 309 providers that had enforcement action taken against them</w:t>
      </w:r>
      <w:r w:rsidR="000430AE">
        <w:t>,</w:t>
      </w:r>
      <w:r w:rsidR="00B4789A">
        <w:t xml:space="preserve"> and in total 50</w:t>
      </w:r>
      <w:r w:rsidR="005E077A">
        <w:t>2</w:t>
      </w:r>
      <w:r w:rsidR="00B4789A">
        <w:t xml:space="preserve"> enforcement actions</w:t>
      </w:r>
      <w:r w:rsidR="00553DAB">
        <w:t xml:space="preserve"> pursued by </w:t>
      </w:r>
      <w:r w:rsidR="00D11F2F">
        <w:t>the ACMA</w:t>
      </w:r>
      <w:r w:rsidR="00553DAB">
        <w:t xml:space="preserve">. </w:t>
      </w:r>
      <w:r w:rsidR="007A0981">
        <w:t xml:space="preserve">Not all </w:t>
      </w:r>
      <w:r w:rsidR="000662F9">
        <w:t xml:space="preserve">breach findings </w:t>
      </w:r>
      <w:r w:rsidR="2D4883B7">
        <w:t xml:space="preserve">resulted in </w:t>
      </w:r>
      <w:r w:rsidR="00666614">
        <w:t xml:space="preserve">enforcement action: we found 26 </w:t>
      </w:r>
      <w:r w:rsidR="007347AF">
        <w:t xml:space="preserve">instances of no recorded </w:t>
      </w:r>
      <w:r w:rsidR="000921B1">
        <w:t>enforcement</w:t>
      </w:r>
      <w:r w:rsidR="00AE6B86">
        <w:t xml:space="preserve"> action arising from a</w:t>
      </w:r>
      <w:r w:rsidR="000921B1">
        <w:t xml:space="preserve"> publicised investigation. </w:t>
      </w:r>
    </w:p>
    <w:p w14:paraId="7F415763" w14:textId="24307F21" w:rsidR="00271736" w:rsidRPr="00271736" w:rsidRDefault="00150C1A" w:rsidP="00855F5B">
      <w:r>
        <w:t xml:space="preserve">The range of enforcement actions was as follows: </w:t>
      </w:r>
    </w:p>
    <w:p w14:paraId="08C25F7D" w14:textId="2BF52D28" w:rsidR="00271736" w:rsidRPr="00271736" w:rsidRDefault="00BC3DFE" w:rsidP="00D63331">
      <w:pPr>
        <w:pStyle w:val="Bullets"/>
        <w:contextualSpacing/>
      </w:pPr>
      <w:r>
        <w:t>29</w:t>
      </w:r>
      <w:r w:rsidR="00F6023F">
        <w:t>6</w:t>
      </w:r>
      <w:r w:rsidR="00A1306A">
        <w:t xml:space="preserve"> </w:t>
      </w:r>
      <w:r w:rsidR="00271736">
        <w:t xml:space="preserve">formal warnings </w:t>
      </w:r>
    </w:p>
    <w:p w14:paraId="23D5EEE4" w14:textId="7B65E954" w:rsidR="00271736" w:rsidRPr="00271736" w:rsidRDefault="00BC3DFE" w:rsidP="00D63331">
      <w:pPr>
        <w:pStyle w:val="Bullets"/>
        <w:contextualSpacing/>
      </w:pPr>
      <w:r>
        <w:t>1</w:t>
      </w:r>
      <w:r w:rsidR="00FF4BC2">
        <w:t>19</w:t>
      </w:r>
      <w:r w:rsidR="00271736" w:rsidRPr="00271736">
        <w:t xml:space="preserve"> directions to comply</w:t>
      </w:r>
    </w:p>
    <w:p w14:paraId="613A684F" w14:textId="3C1EAB43" w:rsidR="00271736" w:rsidRPr="00271736" w:rsidRDefault="0032580C" w:rsidP="00D63331">
      <w:pPr>
        <w:pStyle w:val="Bullets"/>
        <w:contextualSpacing/>
      </w:pPr>
      <w:r>
        <w:t>4</w:t>
      </w:r>
      <w:r w:rsidR="00FF4BC2">
        <w:t>1</w:t>
      </w:r>
      <w:r w:rsidR="00271736" w:rsidRPr="00271736">
        <w:t xml:space="preserve"> remedial directions</w:t>
      </w:r>
    </w:p>
    <w:p w14:paraId="18C0837B" w14:textId="470B3C50" w:rsidR="00271736" w:rsidRPr="00F17F0B" w:rsidRDefault="0032580C" w:rsidP="00D63331">
      <w:pPr>
        <w:pStyle w:val="Bullets"/>
        <w:contextualSpacing/>
      </w:pPr>
      <w:r>
        <w:t>24</w:t>
      </w:r>
      <w:r w:rsidR="00271736" w:rsidRPr="00271736">
        <w:t xml:space="preserve"> infringement notices with a total value of </w:t>
      </w:r>
      <w:r w:rsidR="00EF310A" w:rsidRPr="00920678">
        <w:t>$6,143,160</w:t>
      </w:r>
    </w:p>
    <w:p w14:paraId="2C80C4ED" w14:textId="78FD9643" w:rsidR="00271736" w:rsidRPr="0032580C" w:rsidRDefault="00A35319" w:rsidP="00D63331">
      <w:pPr>
        <w:pStyle w:val="Bullets"/>
        <w:contextualSpacing/>
      </w:pPr>
      <w:r>
        <w:t>17</w:t>
      </w:r>
      <w:r w:rsidR="1AC167EF" w:rsidRPr="0032580C">
        <w:t xml:space="preserve"> enforceable undertakings</w:t>
      </w:r>
      <w:r w:rsidR="76FA48C2" w:rsidRPr="0032580C">
        <w:t xml:space="preserve"> </w:t>
      </w:r>
    </w:p>
    <w:p w14:paraId="59EF7A5B" w14:textId="6BC9BC33" w:rsidR="00EE1BE4" w:rsidRDefault="361C86D7" w:rsidP="00D63331">
      <w:pPr>
        <w:pStyle w:val="Bullets"/>
        <w:contextualSpacing/>
      </w:pPr>
      <w:r>
        <w:t xml:space="preserve">3 civil penalty orders obtained from the Federal Court </w:t>
      </w:r>
      <w:r w:rsidR="656DD9C9">
        <w:t>totalling</w:t>
      </w:r>
      <w:r>
        <w:t xml:space="preserve"> $</w:t>
      </w:r>
      <w:r w:rsidR="00351A87">
        <w:t>1,077,625</w:t>
      </w:r>
    </w:p>
    <w:p w14:paraId="198DFA32" w14:textId="2650E026" w:rsidR="00271A23" w:rsidRDefault="4462B4AB" w:rsidP="00D63331">
      <w:pPr>
        <w:pStyle w:val="Bullets"/>
        <w:contextualSpacing/>
      </w:pPr>
      <w:r>
        <w:t>1 injunction obtained from the Federal Court</w:t>
      </w:r>
    </w:p>
    <w:p w14:paraId="630F7743" w14:textId="7D03717D" w:rsidR="00271736" w:rsidRPr="00271736" w:rsidRDefault="663088AC" w:rsidP="00D63331">
      <w:pPr>
        <w:pStyle w:val="Bullets"/>
        <w:contextualSpacing/>
      </w:pPr>
      <w:r>
        <w:t>1 deed of a</w:t>
      </w:r>
      <w:r w:rsidR="2DBAA24A">
        <w:t>greement</w:t>
      </w:r>
      <w:r>
        <w:t>.</w:t>
      </w:r>
      <w:r w:rsidR="16746961">
        <w:t xml:space="preserve"> </w:t>
      </w:r>
    </w:p>
    <w:p w14:paraId="0C53AE2C" w14:textId="17F5C256" w:rsidR="00150C1A" w:rsidRDefault="00150C1A" w:rsidP="1BF5D79A">
      <w:r>
        <w:t xml:space="preserve">Further </w:t>
      </w:r>
      <w:r w:rsidR="00612FF6">
        <w:t>information</w:t>
      </w:r>
      <w:r>
        <w:t xml:space="preserve"> on </w:t>
      </w:r>
      <w:r w:rsidR="00612FF6">
        <w:t xml:space="preserve">these enforcement actions and how we have </w:t>
      </w:r>
      <w:r w:rsidR="00BD7862">
        <w:t>identified the providers that were subject to them can be found in Chapter 4.</w:t>
      </w:r>
      <w:r>
        <w:t xml:space="preserve"> </w:t>
      </w:r>
    </w:p>
    <w:p w14:paraId="4E2C4E82" w14:textId="0F2D102D" w:rsidR="002842D3" w:rsidRDefault="0015544D" w:rsidP="002842D3">
      <w:r>
        <w:t xml:space="preserve">Within the set of publicised enforcement action, the highest number of actions were taken in 2013-14, followed by 2018-19 and 2014-15. </w:t>
      </w:r>
      <w:r w:rsidR="00220DDC">
        <w:t>The action</w:t>
      </w:r>
      <w:r w:rsidR="121B61CD">
        <w:t>s</w:t>
      </w:r>
      <w:r w:rsidR="00220DDC">
        <w:t xml:space="preserve"> in </w:t>
      </w:r>
      <w:r w:rsidR="19830089">
        <w:t>2013-14 and 2014-15</w:t>
      </w:r>
      <w:r w:rsidR="00220DDC">
        <w:t xml:space="preserve"> </w:t>
      </w:r>
      <w:r w:rsidR="19830089">
        <w:t>coincid</w:t>
      </w:r>
      <w:r w:rsidR="00220DDC">
        <w:t>ed</w:t>
      </w:r>
      <w:r w:rsidR="19830089">
        <w:t xml:space="preserve"> with </w:t>
      </w:r>
      <w:r w:rsidR="00D11F2F">
        <w:lastRenderedPageBreak/>
        <w:t>the ACMA</w:t>
      </w:r>
      <w:r w:rsidR="19830089">
        <w:t xml:space="preserve"> conducting audits of compliance with the Telecommunications Consumer</w:t>
      </w:r>
      <w:r w:rsidR="0FC880E2">
        <w:t xml:space="preserve"> </w:t>
      </w:r>
      <w:r w:rsidR="19830089">
        <w:t>Protections Code (TCP Code).</w:t>
      </w:r>
      <w:r w:rsidR="00955CA3">
        <w:t xml:space="preserve"> </w:t>
      </w:r>
      <w:r w:rsidR="002842D3">
        <w:t xml:space="preserve">The least amount of enforcement action occurred in 2011-12. If the </w:t>
      </w:r>
      <w:r w:rsidR="00E34016">
        <w:t xml:space="preserve">total </w:t>
      </w:r>
      <w:r w:rsidR="00A264F1">
        <w:t xml:space="preserve">of 502 enforcement actions is averaged over the 13.5 year period examined here, </w:t>
      </w:r>
      <w:r w:rsidR="00D11F2F">
        <w:t>the ACMA</w:t>
      </w:r>
      <w:r w:rsidR="00A264F1">
        <w:t xml:space="preserve"> took </w:t>
      </w:r>
      <w:r w:rsidR="00FA5493">
        <w:t>just over 37 actions per year.</w:t>
      </w:r>
    </w:p>
    <w:p w14:paraId="635F23E6" w14:textId="3984B540" w:rsidR="00271736" w:rsidRPr="00271736" w:rsidRDefault="00D60812" w:rsidP="00855F5B">
      <w:r>
        <w:t>Of the 309 providers with enforcement action taken against them, 79 were the subject of more than one action.</w:t>
      </w:r>
      <w:r w:rsidR="003F43FF">
        <w:t xml:space="preserve"> </w:t>
      </w:r>
      <w:r w:rsidR="361C86D7">
        <w:t>The providers with the most enforcement actions taken against them were: Telstra (2</w:t>
      </w:r>
      <w:r w:rsidR="002D5F60">
        <w:t>4</w:t>
      </w:r>
      <w:r w:rsidR="361C86D7">
        <w:t>), Lycamobile (1</w:t>
      </w:r>
      <w:r w:rsidR="002D5F60">
        <w:t>2</w:t>
      </w:r>
      <w:r w:rsidR="361C86D7">
        <w:t>), Optus (</w:t>
      </w:r>
      <w:r w:rsidR="5D0768E6">
        <w:t>1</w:t>
      </w:r>
      <w:r w:rsidR="00A91185">
        <w:t>1</w:t>
      </w:r>
      <w:r w:rsidR="361C86D7">
        <w:t>)</w:t>
      </w:r>
      <w:r w:rsidR="008434A4">
        <w:t xml:space="preserve"> and</w:t>
      </w:r>
      <w:r w:rsidR="361C86D7">
        <w:t xml:space="preserve"> </w:t>
      </w:r>
      <w:r w:rsidR="00B44177">
        <w:t>Spintel</w:t>
      </w:r>
      <w:r w:rsidR="008434A4">
        <w:t>, TPG and Vodafone</w:t>
      </w:r>
      <w:r w:rsidR="00B44177">
        <w:t xml:space="preserve"> </w:t>
      </w:r>
      <w:r w:rsidR="361C86D7">
        <w:t>(8</w:t>
      </w:r>
      <w:r w:rsidR="008434A4">
        <w:t xml:space="preserve"> each</w:t>
      </w:r>
      <w:r w:rsidR="361C86D7">
        <w:t>)</w:t>
      </w:r>
      <w:r w:rsidR="003B3866">
        <w:t>,</w:t>
      </w:r>
      <w:r w:rsidR="00CD2F79">
        <w:t xml:space="preserve"> </w:t>
      </w:r>
      <w:r w:rsidR="00AF51D1">
        <w:t>although it should be n</w:t>
      </w:r>
      <w:r w:rsidR="00DF1FBA">
        <w:t>oted that these providers together accounted for less than 15% of the overall number of actions.</w:t>
      </w:r>
      <w:r w:rsidR="361C86D7">
        <w:t xml:space="preserve"> </w:t>
      </w:r>
    </w:p>
    <w:p w14:paraId="53F1113C" w14:textId="3064210D" w:rsidR="00FF661D" w:rsidRDefault="361C86D7" w:rsidP="12EC14AA">
      <w:pPr>
        <w:spacing w:after="120"/>
        <w:contextualSpacing/>
      </w:pPr>
      <w:r>
        <w:t xml:space="preserve">The </w:t>
      </w:r>
      <w:r w:rsidR="00D66E2A">
        <w:t xml:space="preserve">provisions that attracted the </w:t>
      </w:r>
      <w:r w:rsidR="00E74809">
        <w:t xml:space="preserve">highest number of </w:t>
      </w:r>
      <w:r>
        <w:t>enforce</w:t>
      </w:r>
      <w:r w:rsidR="00D66E2A">
        <w:t>ment</w:t>
      </w:r>
      <w:r>
        <w:t xml:space="preserve"> </w:t>
      </w:r>
      <w:r w:rsidR="00E74809">
        <w:t>actions were those relating to</w:t>
      </w:r>
      <w:r w:rsidR="63DE1C95">
        <w:t>:</w:t>
      </w:r>
    </w:p>
    <w:p w14:paraId="1F7203A4" w14:textId="4F236C99" w:rsidR="000C1709" w:rsidRPr="00271736" w:rsidRDefault="000C1709" w:rsidP="000C1709">
      <w:pPr>
        <w:pStyle w:val="Bullets"/>
      </w:pPr>
      <w:r>
        <w:t>the obligations to provide Communications Compliance (CommCom) with compliance attestation documentation</w:t>
      </w:r>
      <w:r w:rsidR="00D37210">
        <w:t xml:space="preserve"> (</w:t>
      </w:r>
      <w:r w:rsidR="00843D01">
        <w:t>24</w:t>
      </w:r>
      <w:r w:rsidR="00610585">
        <w:t>0</w:t>
      </w:r>
      <w:r w:rsidR="00843D01">
        <w:t xml:space="preserve"> actions)</w:t>
      </w:r>
      <w:r>
        <w:t xml:space="preserve"> </w:t>
      </w:r>
    </w:p>
    <w:p w14:paraId="622F0D1A" w14:textId="0FC0B9C6" w:rsidR="00FF661D" w:rsidRDefault="2E7D9F73" w:rsidP="00D63331">
      <w:pPr>
        <w:pStyle w:val="Bullets"/>
      </w:pPr>
      <w:r>
        <w:t xml:space="preserve">the </w:t>
      </w:r>
      <w:r w:rsidR="2E9BE384">
        <w:t xml:space="preserve">provision of </w:t>
      </w:r>
      <w:r w:rsidR="38C80B77">
        <w:t>Integrated Public Number Database-related information</w:t>
      </w:r>
      <w:r w:rsidR="00C02F8F">
        <w:t xml:space="preserve"> </w:t>
      </w:r>
      <w:r w:rsidR="2E9BE384">
        <w:t xml:space="preserve">(IPND) </w:t>
      </w:r>
      <w:r w:rsidR="75D0A960">
        <w:t>(</w:t>
      </w:r>
      <w:r w:rsidR="00281843">
        <w:t>7</w:t>
      </w:r>
      <w:r w:rsidR="00D55CB8">
        <w:t>3</w:t>
      </w:r>
      <w:r w:rsidR="5E1C74AF">
        <w:t xml:space="preserve"> actions)</w:t>
      </w:r>
      <w:r w:rsidR="6FE9FA78">
        <w:t xml:space="preserve"> </w:t>
      </w:r>
    </w:p>
    <w:p w14:paraId="2261179A" w14:textId="27C9EE86" w:rsidR="0013675A" w:rsidRDefault="0013675A" w:rsidP="00D63331">
      <w:pPr>
        <w:pStyle w:val="Bullets"/>
      </w:pPr>
      <w:r>
        <w:t>obligations relating to complaint handling</w:t>
      </w:r>
      <w:r w:rsidR="00912BB5">
        <w:t xml:space="preserve"> (4</w:t>
      </w:r>
      <w:r w:rsidR="00281843">
        <w:t>9</w:t>
      </w:r>
      <w:r w:rsidR="00912BB5">
        <w:t xml:space="preserve"> actions)</w:t>
      </w:r>
    </w:p>
    <w:p w14:paraId="79987D62" w14:textId="490B399D" w:rsidR="00394C2B" w:rsidRDefault="00394C2B" w:rsidP="00D63331">
      <w:pPr>
        <w:pStyle w:val="Bullets"/>
      </w:pPr>
      <w:r>
        <w:t xml:space="preserve">requirements concerning advertising or provision of information to customers </w:t>
      </w:r>
      <w:r w:rsidR="00912BB5">
        <w:t>(</w:t>
      </w:r>
      <w:r w:rsidR="0031637D">
        <w:t>3</w:t>
      </w:r>
      <w:r w:rsidR="005564A8">
        <w:t>5</w:t>
      </w:r>
      <w:r w:rsidR="0031637D">
        <w:t xml:space="preserve"> actions)</w:t>
      </w:r>
    </w:p>
    <w:p w14:paraId="42168446" w14:textId="61663970" w:rsidR="00FF661D" w:rsidRDefault="2E9BE384" w:rsidP="00D63331">
      <w:pPr>
        <w:pStyle w:val="Bullets"/>
      </w:pPr>
      <w:r>
        <w:t>the requirement</w:t>
      </w:r>
      <w:r w:rsidR="66A7F3C3">
        <w:t>s</w:t>
      </w:r>
      <w:r>
        <w:t xml:space="preserve"> to join </w:t>
      </w:r>
      <w:r w:rsidR="66A7F3C3">
        <w:t xml:space="preserve">and comply with </w:t>
      </w:r>
      <w:r>
        <w:t>the Telecommunications Industry Ombudsman (TIO) scheme</w:t>
      </w:r>
      <w:r w:rsidR="5076ED60">
        <w:t xml:space="preserve"> (</w:t>
      </w:r>
      <w:r w:rsidR="006A384A">
        <w:t xml:space="preserve">28 </w:t>
      </w:r>
      <w:r w:rsidR="5076ED60">
        <w:t>actions)</w:t>
      </w:r>
      <w:r w:rsidR="3DD4622F">
        <w:t xml:space="preserve">. </w:t>
      </w:r>
    </w:p>
    <w:p w14:paraId="67C011B2" w14:textId="69DC0AF5" w:rsidR="00271736" w:rsidRPr="00271736" w:rsidRDefault="00703068" w:rsidP="31481F43">
      <w:pPr>
        <w:pStyle w:val="Bullets"/>
        <w:numPr>
          <w:ilvl w:val="0"/>
          <w:numId w:val="0"/>
        </w:numPr>
      </w:pPr>
      <w:r>
        <w:t>As noted above, t</w:t>
      </w:r>
      <w:r w:rsidR="361C86D7">
        <w:t>he most common enforcement actions were formal warnings and directions to comply. Some other observations are as follows.</w:t>
      </w:r>
    </w:p>
    <w:p w14:paraId="493B5C35" w14:textId="0053E4C0" w:rsidR="00271736" w:rsidRPr="00271736" w:rsidRDefault="5C74B3A2" w:rsidP="00D63331">
      <w:pPr>
        <w:pStyle w:val="Bullets"/>
      </w:pPr>
      <w:r>
        <w:t>R</w:t>
      </w:r>
      <w:r w:rsidR="298AE9FA">
        <w:t xml:space="preserve">emedial directions </w:t>
      </w:r>
      <w:r w:rsidR="5D41598F">
        <w:t xml:space="preserve">to comply with </w:t>
      </w:r>
      <w:r w:rsidR="00AA7AED">
        <w:t>Tel Act</w:t>
      </w:r>
      <w:r w:rsidR="5D41598F">
        <w:t xml:space="preserve"> </w:t>
      </w:r>
      <w:r w:rsidR="2E93513F">
        <w:t>obligations relating to the IPND</w:t>
      </w:r>
      <w:r w:rsidR="56C1A088">
        <w:t xml:space="preserve"> </w:t>
      </w:r>
      <w:r w:rsidR="00AA7AED">
        <w:t>Tel Act</w:t>
      </w:r>
      <w:r w:rsidR="6B23F602">
        <w:t xml:space="preserve"> rules </w:t>
      </w:r>
      <w:r w:rsidR="298AE9FA">
        <w:t xml:space="preserve">were often accompanied by directions to comply </w:t>
      </w:r>
      <w:r w:rsidR="7D3B380B">
        <w:t xml:space="preserve">with </w:t>
      </w:r>
      <w:r w:rsidR="298AE9FA">
        <w:t>the IPND Code</w:t>
      </w:r>
      <w:r w:rsidR="34D35991">
        <w:t xml:space="preserve"> (where both the IPND Code and related </w:t>
      </w:r>
      <w:r w:rsidR="00AA7AED">
        <w:t>Tel Act</w:t>
      </w:r>
      <w:r w:rsidR="34D35991">
        <w:t xml:space="preserve"> obligations were breached)</w:t>
      </w:r>
      <w:r w:rsidR="298AE9FA">
        <w:t>.</w:t>
      </w:r>
    </w:p>
    <w:p w14:paraId="054D2783" w14:textId="4F96D2C7" w:rsidR="00271736" w:rsidRPr="00271736" w:rsidRDefault="16746961" w:rsidP="00D63331">
      <w:pPr>
        <w:pStyle w:val="Bullets"/>
        <w:rPr>
          <w:rStyle w:val="normaltextrun"/>
          <w:rFonts w:eastAsia="Arial" w:cs="Arial"/>
        </w:rPr>
      </w:pPr>
      <w:r>
        <w:t>Infringement notices were issued less frequently</w:t>
      </w:r>
      <w:r w:rsidR="77492A05">
        <w:t xml:space="preserve"> than remedial directions</w:t>
      </w:r>
      <w:r w:rsidR="5E72D62D">
        <w:t xml:space="preserve">. </w:t>
      </w:r>
      <w:r w:rsidR="440F7289" w:rsidRPr="27E57E23">
        <w:rPr>
          <w:rStyle w:val="normaltextrun"/>
          <w:rFonts w:eastAsia="Arial" w:cs="Arial"/>
        </w:rPr>
        <w:t xml:space="preserve">Telstra was issued with the most remedial directions: 3. Netfast, Optus and TransAct Communications were each issued with 2. </w:t>
      </w:r>
      <w:r w:rsidR="002A1161">
        <w:rPr>
          <w:rStyle w:val="normaltextrun"/>
          <w:rFonts w:eastAsia="Arial" w:cs="Arial"/>
        </w:rPr>
        <w:t>Thirty-two</w:t>
      </w:r>
      <w:r w:rsidR="009B0455" w:rsidRPr="27E57E23">
        <w:rPr>
          <w:rStyle w:val="normaltextrun"/>
          <w:rFonts w:eastAsia="Arial" w:cs="Arial"/>
        </w:rPr>
        <w:t xml:space="preserve"> </w:t>
      </w:r>
      <w:r w:rsidR="440F7289" w:rsidRPr="27E57E23">
        <w:rPr>
          <w:rStyle w:val="normaltextrun"/>
          <w:rFonts w:eastAsia="Arial" w:cs="Arial"/>
        </w:rPr>
        <w:t xml:space="preserve">other providers were each issued with 1. Telstra and Lycamobile were issued with the most infringement notices: 4. </w:t>
      </w:r>
      <w:r w:rsidR="007B3C2D" w:rsidRPr="27E57E23">
        <w:rPr>
          <w:rFonts w:eastAsia="Arial" w:cs="Arial"/>
        </w:rPr>
        <w:t>Exetel, Aussie Broadband and Circles Australia</w:t>
      </w:r>
      <w:r w:rsidR="007B3C2D" w:rsidRPr="27E57E23">
        <w:rPr>
          <w:rStyle w:val="normaltextrun"/>
          <w:rFonts w:eastAsia="Arial" w:cs="Arial"/>
        </w:rPr>
        <w:t xml:space="preserve"> </w:t>
      </w:r>
      <w:r w:rsidR="00246DEB" w:rsidRPr="27E57E23">
        <w:rPr>
          <w:rStyle w:val="normaltextrun"/>
          <w:rFonts w:eastAsia="Arial" w:cs="Arial"/>
        </w:rPr>
        <w:t>were each issued 2</w:t>
      </w:r>
      <w:r w:rsidR="440F7289" w:rsidRPr="27E57E23">
        <w:rPr>
          <w:rStyle w:val="normaltextrun"/>
          <w:rFonts w:eastAsia="Arial" w:cs="Arial"/>
        </w:rPr>
        <w:t xml:space="preserve">. </w:t>
      </w:r>
      <w:r w:rsidR="00246DEB" w:rsidRPr="27E57E23">
        <w:rPr>
          <w:rStyle w:val="normaltextrun"/>
          <w:rFonts w:eastAsia="Arial" w:cs="Arial"/>
        </w:rPr>
        <w:t xml:space="preserve">Ten </w:t>
      </w:r>
      <w:r w:rsidR="440F7289" w:rsidRPr="27E57E23">
        <w:rPr>
          <w:rStyle w:val="normaltextrun"/>
          <w:rFonts w:eastAsia="Arial" w:cs="Arial"/>
        </w:rPr>
        <w:t>other providers each received 1.</w:t>
      </w:r>
    </w:p>
    <w:p w14:paraId="7BF18049" w14:textId="0AB1F49D" w:rsidR="00271736" w:rsidRPr="00271736" w:rsidRDefault="6FE9FA78" w:rsidP="00D63331">
      <w:pPr>
        <w:pStyle w:val="Bullets"/>
      </w:pPr>
      <w:r>
        <w:t xml:space="preserve">The three civil penalty orders </w:t>
      </w:r>
      <w:r w:rsidR="023AE97A">
        <w:t xml:space="preserve">(and </w:t>
      </w:r>
      <w:r w:rsidR="718A8C66">
        <w:t>one</w:t>
      </w:r>
      <w:r w:rsidR="00DD1E21">
        <w:t xml:space="preserve"> </w:t>
      </w:r>
      <w:r w:rsidR="023AE97A">
        <w:t xml:space="preserve">injunction) </w:t>
      </w:r>
      <w:r>
        <w:t xml:space="preserve">were all obtained in circumstances where there were repeated failures to comply with determinations made by the TIO or where issues of public safety were concerned. </w:t>
      </w:r>
    </w:p>
    <w:p w14:paraId="1E80E4F9" w14:textId="3E6B9348" w:rsidR="00611462" w:rsidRPr="000B1CA7" w:rsidRDefault="298AE9FA" w:rsidP="05D430A3">
      <w:pPr>
        <w:pStyle w:val="Bullets"/>
      </w:pPr>
      <w:r>
        <w:t xml:space="preserve">Enforceable undertakings were obtained for breaches of the </w:t>
      </w:r>
      <w:r w:rsidR="00AA7AED">
        <w:t>Tel Act</w:t>
      </w:r>
      <w:r w:rsidR="445763F0">
        <w:t xml:space="preserve"> obligations relating to the </w:t>
      </w:r>
      <w:r>
        <w:t xml:space="preserve">IPND, the </w:t>
      </w:r>
      <w:r w:rsidR="00D11F2F">
        <w:t>ACMA</w:t>
      </w:r>
      <w:r>
        <w:t>’s Determination concerning migration to the NBN,</w:t>
      </w:r>
      <w:r w:rsidR="23841F55">
        <w:t xml:space="preserve"> </w:t>
      </w:r>
      <w:r w:rsidR="4F088ED3">
        <w:t xml:space="preserve">the </w:t>
      </w:r>
      <w:r w:rsidR="087975F9" w:rsidRPr="12EC14AA">
        <w:rPr>
          <w:rFonts w:eastAsia="Arial" w:cs="Arial"/>
        </w:rPr>
        <w:t xml:space="preserve">Telecommunications (Consumer Complaints Handling) Industry Standard 2018, </w:t>
      </w:r>
      <w:r w:rsidR="23841F55">
        <w:t xml:space="preserve">the </w:t>
      </w:r>
      <w:r w:rsidR="7DCE9393">
        <w:t xml:space="preserve">priority assistance obligation imposed on Telstra by way of the Telecommunications (Carrier Licence Conditions Telstra Corporation Limited) Declaration 2019, </w:t>
      </w:r>
      <w:r w:rsidR="23841F55">
        <w:t>the Telecommunications (Service Provider – Identity Checks for Prepaid Mobile Carriage Services) Determination 2017,</w:t>
      </w:r>
      <w:r w:rsidR="5E350C36">
        <w:t xml:space="preserve"> </w:t>
      </w:r>
      <w:r w:rsidR="105CC5FA">
        <w:t xml:space="preserve">and </w:t>
      </w:r>
      <w:r w:rsidR="6E1C07E0">
        <w:t>the Telecommunications (Emergency Call Service) Determination 2009</w:t>
      </w:r>
      <w:r w:rsidR="2D0F27F3">
        <w:t>.</w:t>
      </w:r>
      <w:bookmarkStart w:id="9" w:name="_Hlk145852545"/>
    </w:p>
    <w:bookmarkEnd w:id="9"/>
    <w:p w14:paraId="197F10F0" w14:textId="04DAEC6F" w:rsidR="002A1BE6" w:rsidRDefault="00677F6C" w:rsidP="003322F0">
      <w:r>
        <w:t>It should be noted that this reporting of year-on-year results is only one way of presenting enforcement data and does not take account of the complexity of compliance investigations</w:t>
      </w:r>
      <w:r w:rsidR="00CC73F4">
        <w:t xml:space="preserve"> or </w:t>
      </w:r>
      <w:r w:rsidR="00CC73F4">
        <w:lastRenderedPageBreak/>
        <w:t>the differing nature of consumer harm</w:t>
      </w:r>
      <w:r w:rsidR="006A2796">
        <w:t xml:space="preserve">, </w:t>
      </w:r>
      <w:r w:rsidR="00445B5E">
        <w:t xml:space="preserve">and nor does it provide insight into the deterrence value of </w:t>
      </w:r>
      <w:r w:rsidR="004A4C81">
        <w:t>some enforcement actions over others</w:t>
      </w:r>
      <w:r>
        <w:t>.</w:t>
      </w:r>
      <w:r w:rsidR="002A1BE6">
        <w:t xml:space="preserve"> </w:t>
      </w:r>
      <w:r w:rsidR="00E938FF">
        <w:t xml:space="preserve">It should also be noted that </w:t>
      </w:r>
      <w:r w:rsidR="00D11F2F">
        <w:t>the ACMA</w:t>
      </w:r>
      <w:r w:rsidR="00E938FF">
        <w:t xml:space="preserve"> undertook numerous compliance audits of communications providers from 2010 to 2023, examples of which are provided in Annex C.</w:t>
      </w:r>
    </w:p>
    <w:p w14:paraId="1E31735A" w14:textId="4D3CE73A" w:rsidR="00E1598B" w:rsidRPr="004B32EA" w:rsidRDefault="00E1598B" w:rsidP="003322F0">
      <w:pPr>
        <w:rPr>
          <w:color w:val="0000FF" w:themeColor="accent1"/>
          <w:sz w:val="30"/>
          <w:szCs w:val="30"/>
        </w:rPr>
      </w:pPr>
      <w:r w:rsidRPr="004B32EA">
        <w:rPr>
          <w:color w:val="0000FF" w:themeColor="accent1"/>
          <w:sz w:val="30"/>
          <w:szCs w:val="30"/>
        </w:rPr>
        <w:t>Observations</w:t>
      </w:r>
    </w:p>
    <w:p w14:paraId="5045B121" w14:textId="365AA249" w:rsidR="00BD3179" w:rsidRDefault="00FD0FB9" w:rsidP="00F02A7F">
      <w:r>
        <w:t xml:space="preserve">A comprehensive assessment of </w:t>
      </w:r>
      <w:r w:rsidR="00D11F2F">
        <w:t>the ACMA</w:t>
      </w:r>
      <w:r>
        <w:t>’s practices against the principles of responsive and risk-based regulation would require a richer understanding of context and access to additional data. However, t</w:t>
      </w:r>
      <w:r w:rsidR="153FDCE0">
        <w:t xml:space="preserve">he </w:t>
      </w:r>
      <w:r w:rsidR="5CEA4857">
        <w:t xml:space="preserve">publicly available </w:t>
      </w:r>
      <w:r w:rsidR="153FDCE0">
        <w:t xml:space="preserve">data presented in this report suggests that when </w:t>
      </w:r>
      <w:r w:rsidR="00D11F2F">
        <w:t>the ACMA</w:t>
      </w:r>
      <w:r w:rsidR="153FDCE0">
        <w:t xml:space="preserve"> takes enforcement action it acts in accordance with and subject to the limitations of the </w:t>
      </w:r>
      <w:r w:rsidR="00AA7AED">
        <w:t>Tel Act</w:t>
      </w:r>
      <w:r w:rsidR="153FDCE0">
        <w:t xml:space="preserve">. It also suggests that </w:t>
      </w:r>
      <w:r w:rsidR="00D11F2F">
        <w:t>the ACMA</w:t>
      </w:r>
      <w:r w:rsidR="153FDCE0">
        <w:t xml:space="preserve"> broadly acts in a way that is consistent with its Compliance and Enforcement Policy and related guidelines. </w:t>
      </w:r>
    </w:p>
    <w:p w14:paraId="66BC3B7B" w14:textId="07D85120" w:rsidR="00925D62" w:rsidRDefault="00641F09" w:rsidP="00F02A7F">
      <w:r>
        <w:t xml:space="preserve">In the five-year period </w:t>
      </w:r>
      <w:r w:rsidR="00605687">
        <w:t>2018-19</w:t>
      </w:r>
      <w:r>
        <w:t xml:space="preserve"> to </w:t>
      </w:r>
      <w:r w:rsidR="00921E40">
        <w:t>2022-23</w:t>
      </w:r>
      <w:r w:rsidR="00605687">
        <w:t xml:space="preserve">, </w:t>
      </w:r>
      <w:r w:rsidR="00D11F2F">
        <w:t>the ACMA</w:t>
      </w:r>
      <w:r w:rsidR="00605687">
        <w:t xml:space="preserve"> </w:t>
      </w:r>
      <w:r w:rsidR="002D0DAA">
        <w:t>took 211 enforcement action</w:t>
      </w:r>
      <w:r w:rsidR="7F027CDB">
        <w:t>s</w:t>
      </w:r>
      <w:r w:rsidR="00605687">
        <w:t xml:space="preserve">; </w:t>
      </w:r>
      <w:r w:rsidR="00C110CF">
        <w:t xml:space="preserve">while this is lower than the </w:t>
      </w:r>
      <w:r w:rsidR="0015536A">
        <w:t xml:space="preserve">259 actions it took </w:t>
      </w:r>
      <w:r w:rsidR="006D641D">
        <w:t xml:space="preserve">in the </w:t>
      </w:r>
      <w:r w:rsidR="00593938">
        <w:t xml:space="preserve">previous </w:t>
      </w:r>
      <w:r w:rsidR="006D641D">
        <w:t>five years</w:t>
      </w:r>
      <w:r w:rsidR="001022F3">
        <w:t xml:space="preserve">, the </w:t>
      </w:r>
      <w:r w:rsidR="00DD10AB">
        <w:t>results for the earlier period are</w:t>
      </w:r>
      <w:r w:rsidR="001022F3">
        <w:t xml:space="preserve"> affected by </w:t>
      </w:r>
      <w:r w:rsidR="008D4F51">
        <w:t>a single</w:t>
      </w:r>
      <w:r w:rsidR="002C3A1F">
        <w:t xml:space="preserve"> </w:t>
      </w:r>
      <w:r w:rsidR="008D4F51">
        <w:t>compliance audit in 2013 (</w:t>
      </w:r>
      <w:r w:rsidR="002C3A1F">
        <w:t xml:space="preserve">following the establishment of </w:t>
      </w:r>
      <w:r w:rsidR="008D4F51">
        <w:t xml:space="preserve">Communications Compliance </w:t>
      </w:r>
      <w:r w:rsidR="002C3A1F">
        <w:t xml:space="preserve">and </w:t>
      </w:r>
      <w:r w:rsidR="00C732D9">
        <w:t>a new</w:t>
      </w:r>
      <w:r w:rsidR="002C3A1F">
        <w:t xml:space="preserve"> Compliance Framework under the TCP Code) </w:t>
      </w:r>
      <w:r w:rsidR="00DB1891">
        <w:t xml:space="preserve">which led to </w:t>
      </w:r>
      <w:r w:rsidR="00F806E4">
        <w:t>95</w:t>
      </w:r>
      <w:r w:rsidR="00AB164D">
        <w:t xml:space="preserve"> formal warning</w:t>
      </w:r>
      <w:r w:rsidR="00DB1891">
        <w:t>s</w:t>
      </w:r>
      <w:r w:rsidR="001312F5">
        <w:t xml:space="preserve">. Furthermore, </w:t>
      </w:r>
      <w:r w:rsidR="00605687">
        <w:t xml:space="preserve">it appears </w:t>
      </w:r>
      <w:r w:rsidR="001312F5">
        <w:t xml:space="preserve">that </w:t>
      </w:r>
      <w:r w:rsidR="00D11F2F">
        <w:t>the ACMA</w:t>
      </w:r>
      <w:r w:rsidR="001312F5">
        <w:t xml:space="preserve"> has </w:t>
      </w:r>
      <w:r w:rsidR="00605687">
        <w:t>diversified the types of enforcement actions it has taken</w:t>
      </w:r>
      <w:r w:rsidR="00A47255">
        <w:t xml:space="preserve"> since 2018-19</w:t>
      </w:r>
      <w:r w:rsidR="00605687">
        <w:t xml:space="preserve">, issuing more remedial directions and infringement notices and accepting enforceable undertakings rather than opting to issue formal warnings and directions to comply. </w:t>
      </w:r>
      <w:r w:rsidR="008F7175">
        <w:t>This</w:t>
      </w:r>
      <w:r w:rsidR="4773AC53">
        <w:t xml:space="preserve"> could suggest a stronger approach to enforcement than in previous years.</w:t>
      </w:r>
      <w:r w:rsidR="00A47255">
        <w:t xml:space="preserve"> </w:t>
      </w:r>
      <w:r w:rsidR="000C035E">
        <w:t>It may also reflect the specific type</w:t>
      </w:r>
      <w:r w:rsidR="00696580">
        <w:t>s</w:t>
      </w:r>
      <w:r w:rsidR="000C035E">
        <w:t xml:space="preserve"> of regulatory rules breached.   </w:t>
      </w:r>
    </w:p>
    <w:p w14:paraId="703E4E6F" w14:textId="0C6CAFAC" w:rsidR="00D556E8" w:rsidRDefault="002D41A8" w:rsidP="00D556E8">
      <w:pPr>
        <w:rPr>
          <w:rFonts w:eastAsia="Calibri" w:cs="Arial"/>
        </w:rPr>
      </w:pPr>
      <w:r>
        <w:t>T</w:t>
      </w:r>
      <w:r w:rsidR="00D556E8">
        <w:t xml:space="preserve">he data provokes questions (outside the scope of this report) about the adequacy of </w:t>
      </w:r>
      <w:r w:rsidR="00D11F2F">
        <w:t>the ACMA</w:t>
      </w:r>
      <w:r w:rsidR="00D556E8">
        <w:t xml:space="preserve">’s </w:t>
      </w:r>
      <w:r w:rsidR="00AA7AED">
        <w:t>Tel Act</w:t>
      </w:r>
      <w:r w:rsidR="00D556E8">
        <w:t xml:space="preserve"> enforcement powers – in particular, whether </w:t>
      </w:r>
      <w:r w:rsidR="00D11F2F">
        <w:t>the ACMA</w:t>
      </w:r>
      <w:r w:rsidR="00D556E8">
        <w:t xml:space="preserve"> needs additional tools (used in isolation or combination) to secure or motivate industry compliance. These questions would include </w:t>
      </w:r>
      <w:r w:rsidR="009B5601">
        <w:t xml:space="preserve">whether </w:t>
      </w:r>
      <w:r w:rsidR="00D11F2F">
        <w:t>the ACMA</w:t>
      </w:r>
      <w:r w:rsidR="009B5601">
        <w:t xml:space="preserve"> </w:t>
      </w:r>
      <w:r w:rsidR="00D556E8">
        <w:t xml:space="preserve">should have access to tools </w:t>
      </w:r>
      <w:r w:rsidR="009B5601">
        <w:t xml:space="preserve">other than a </w:t>
      </w:r>
      <w:r w:rsidR="7F6AECA8">
        <w:t xml:space="preserve">formal warning and </w:t>
      </w:r>
      <w:r w:rsidR="009B5601">
        <w:t xml:space="preserve">a direction to comply for breaches of codes of practice; whether </w:t>
      </w:r>
      <w:r w:rsidR="00D556E8">
        <w:t xml:space="preserve">the value of an infringement fine </w:t>
      </w:r>
      <w:r w:rsidR="009B5601">
        <w:t xml:space="preserve">should be </w:t>
      </w:r>
      <w:r w:rsidR="00D556E8">
        <w:t xml:space="preserve">increased to cover situations where a relatively serious single breach attracts a </w:t>
      </w:r>
      <w:r w:rsidR="00D97F86">
        <w:t>heavier</w:t>
      </w:r>
      <w:r w:rsidR="00D556E8">
        <w:t xml:space="preserve"> fine</w:t>
      </w:r>
      <w:r w:rsidR="0095259C">
        <w:t xml:space="preserve">; </w:t>
      </w:r>
      <w:r w:rsidR="00D922C7">
        <w:t xml:space="preserve">and </w:t>
      </w:r>
      <w:r w:rsidR="0095259C">
        <w:t xml:space="preserve">whether </w:t>
      </w:r>
      <w:r w:rsidR="00D11F2F">
        <w:t>the ACMA</w:t>
      </w:r>
      <w:r w:rsidR="00D556E8">
        <w:t xml:space="preserve"> </w:t>
      </w:r>
      <w:r w:rsidR="004E0E0A">
        <w:t xml:space="preserve">should </w:t>
      </w:r>
      <w:r w:rsidR="00D556E8">
        <w:t xml:space="preserve">be able to seek the imposition of criminal penalties on providers who </w:t>
      </w:r>
      <w:r w:rsidR="00CB3263">
        <w:t xml:space="preserve">seriously and repeatedly </w:t>
      </w:r>
      <w:r w:rsidR="00D556E8">
        <w:t>fail to comply with consumer protection rules</w:t>
      </w:r>
      <w:r w:rsidR="6DEFEDD2">
        <w:t xml:space="preserve"> </w:t>
      </w:r>
      <w:r w:rsidR="0095259C">
        <w:t xml:space="preserve">and </w:t>
      </w:r>
      <w:r w:rsidR="00D556E8" w:rsidRPr="27E57E23">
        <w:rPr>
          <w:rFonts w:eastAsia="Calibri" w:cs="Arial"/>
        </w:rPr>
        <w:t>exclude temporarily or permanently from the market service providers who serially breach their consumer</w:t>
      </w:r>
      <w:r w:rsidR="00D922C7">
        <w:rPr>
          <w:rFonts w:eastAsia="Calibri" w:cs="Arial"/>
        </w:rPr>
        <w:t xml:space="preserve"> </w:t>
      </w:r>
      <w:r w:rsidR="00D556E8" w:rsidRPr="27E57E23">
        <w:rPr>
          <w:rFonts w:eastAsia="Calibri" w:cs="Arial"/>
        </w:rPr>
        <w:t xml:space="preserve">protection obligations </w:t>
      </w:r>
      <w:r w:rsidR="00A74A30">
        <w:rPr>
          <w:rFonts w:eastAsia="Calibri" w:cs="Arial"/>
        </w:rPr>
        <w:t>with the result of</w:t>
      </w:r>
      <w:r w:rsidR="00D556E8" w:rsidRPr="27E57E23">
        <w:rPr>
          <w:rFonts w:eastAsia="Calibri" w:cs="Arial"/>
        </w:rPr>
        <w:t xml:space="preserve"> serious consumer harm</w:t>
      </w:r>
      <w:r w:rsidR="009655D5" w:rsidRPr="27E57E23">
        <w:rPr>
          <w:rFonts w:eastAsia="Calibri" w:cs="Arial"/>
        </w:rPr>
        <w:t>.</w:t>
      </w:r>
    </w:p>
    <w:p w14:paraId="451489EE" w14:textId="51DE836D" w:rsidR="00187702" w:rsidRDefault="00923B90" w:rsidP="00187702">
      <w:pPr>
        <w:pStyle w:val="Bullets"/>
        <w:numPr>
          <w:ilvl w:val="0"/>
          <w:numId w:val="0"/>
        </w:numPr>
      </w:pPr>
      <w:r>
        <w:t xml:space="preserve">The data </w:t>
      </w:r>
      <w:r w:rsidR="00A85525">
        <w:t xml:space="preserve">also points to aspects of compliance and </w:t>
      </w:r>
      <w:r w:rsidR="00536B80">
        <w:t>enforcement that deserve additional consideration</w:t>
      </w:r>
      <w:r w:rsidR="00B21AD3">
        <w:t>. Charting the c</w:t>
      </w:r>
      <w:r w:rsidR="00536B80">
        <w:t xml:space="preserve">orrelation of </w:t>
      </w:r>
      <w:r w:rsidR="00D11F2F">
        <w:t>the ACMA</w:t>
      </w:r>
      <w:r w:rsidR="00536B80">
        <w:t xml:space="preserve">’s self-initiated audits with enforcement outcomes, </w:t>
      </w:r>
      <w:r w:rsidR="00B21AD3">
        <w:t xml:space="preserve">for example, </w:t>
      </w:r>
      <w:r w:rsidR="00536B80">
        <w:t>may highlight the value of this work</w:t>
      </w:r>
      <w:r w:rsidR="004834C0">
        <w:t xml:space="preserve">, while </w:t>
      </w:r>
      <w:r w:rsidR="008543BB">
        <w:t xml:space="preserve">additional consideration of the following aspects would help to inform </w:t>
      </w:r>
      <w:r w:rsidR="005604E3">
        <w:t xml:space="preserve">industry, government and the community on the </w:t>
      </w:r>
      <w:r w:rsidR="00967DD1">
        <w:t xml:space="preserve">impact of regulatory interventions: </w:t>
      </w:r>
      <w:r w:rsidR="00187702">
        <w:t>the extent to which the degree of consumer harm is an element in decisions on enforcement action;</w:t>
      </w:r>
      <w:r w:rsidR="00046C9E">
        <w:t xml:space="preserve"> </w:t>
      </w:r>
      <w:r w:rsidR="00187702">
        <w:t>the relative merits of using available alternative enforcement mechanism</w:t>
      </w:r>
      <w:r w:rsidR="00046C9E">
        <w:t>s</w:t>
      </w:r>
      <w:r w:rsidR="00187702">
        <w:t xml:space="preserve"> (eg, formal warnings or directions to comply for code breaches</w:t>
      </w:r>
      <w:r w:rsidR="00046C9E">
        <w:t xml:space="preserve">); </w:t>
      </w:r>
      <w:r w:rsidR="00187702">
        <w:t>the targeting of available enforcement resources to service providers with demonstrated compliance problems;</w:t>
      </w:r>
      <w:r w:rsidR="00055D77">
        <w:t xml:space="preserve"> </w:t>
      </w:r>
      <w:r w:rsidR="58DAFAFF">
        <w:t xml:space="preserve">and </w:t>
      </w:r>
      <w:r w:rsidR="00187702">
        <w:t xml:space="preserve">the additional deterrence value of civil penalties </w:t>
      </w:r>
      <w:r w:rsidR="00055D77">
        <w:t>and injunctions</w:t>
      </w:r>
      <w:r w:rsidR="00187702">
        <w:t>.</w:t>
      </w:r>
    </w:p>
    <w:p w14:paraId="7F9E92B8" w14:textId="509DCF1C" w:rsidR="00536B80" w:rsidRDefault="006D1C5E" w:rsidP="00187702">
      <w:r>
        <w:t xml:space="preserve">Finally, </w:t>
      </w:r>
      <w:r w:rsidR="00950D1B">
        <w:t>the material considered in this report highlights the importance of publicly available data on enforcement of consumer protection rules</w:t>
      </w:r>
      <w:r w:rsidR="00426EBF">
        <w:t xml:space="preserve"> </w:t>
      </w:r>
      <w:r w:rsidR="00CC7F38">
        <w:t>and suggests the need for a statutory</w:t>
      </w:r>
      <w:r w:rsidR="00426EBF">
        <w:t xml:space="preserve"> register of completed investigations and enforcement action</w:t>
      </w:r>
      <w:r w:rsidR="00B43360">
        <w:t>,</w:t>
      </w:r>
      <w:r w:rsidR="00C4278C">
        <w:t xml:space="preserve"> </w:t>
      </w:r>
      <w:r w:rsidR="00426EBF">
        <w:t xml:space="preserve">subject to </w:t>
      </w:r>
      <w:r w:rsidR="00D11F2F">
        <w:t>the ACMA</w:t>
      </w:r>
      <w:r w:rsidR="00426EBF">
        <w:t xml:space="preserve"> being satisfied that publication is in the public interest</w:t>
      </w:r>
      <w:r w:rsidR="00C4278C">
        <w:t>.</w:t>
      </w:r>
    </w:p>
    <w:p w14:paraId="14E09A74" w14:textId="77777777" w:rsidR="00DB404C" w:rsidRDefault="00DB404C">
      <w:r>
        <w:br w:type="page"/>
      </w:r>
    </w:p>
    <w:p w14:paraId="07922332" w14:textId="77777777" w:rsidR="00CC3E7D" w:rsidRPr="005623A6" w:rsidRDefault="00F17831" w:rsidP="00F17831">
      <w:pPr>
        <w:pStyle w:val="Heading1"/>
      </w:pPr>
      <w:bookmarkStart w:id="10" w:name="_Toc146201018"/>
      <w:bookmarkStart w:id="11" w:name="_Toc161836146"/>
      <w:r w:rsidRPr="005623A6">
        <w:lastRenderedPageBreak/>
        <w:t>Introduction</w:t>
      </w:r>
      <w:bookmarkEnd w:id="5"/>
      <w:bookmarkEnd w:id="6"/>
      <w:bookmarkEnd w:id="7"/>
      <w:bookmarkEnd w:id="10"/>
      <w:bookmarkEnd w:id="11"/>
    </w:p>
    <w:bookmarkEnd w:id="8"/>
    <w:p w14:paraId="0C5CDA7B" w14:textId="77777777" w:rsidR="00E93A11" w:rsidRPr="005623A6" w:rsidRDefault="00E93A11" w:rsidP="00E93A11"/>
    <w:p w14:paraId="3B023C15" w14:textId="22AB52B3" w:rsidR="00D853DA" w:rsidRDefault="676F21C9" w:rsidP="27E57E23">
      <w:r>
        <w:t xml:space="preserve">In this report, we </w:t>
      </w:r>
      <w:r w:rsidR="460DCC8A">
        <w:t xml:space="preserve">identify </w:t>
      </w:r>
      <w:r>
        <w:t xml:space="preserve">the tools </w:t>
      </w:r>
      <w:r w:rsidR="00D11F2F">
        <w:t>the ACMA</w:t>
      </w:r>
      <w:r>
        <w:t xml:space="preserve"> may use to enforce</w:t>
      </w:r>
      <w:r w:rsidR="2A4982FB">
        <w:t xml:space="preserve"> </w:t>
      </w:r>
      <w:r w:rsidR="0CBD95D3">
        <w:t xml:space="preserve">certain </w:t>
      </w:r>
      <w:r w:rsidR="3F314440">
        <w:t xml:space="preserve">‘core’ </w:t>
      </w:r>
      <w:r w:rsidR="2A4982FB">
        <w:t xml:space="preserve">consumer-protection related provisions of the </w:t>
      </w:r>
      <w:r w:rsidR="00AA7AED">
        <w:t>Tel Act</w:t>
      </w:r>
      <w:r w:rsidR="39510B63">
        <w:t xml:space="preserve"> </w:t>
      </w:r>
      <w:r w:rsidR="2A4982FB">
        <w:t xml:space="preserve">and </w:t>
      </w:r>
      <w:r w:rsidR="2A4982FB" w:rsidRPr="27E57E23">
        <w:rPr>
          <w:i/>
          <w:iCs/>
        </w:rPr>
        <w:t>T</w:t>
      </w:r>
      <w:r w:rsidR="39510B63" w:rsidRPr="27E57E23">
        <w:rPr>
          <w:i/>
          <w:iCs/>
        </w:rPr>
        <w:t xml:space="preserve">elecommunications (Consumer Protection and Service Standards) </w:t>
      </w:r>
      <w:r w:rsidR="2A4982FB" w:rsidRPr="27E57E23">
        <w:rPr>
          <w:i/>
          <w:iCs/>
        </w:rPr>
        <w:t>Ac</w:t>
      </w:r>
      <w:r w:rsidR="39510B63" w:rsidRPr="27E57E23">
        <w:rPr>
          <w:i/>
          <w:iCs/>
        </w:rPr>
        <w:t>t 1999</w:t>
      </w:r>
      <w:r w:rsidR="39510B63">
        <w:t xml:space="preserve"> (Cth) (TCPSS Act)</w:t>
      </w:r>
      <w:r w:rsidR="2A4982FB">
        <w:t xml:space="preserve">. </w:t>
      </w:r>
      <w:r w:rsidR="6751EE9E">
        <w:t xml:space="preserve">The report </w:t>
      </w:r>
      <w:r w:rsidR="30F562C4">
        <w:t xml:space="preserve">centres </w:t>
      </w:r>
      <w:r w:rsidR="6751EE9E">
        <w:t xml:space="preserve">on a set of key telecommunications consumer protection measures, not on the full range of measures. The report does not cover all consumer-related provisions in these Acts and associated regulatory instruments; the scope of the research was restricted to take account of the available budget and timeline for the work. Accordingly, the research was designed to cover key consumer protection measures identified in conjunction with </w:t>
      </w:r>
      <w:r w:rsidR="596BB2D1">
        <w:t xml:space="preserve">ACCAN — </w:t>
      </w:r>
      <w:r w:rsidR="6751EE9E">
        <w:t xml:space="preserve">the leading </w:t>
      </w:r>
      <w:r w:rsidR="0A5007A3">
        <w:t xml:space="preserve">Australian </w:t>
      </w:r>
      <w:r w:rsidR="6751EE9E">
        <w:t>communications consumer body that funded this research. This means that some measures such as those in the TCPSS Act relating to the provision of untimed local calls or the operation of the Customer Service Guarantee, as well as separate schemes such as those relating to telemark</w:t>
      </w:r>
      <w:r w:rsidR="724B4E26">
        <w:t>et</w:t>
      </w:r>
      <w:r w:rsidR="6751EE9E">
        <w:t xml:space="preserve">ing calls or spam, </w:t>
      </w:r>
      <w:r w:rsidR="47327BE6">
        <w:t xml:space="preserve">are </w:t>
      </w:r>
      <w:r w:rsidR="6751EE9E">
        <w:t>not covered. Other notes on methodology are set out in Annex B.</w:t>
      </w:r>
    </w:p>
    <w:p w14:paraId="45D06283" w14:textId="3C97A68E" w:rsidR="007368D6" w:rsidRDefault="7E2D5B38" w:rsidP="00E93A11">
      <w:r>
        <w:t>T</w:t>
      </w:r>
      <w:r w:rsidR="3285C4CF">
        <w:t xml:space="preserve">he Australian Competition and Consumer Commission </w:t>
      </w:r>
      <w:r w:rsidR="50095787">
        <w:t xml:space="preserve">(ACCC) </w:t>
      </w:r>
      <w:r w:rsidR="3285C4CF">
        <w:t xml:space="preserve">also has a </w:t>
      </w:r>
      <w:r w:rsidR="50095787">
        <w:t xml:space="preserve">prominent </w:t>
      </w:r>
      <w:r w:rsidR="3285C4CF">
        <w:t xml:space="preserve">role in </w:t>
      </w:r>
      <w:r w:rsidR="50095787">
        <w:t>promoting consumer protection outcomes in the telecommunications industry via its administration of the Australian Consumer Law</w:t>
      </w:r>
      <w:r w:rsidR="3A91AF34">
        <w:t xml:space="preserve">, the </w:t>
      </w:r>
      <w:r w:rsidR="3F884908">
        <w:t>industry</w:t>
      </w:r>
      <w:r w:rsidR="59D67069">
        <w:t>-</w:t>
      </w:r>
      <w:r w:rsidR="0423EC87">
        <w:t xml:space="preserve">specific </w:t>
      </w:r>
      <w:r w:rsidR="3A91AF34">
        <w:t>anti-co</w:t>
      </w:r>
      <w:r w:rsidR="7B00FF94">
        <w:t>mpetitive conduct</w:t>
      </w:r>
      <w:r w:rsidR="7ECF89F3">
        <w:t xml:space="preserve">, </w:t>
      </w:r>
      <w:r w:rsidR="7B00FF94">
        <w:t xml:space="preserve">record keeping </w:t>
      </w:r>
      <w:r w:rsidR="367E2704">
        <w:t xml:space="preserve">and access regime </w:t>
      </w:r>
      <w:r w:rsidR="7B00FF94">
        <w:t xml:space="preserve">rules, </w:t>
      </w:r>
      <w:r w:rsidR="50095787">
        <w:t xml:space="preserve">that </w:t>
      </w:r>
      <w:r w:rsidR="305809CD">
        <w:t xml:space="preserve">form </w:t>
      </w:r>
      <w:r w:rsidR="50095787">
        <w:t xml:space="preserve">part of the </w:t>
      </w:r>
      <w:r w:rsidR="50095787" w:rsidRPr="7EFE6C20">
        <w:rPr>
          <w:i/>
          <w:iCs/>
        </w:rPr>
        <w:t>Competition and Consumer Act 2010</w:t>
      </w:r>
      <w:r w:rsidR="50095787">
        <w:t xml:space="preserve"> (Cth)</w:t>
      </w:r>
      <w:r w:rsidR="3928E302">
        <w:t xml:space="preserve"> and </w:t>
      </w:r>
      <w:r w:rsidR="2A110086">
        <w:t xml:space="preserve">other </w:t>
      </w:r>
      <w:r w:rsidR="7917E8DD">
        <w:t>competition-</w:t>
      </w:r>
      <w:r w:rsidR="2A110086">
        <w:t xml:space="preserve">related obligations </w:t>
      </w:r>
      <w:r w:rsidR="4C8FC41F">
        <w:t xml:space="preserve">set out in the </w:t>
      </w:r>
      <w:r w:rsidR="00AA7AED">
        <w:t>Tel Act</w:t>
      </w:r>
      <w:r w:rsidR="50095787">
        <w:t xml:space="preserve">; this report does not </w:t>
      </w:r>
      <w:r w:rsidR="05308157">
        <w:t xml:space="preserve">address the </w:t>
      </w:r>
      <w:r w:rsidR="4C4E4572">
        <w:t xml:space="preserve">ACCC’s </w:t>
      </w:r>
      <w:r w:rsidR="4282818F">
        <w:t xml:space="preserve">enforcement </w:t>
      </w:r>
      <w:r w:rsidR="50095787">
        <w:t>of the</w:t>
      </w:r>
      <w:r w:rsidR="5DFA4BDE">
        <w:t>se measures.</w:t>
      </w:r>
      <w:r w:rsidR="50095787">
        <w:t xml:space="preserve"> </w:t>
      </w:r>
    </w:p>
    <w:p w14:paraId="613665B1" w14:textId="2B9C47D4" w:rsidR="00CD73B5" w:rsidRPr="005623A6" w:rsidRDefault="2A4982FB" w:rsidP="00841B3C">
      <w:r>
        <w:t xml:space="preserve">The consumer-protection related provisions </w:t>
      </w:r>
      <w:r w:rsidR="0EDD2FA8">
        <w:t xml:space="preserve">that are the focus of this report </w:t>
      </w:r>
      <w:r w:rsidR="00CC52EF">
        <w:t>comprise</w:t>
      </w:r>
      <w:r w:rsidR="7217C848">
        <w:t>:</w:t>
      </w:r>
    </w:p>
    <w:p w14:paraId="7EE81C4D" w14:textId="6ACED158" w:rsidR="00CD73B5" w:rsidRPr="005623A6" w:rsidRDefault="5C281AF8" w:rsidP="00841B3C">
      <w:pPr>
        <w:pStyle w:val="Bullets"/>
        <w:contextualSpacing/>
      </w:pPr>
      <w:r>
        <w:t xml:space="preserve">select </w:t>
      </w:r>
      <w:r w:rsidR="57B3207F">
        <w:t>industry codes</w:t>
      </w:r>
      <w:r w:rsidR="58D70838">
        <w:t xml:space="preserve"> applicable to sections of the telecommunications industry and </w:t>
      </w:r>
      <w:r w:rsidR="57B3207F">
        <w:t xml:space="preserve">registered by </w:t>
      </w:r>
      <w:r w:rsidR="00D11F2F">
        <w:t>the ACMA</w:t>
      </w:r>
      <w:r w:rsidR="57B3207F">
        <w:t xml:space="preserve"> under Part 6 of the </w:t>
      </w:r>
      <w:r w:rsidR="00AA7AED">
        <w:t>Tel Act</w:t>
      </w:r>
      <w:r w:rsidR="2C173024">
        <w:t xml:space="preserve"> </w:t>
      </w:r>
      <w:r w:rsidR="7B31FDD0">
        <w:t>(industry codes)</w:t>
      </w:r>
    </w:p>
    <w:p w14:paraId="2992B07B" w14:textId="4FF62EDE" w:rsidR="00CD73B5" w:rsidRPr="005623A6" w:rsidRDefault="2CE1F5E1" w:rsidP="00841B3C">
      <w:pPr>
        <w:pStyle w:val="Bullets"/>
        <w:contextualSpacing/>
      </w:pPr>
      <w:r>
        <w:t xml:space="preserve">select </w:t>
      </w:r>
      <w:r w:rsidR="57B3207F">
        <w:t xml:space="preserve">industry standards </w:t>
      </w:r>
      <w:r w:rsidR="58D70838">
        <w:t xml:space="preserve">applicable to sections of the telecommunications industry and </w:t>
      </w:r>
      <w:r w:rsidR="57B3207F">
        <w:t xml:space="preserve">determined by </w:t>
      </w:r>
      <w:r w:rsidR="00D11F2F">
        <w:t>the ACMA</w:t>
      </w:r>
      <w:r w:rsidR="57B3207F">
        <w:t xml:space="preserve"> under </w:t>
      </w:r>
      <w:r w:rsidR="492523F0">
        <w:t xml:space="preserve">ss </w:t>
      </w:r>
      <w:r w:rsidR="03083147">
        <w:t xml:space="preserve">123, 124, </w:t>
      </w:r>
      <w:r w:rsidR="492523F0">
        <w:t xml:space="preserve">125 and 125AA </w:t>
      </w:r>
      <w:r w:rsidR="57B3207F">
        <w:t xml:space="preserve">of the </w:t>
      </w:r>
      <w:r w:rsidR="00AA7AED">
        <w:t>Tel Act</w:t>
      </w:r>
      <w:r w:rsidR="7B31FDD0">
        <w:t xml:space="preserve"> (industry standards)</w:t>
      </w:r>
    </w:p>
    <w:p w14:paraId="7B8937EB" w14:textId="77777777" w:rsidR="004052D5" w:rsidRPr="005623A6" w:rsidRDefault="28D051E0" w:rsidP="00841B3C">
      <w:pPr>
        <w:pStyle w:val="Bullets"/>
        <w:contextualSpacing/>
      </w:pPr>
      <w:r>
        <w:t>select service provider rules</w:t>
      </w:r>
      <w:r w:rsidR="6DA11422">
        <w:t>; and</w:t>
      </w:r>
    </w:p>
    <w:p w14:paraId="2DC6111A" w14:textId="0F0EAD97" w:rsidR="1BF5D79A" w:rsidRDefault="68B0CFF5" w:rsidP="00841B3C">
      <w:pPr>
        <w:pStyle w:val="Bullets"/>
        <w:contextualSpacing/>
      </w:pPr>
      <w:r>
        <w:t>select carrier licence conditions</w:t>
      </w:r>
      <w:r w:rsidR="315D2F1B">
        <w:t>.</w:t>
      </w:r>
    </w:p>
    <w:p w14:paraId="125E032D" w14:textId="5D7E6ECE" w:rsidR="7EFE6C20" w:rsidRDefault="7EFE6C20" w:rsidP="00841B3C">
      <w:pPr>
        <w:pStyle w:val="Bullets"/>
        <w:numPr>
          <w:ilvl w:val="0"/>
          <w:numId w:val="0"/>
        </w:numPr>
        <w:contextualSpacing/>
        <w:rPr>
          <w:szCs w:val="21"/>
        </w:rPr>
      </w:pPr>
    </w:p>
    <w:p w14:paraId="2D8DD5D9" w14:textId="3163053E" w:rsidR="003A514C" w:rsidRDefault="55B3166C" w:rsidP="00841B3C">
      <w:pPr>
        <w:pStyle w:val="Bullets"/>
        <w:numPr>
          <w:ilvl w:val="0"/>
          <w:numId w:val="0"/>
        </w:numPr>
        <w:contextualSpacing/>
      </w:pPr>
      <w:r>
        <w:t xml:space="preserve">The select industry codes applicable to sections of the telecommunications industry and registered by </w:t>
      </w:r>
      <w:r w:rsidR="00D11F2F">
        <w:t>the ACMA</w:t>
      </w:r>
      <w:r>
        <w:t xml:space="preserve"> under Part 6 of the </w:t>
      </w:r>
      <w:r w:rsidR="00AA7AED">
        <w:t>Tel Act</w:t>
      </w:r>
      <w:r>
        <w:t xml:space="preserve"> </w:t>
      </w:r>
      <w:r w:rsidR="00CC52EF">
        <w:t>comprise</w:t>
      </w:r>
      <w:r>
        <w:t>:</w:t>
      </w:r>
    </w:p>
    <w:p w14:paraId="0203144E" w14:textId="329C87E2" w:rsidR="55B3166C" w:rsidRDefault="55B3166C" w:rsidP="00841B3C">
      <w:pPr>
        <w:pStyle w:val="Bullets"/>
        <w:numPr>
          <w:ilvl w:val="0"/>
          <w:numId w:val="0"/>
        </w:numPr>
        <w:contextualSpacing/>
      </w:pPr>
    </w:p>
    <w:p w14:paraId="1D9EC3F3" w14:textId="1B5E1752" w:rsidR="00EF52AF" w:rsidRDefault="5C97E176" w:rsidP="00BC2AC6">
      <w:pPr>
        <w:pStyle w:val="Bullets"/>
        <w:spacing w:after="0"/>
        <w:ind w:left="1066" w:hanging="357"/>
      </w:pPr>
      <w:r>
        <w:t xml:space="preserve">the </w:t>
      </w:r>
      <w:r w:rsidR="00EF52AF">
        <w:t xml:space="preserve">Mobile Premium Services (MPS) Code </w:t>
      </w:r>
      <w:r w:rsidR="3359BDC6">
        <w:t xml:space="preserve">the </w:t>
      </w:r>
      <w:r w:rsidR="00EF52AF">
        <w:t>Telecommunications Consumer Protections Code</w:t>
      </w:r>
    </w:p>
    <w:p w14:paraId="5CF6E6D0" w14:textId="03B15532" w:rsidR="00735574" w:rsidRDefault="00735574" w:rsidP="00BC2AC6">
      <w:pPr>
        <w:pStyle w:val="Bullets"/>
        <w:spacing w:after="0"/>
        <w:ind w:left="1066" w:hanging="357"/>
      </w:pPr>
      <w:r>
        <w:t>Information on Accessibility Features for Telephone Equipment</w:t>
      </w:r>
      <w:r w:rsidR="4B9E9354">
        <w:t xml:space="preserve"> Code</w:t>
      </w:r>
    </w:p>
    <w:p w14:paraId="066B0C52" w14:textId="45F5D21D" w:rsidR="00735574" w:rsidRDefault="14D63044" w:rsidP="00BC2AC6">
      <w:pPr>
        <w:pStyle w:val="Bullets"/>
        <w:spacing w:after="0"/>
        <w:ind w:left="1066" w:hanging="357"/>
      </w:pPr>
      <w:r>
        <w:t xml:space="preserve">the </w:t>
      </w:r>
      <w:r w:rsidR="00735574">
        <w:t>Integrated Public Number Database</w:t>
      </w:r>
      <w:r w:rsidR="5D1C1398">
        <w:t xml:space="preserve"> Code</w:t>
      </w:r>
    </w:p>
    <w:p w14:paraId="028A7316" w14:textId="7C460E65" w:rsidR="00D97044" w:rsidRDefault="00D97044" w:rsidP="00BC2AC6">
      <w:pPr>
        <w:pStyle w:val="Bullets"/>
        <w:spacing w:after="0"/>
        <w:ind w:left="1066" w:hanging="357"/>
      </w:pPr>
      <w:r>
        <w:t>the Reducing Scam Calls and Scam SMS Code.</w:t>
      </w:r>
      <w:r>
        <w:rPr>
          <w:rStyle w:val="FootnoteReference"/>
        </w:rPr>
        <w:footnoteReference w:id="2"/>
      </w:r>
    </w:p>
    <w:p w14:paraId="25291B02" w14:textId="6A0773E5" w:rsidR="18BA4805" w:rsidRDefault="18BA4805" w:rsidP="00BC2AC6">
      <w:pPr>
        <w:pStyle w:val="Bullets"/>
        <w:numPr>
          <w:ilvl w:val="0"/>
          <w:numId w:val="0"/>
        </w:numPr>
        <w:contextualSpacing/>
      </w:pPr>
    </w:p>
    <w:p w14:paraId="1B5E78BD" w14:textId="55783EC7" w:rsidR="1F540A92" w:rsidRDefault="1F540A92" w:rsidP="00CC52EF">
      <w:r>
        <w:t xml:space="preserve">The select industry standards applicable to sections of the telecommunications industry and determined by </w:t>
      </w:r>
      <w:r w:rsidR="00D11F2F">
        <w:t>the ACMA</w:t>
      </w:r>
      <w:r>
        <w:t xml:space="preserve"> under ss 125 and 125AA of the </w:t>
      </w:r>
      <w:r w:rsidR="00AA7AED">
        <w:t>Tel Act</w:t>
      </w:r>
      <w:r>
        <w:t xml:space="preserve"> </w:t>
      </w:r>
      <w:r w:rsidR="00CC52EF">
        <w:t>comprise</w:t>
      </w:r>
      <w:r>
        <w:t>:</w:t>
      </w:r>
    </w:p>
    <w:p w14:paraId="1243DBD4" w14:textId="05C7E3C3" w:rsidR="00872A27" w:rsidRDefault="00872A27" w:rsidP="00872A27">
      <w:pPr>
        <w:pStyle w:val="Bullets"/>
        <w:spacing w:after="0"/>
        <w:ind w:left="1066" w:hanging="357"/>
      </w:pPr>
      <w:r w:rsidRPr="00872A27">
        <w:lastRenderedPageBreak/>
        <w:t>the Telecommunications (Mobile Number Pre-Porting Additional Identity Verification) Industry Standard 2020</w:t>
      </w:r>
    </w:p>
    <w:p w14:paraId="58728031" w14:textId="77777777" w:rsidR="00872A27" w:rsidRPr="00872A27" w:rsidRDefault="00872A27" w:rsidP="00872A27">
      <w:pPr>
        <w:pStyle w:val="Bullets"/>
        <w:spacing w:after="0"/>
        <w:ind w:left="1066" w:hanging="357"/>
      </w:pPr>
      <w:r w:rsidRPr="00872A27">
        <w:t>the Telecommunications (NBN Continuity of Service) Industry Standard 2018</w:t>
      </w:r>
    </w:p>
    <w:p w14:paraId="3BACC4F9" w14:textId="77777777" w:rsidR="00872A27" w:rsidRPr="00872A27" w:rsidRDefault="00872A27" w:rsidP="00872A27">
      <w:pPr>
        <w:pStyle w:val="Bullets"/>
        <w:spacing w:after="0"/>
        <w:ind w:left="1066" w:hanging="357"/>
      </w:pPr>
      <w:r w:rsidRPr="00872A27">
        <w:t>the Telecommunications (NBN Consumer Information) Industry Standard 2018</w:t>
      </w:r>
    </w:p>
    <w:p w14:paraId="6E0D50E2" w14:textId="3606D82A" w:rsidR="00872A27" w:rsidRPr="00872A27" w:rsidRDefault="00872A27" w:rsidP="00872A27">
      <w:pPr>
        <w:pStyle w:val="Bullets"/>
        <w:spacing w:after="0"/>
        <w:ind w:left="1066" w:hanging="357"/>
      </w:pPr>
      <w:r>
        <w:t>the Telecommunications (Consumer Complaints Handling) Industry Standard 2018</w:t>
      </w:r>
      <w:r w:rsidR="38F37179">
        <w:t>.</w:t>
      </w:r>
      <w:r w:rsidR="00EA7A90">
        <w:rPr>
          <w:rStyle w:val="FootnoteReference"/>
        </w:rPr>
        <w:footnoteReference w:id="3"/>
      </w:r>
    </w:p>
    <w:p w14:paraId="678B4E3F" w14:textId="47B90B38" w:rsidR="40534902" w:rsidRPr="003835CC" w:rsidRDefault="40534902" w:rsidP="00D97044">
      <w:pPr>
        <w:pStyle w:val="Bullets"/>
        <w:numPr>
          <w:ilvl w:val="0"/>
          <w:numId w:val="0"/>
        </w:numPr>
        <w:ind w:left="708"/>
      </w:pPr>
    </w:p>
    <w:p w14:paraId="7B138D1B" w14:textId="19727286" w:rsidR="00F41753" w:rsidRPr="005623A6" w:rsidRDefault="00B25217" w:rsidP="00F41753">
      <w:r>
        <w:t xml:space="preserve">The select service provider rules </w:t>
      </w:r>
      <w:r w:rsidR="00CC52EF">
        <w:t>comprise</w:t>
      </w:r>
      <w:r>
        <w:t>:</w:t>
      </w:r>
    </w:p>
    <w:p w14:paraId="38194456" w14:textId="78063721" w:rsidR="00251BC1" w:rsidRPr="005623A6" w:rsidRDefault="5066D74D" w:rsidP="00D63331">
      <w:pPr>
        <w:pStyle w:val="Bullets"/>
        <w:contextualSpacing/>
      </w:pPr>
      <w:r w:rsidRPr="005623A6">
        <w:t>the calling line identification, number portability, standard terms and conditions, record-keeping, and pre-selection rules</w:t>
      </w:r>
      <w:bookmarkStart w:id="12" w:name="_Ref146011897"/>
      <w:r w:rsidR="002A49DD" w:rsidRPr="005623A6">
        <w:rPr>
          <w:rStyle w:val="FootnoteReference"/>
        </w:rPr>
        <w:footnoteReference w:id="4"/>
      </w:r>
      <w:bookmarkEnd w:id="12"/>
      <w:r w:rsidRPr="005623A6">
        <w:t xml:space="preserve"> that </w:t>
      </w:r>
      <w:r w:rsidR="00D11F2F">
        <w:t>the ACMA</w:t>
      </w:r>
      <w:r w:rsidRPr="005623A6">
        <w:t xml:space="preserve"> can enforce as a result of Part 1 of Schedule 2</w:t>
      </w:r>
      <w:r w:rsidR="57E61C35" w:rsidRPr="005623A6">
        <w:t xml:space="preserve"> of the </w:t>
      </w:r>
      <w:r w:rsidR="00AA7AED">
        <w:t>Tel Act</w:t>
      </w:r>
      <w:r w:rsidR="7C2F80BE" w:rsidRPr="005623A6">
        <w:t xml:space="preserve"> (</w:t>
      </w:r>
      <w:r w:rsidR="788BEBE2" w:rsidRPr="005623A6">
        <w:t>a</w:t>
      </w:r>
      <w:r w:rsidR="401A2766" w:rsidRPr="005623A6">
        <w:t xml:space="preserve"> </w:t>
      </w:r>
      <w:r w:rsidR="64CE606F" w:rsidRPr="005623A6">
        <w:t>standard service provider rule</w:t>
      </w:r>
      <w:r w:rsidR="788BEBE2" w:rsidRPr="005623A6">
        <w:t xml:space="preserve"> that requires compliance with the </w:t>
      </w:r>
      <w:r w:rsidR="00AA7AED">
        <w:t>Tel Act</w:t>
      </w:r>
      <w:r w:rsidR="18596893">
        <w:t xml:space="preserve"> </w:t>
      </w:r>
      <w:r w:rsidR="788BEBE2" w:rsidRPr="005623A6">
        <w:t>and TCPSS Act</w:t>
      </w:r>
      <w:r w:rsidR="64CE606F" w:rsidRPr="005623A6">
        <w:t>)</w:t>
      </w:r>
      <w:r w:rsidRPr="005623A6">
        <w:t xml:space="preserve">; </w:t>
      </w:r>
    </w:p>
    <w:p w14:paraId="3C5F7713" w14:textId="73EAC609" w:rsidR="00251BC1" w:rsidRPr="005623A6" w:rsidRDefault="5066D74D" w:rsidP="00D63331">
      <w:pPr>
        <w:pStyle w:val="Bullets"/>
        <w:contextualSpacing/>
      </w:pPr>
      <w:r w:rsidRPr="005623A6">
        <w:t xml:space="preserve">the TIO and emergency call services rules set out in the TCPSS Act that </w:t>
      </w:r>
      <w:r w:rsidR="00D11F2F">
        <w:t>the ACMA</w:t>
      </w:r>
      <w:r w:rsidRPr="005623A6">
        <w:t xml:space="preserve"> can enforce </w:t>
      </w:r>
      <w:r w:rsidR="5BE82E9E" w:rsidRPr="005623A6">
        <w:t>because of</w:t>
      </w:r>
      <w:r w:rsidRPr="005623A6">
        <w:t xml:space="preserve"> Part 1 of Schedule 2</w:t>
      </w:r>
      <w:r w:rsidR="57E61C35" w:rsidRPr="005623A6">
        <w:t xml:space="preserve"> of the </w:t>
      </w:r>
      <w:r w:rsidR="00AA7AED">
        <w:t>Tel Act</w:t>
      </w:r>
      <w:r w:rsidRPr="005623A6">
        <w:t xml:space="preserve">; </w:t>
      </w:r>
      <w:r w:rsidR="005E078D" w:rsidRPr="005623A6">
        <w:rPr>
          <w:rStyle w:val="FootnoteReference"/>
        </w:rPr>
        <w:footnoteReference w:id="5"/>
      </w:r>
    </w:p>
    <w:p w14:paraId="3567F9F5" w14:textId="1F59FDF3" w:rsidR="001B6E37" w:rsidRPr="005623A6" w:rsidRDefault="5066D74D" w:rsidP="00D63331">
      <w:pPr>
        <w:pStyle w:val="Bullets"/>
        <w:contextualSpacing/>
      </w:pPr>
      <w:r>
        <w:t xml:space="preserve">the rules set out in Parts 2, 3, 4 and 5 of Schedule 2 </w:t>
      </w:r>
      <w:r w:rsidR="57E61C35">
        <w:t xml:space="preserve">of the </w:t>
      </w:r>
      <w:r w:rsidR="00AA7AED">
        <w:t>Tel Act</w:t>
      </w:r>
      <w:r w:rsidR="57E61C35">
        <w:t xml:space="preserve"> </w:t>
      </w:r>
      <w:r>
        <w:t>relating to operator services, directory assistance services, integrated public number database, itemised billing, and priority assistance</w:t>
      </w:r>
      <w:r w:rsidR="115CDDDD">
        <w:t xml:space="preserve"> (standard service provider rules)</w:t>
      </w:r>
      <w:r>
        <w:t xml:space="preserve">; </w:t>
      </w:r>
      <w:r w:rsidR="27312A80">
        <w:t>and</w:t>
      </w:r>
    </w:p>
    <w:p w14:paraId="70ECEE9D" w14:textId="18217BE1" w:rsidR="00510465" w:rsidRPr="005623A6" w:rsidRDefault="50A9E3B0" w:rsidP="00D63331">
      <w:pPr>
        <w:pStyle w:val="Bullets"/>
        <w:contextualSpacing/>
      </w:pPr>
      <w:r>
        <w:t xml:space="preserve">four </w:t>
      </w:r>
      <w:r w:rsidR="3CD58AFC">
        <w:t xml:space="preserve">service provider determinations made by </w:t>
      </w:r>
      <w:r w:rsidR="00D11F2F">
        <w:t>the ACMA</w:t>
      </w:r>
      <w:r w:rsidR="2296C985">
        <w:t xml:space="preserve"> under s 99(1) of the </w:t>
      </w:r>
      <w:r w:rsidR="00AA7AED">
        <w:t>Tel Act</w:t>
      </w:r>
      <w:r w:rsidR="69013849">
        <w:t>: the Telecommunications Service Provider (Customer Identity Authentication) Determination 2022</w:t>
      </w:r>
      <w:r w:rsidR="44A17FB8">
        <w:t>,</w:t>
      </w:r>
      <w:r w:rsidR="69013849">
        <w:t xml:space="preserve"> the Telecommunications Service Provider (International Mobile Roaming) Determination 2019</w:t>
      </w:r>
      <w:r w:rsidR="44A17FB8">
        <w:t xml:space="preserve">, </w:t>
      </w:r>
      <w:r w:rsidR="69013849">
        <w:t>the Telecommunications Service Provider (NBN Service Migration) Determination 2018</w:t>
      </w:r>
      <w:r>
        <w:t>, and the Telecommunications (Service Provider – Identity Checks for Prepaid</w:t>
      </w:r>
      <w:r w:rsidR="10424C4A">
        <w:t xml:space="preserve"> Mobile Carriage Services) Determination 2017</w:t>
      </w:r>
      <w:r w:rsidR="69013849">
        <w:t>.</w:t>
      </w:r>
    </w:p>
    <w:p w14:paraId="4C8AE93B" w14:textId="77777777" w:rsidR="007A1AC2" w:rsidRPr="005623A6" w:rsidRDefault="007A1AC2" w:rsidP="00B25217">
      <w:r w:rsidRPr="005623A6">
        <w:t>The select carrier licence conditions include:</w:t>
      </w:r>
    </w:p>
    <w:p w14:paraId="0822615E" w14:textId="3D58172C" w:rsidR="007A1AC2" w:rsidRPr="005623A6" w:rsidRDefault="5066D74D" w:rsidP="00D63331">
      <w:pPr>
        <w:pStyle w:val="Bullets"/>
        <w:contextualSpacing/>
      </w:pPr>
      <w:r w:rsidRPr="005623A6">
        <w:t xml:space="preserve">the calling </w:t>
      </w:r>
      <w:r w:rsidR="75C66804">
        <w:t xml:space="preserve">line </w:t>
      </w:r>
      <w:r w:rsidRPr="005623A6">
        <w:t>identification, number portability, pre-selection,</w:t>
      </w:r>
      <w:r w:rsidR="00820B41" w:rsidRPr="005623A6">
        <w:rPr>
          <w:rStyle w:val="FootnoteReference"/>
        </w:rPr>
        <w:footnoteReference w:id="6"/>
      </w:r>
      <w:r w:rsidR="475C045C" w:rsidRPr="005623A6">
        <w:t xml:space="preserve"> </w:t>
      </w:r>
      <w:r w:rsidRPr="005623A6">
        <w:t xml:space="preserve">and record-keeping </w:t>
      </w:r>
      <w:r w:rsidR="0681EBB7" w:rsidRPr="005623A6">
        <w:t xml:space="preserve">rules </w:t>
      </w:r>
      <w:r w:rsidRPr="005623A6">
        <w:t xml:space="preserve">that </w:t>
      </w:r>
      <w:r w:rsidR="00D11F2F">
        <w:t>the ACMA</w:t>
      </w:r>
      <w:r w:rsidR="475C045C" w:rsidRPr="005623A6">
        <w:t xml:space="preserve"> </w:t>
      </w:r>
      <w:r w:rsidRPr="005623A6">
        <w:t>can enforce as a result of Part 1 of Schedule 1</w:t>
      </w:r>
      <w:r w:rsidR="0681EBB7" w:rsidRPr="005623A6">
        <w:t xml:space="preserve"> of the </w:t>
      </w:r>
      <w:r w:rsidR="00AA7AED">
        <w:t>Tel Act</w:t>
      </w:r>
      <w:r w:rsidR="788BEBE2" w:rsidRPr="005623A6">
        <w:t xml:space="preserve"> (a standard carrier condition that requires compliance with the </w:t>
      </w:r>
      <w:r w:rsidR="00AA7AED">
        <w:t>Tel Act</w:t>
      </w:r>
      <w:r w:rsidR="269A18F2">
        <w:t xml:space="preserve"> </w:t>
      </w:r>
      <w:r w:rsidR="788BEBE2" w:rsidRPr="005623A6">
        <w:t>and TCPSS Act</w:t>
      </w:r>
      <w:r w:rsidR="5A1F2855" w:rsidRPr="005623A6">
        <w:t>)</w:t>
      </w:r>
      <w:r w:rsidRPr="005623A6">
        <w:t xml:space="preserve">; </w:t>
      </w:r>
    </w:p>
    <w:p w14:paraId="29FDF9F7" w14:textId="313E5FC8" w:rsidR="007A1AC2" w:rsidRPr="005623A6" w:rsidRDefault="5066D74D" w:rsidP="00D63331">
      <w:pPr>
        <w:pStyle w:val="Bullets"/>
        <w:contextualSpacing/>
      </w:pPr>
      <w:r w:rsidRPr="005623A6">
        <w:t xml:space="preserve">the emergency call services rules set out in the TCPSS Act that </w:t>
      </w:r>
      <w:r w:rsidR="00D11F2F">
        <w:t>the ACMA</w:t>
      </w:r>
      <w:r w:rsidRPr="005623A6">
        <w:t xml:space="preserve"> can enforce as a result of Part 1 of Schedule 1</w:t>
      </w:r>
      <w:r w:rsidR="0681EBB7" w:rsidRPr="005623A6">
        <w:t xml:space="preserve"> of the </w:t>
      </w:r>
      <w:r w:rsidR="00AA7AED">
        <w:t>Tel Act</w:t>
      </w:r>
      <w:r w:rsidRPr="005623A6">
        <w:t>;</w:t>
      </w:r>
      <w:r w:rsidR="003D5FAE" w:rsidRPr="005623A6">
        <w:rPr>
          <w:rStyle w:val="FootnoteReference"/>
        </w:rPr>
        <w:footnoteReference w:id="7"/>
      </w:r>
      <w:r w:rsidRPr="005623A6">
        <w:t xml:space="preserve"> and</w:t>
      </w:r>
    </w:p>
    <w:p w14:paraId="0F6B2FA8" w14:textId="697D5742" w:rsidR="00B25217" w:rsidRPr="005623A6" w:rsidRDefault="27D2F30D" w:rsidP="00D63331">
      <w:pPr>
        <w:pStyle w:val="Bullets"/>
        <w:contextualSpacing/>
      </w:pPr>
      <w:r>
        <w:t>certain</w:t>
      </w:r>
      <w:r w:rsidR="040F7B1C">
        <w:t xml:space="preserve"> </w:t>
      </w:r>
      <w:r w:rsidR="00EA27BE">
        <w:t xml:space="preserve">additional </w:t>
      </w:r>
      <w:r w:rsidR="5066D74D">
        <w:t xml:space="preserve">licence conditions </w:t>
      </w:r>
      <w:r w:rsidR="00A64868">
        <w:t xml:space="preserve">that now apply to Telstra Limited </w:t>
      </w:r>
      <w:r w:rsidR="009318BC">
        <w:t xml:space="preserve">because </w:t>
      </w:r>
      <w:r w:rsidR="00A64868">
        <w:t xml:space="preserve">of s 63A of the </w:t>
      </w:r>
      <w:r w:rsidR="00AA7AED">
        <w:t>Tel Act</w:t>
      </w:r>
      <w:r w:rsidR="00A64868">
        <w:t xml:space="preserve"> </w:t>
      </w:r>
      <w:r w:rsidR="009318BC">
        <w:t xml:space="preserve">and/or to Telstra Infraco Limited because of </w:t>
      </w:r>
      <w:r w:rsidR="5066D74D" w:rsidRPr="12EC14AA">
        <w:rPr>
          <w:i/>
          <w:iCs/>
        </w:rPr>
        <w:t>Telecommunications (Carrier Licence Conditions -</w:t>
      </w:r>
      <w:r w:rsidR="00351563" w:rsidRPr="12EC14AA">
        <w:rPr>
          <w:i/>
          <w:iCs/>
        </w:rPr>
        <w:t>–</w:t>
      </w:r>
      <w:r w:rsidR="5066D74D" w:rsidRPr="12EC14AA">
        <w:rPr>
          <w:i/>
          <w:iCs/>
        </w:rPr>
        <w:t xml:space="preserve"> Telstra Infraco Limited) Declaration 2019</w:t>
      </w:r>
      <w:r w:rsidR="5066D74D">
        <w:t xml:space="preserve"> (Cth).</w:t>
      </w:r>
      <w:r w:rsidR="413A11FF">
        <w:t xml:space="preserve">  </w:t>
      </w:r>
      <w:r w:rsidR="4737A209" w:rsidRPr="12EC14AA">
        <w:rPr>
          <w:rStyle w:val="FootnoteReference"/>
        </w:rPr>
        <w:t xml:space="preserve"> </w:t>
      </w:r>
      <w:r w:rsidR="3035AFDF">
        <w:t xml:space="preserve"> They </w:t>
      </w:r>
      <w:r w:rsidR="7792EF82">
        <w:t>include obligations involving</w:t>
      </w:r>
      <w:r w:rsidR="0022020D">
        <w:t>:</w:t>
      </w:r>
      <w:r w:rsidR="3035AFDF">
        <w:t xml:space="preserve"> operator services</w:t>
      </w:r>
      <w:r w:rsidR="00FF6E84">
        <w:t>;</w:t>
      </w:r>
      <w:r w:rsidR="3035AFDF">
        <w:t xml:space="preserve"> directory assistance services</w:t>
      </w:r>
      <w:r w:rsidR="00FF6E84">
        <w:t>;</w:t>
      </w:r>
      <w:r w:rsidR="3035AFDF">
        <w:t xml:space="preserve"> alphabetical public number directory</w:t>
      </w:r>
      <w:r w:rsidR="00FF6E84">
        <w:t>;</w:t>
      </w:r>
      <w:r w:rsidR="3035AFDF">
        <w:t xml:space="preserve"> IPND</w:t>
      </w:r>
      <w:r w:rsidR="00FF6E84">
        <w:t>;</w:t>
      </w:r>
      <w:r w:rsidR="3035AFDF">
        <w:t xml:space="preserve"> disclosure of specified Premises </w:t>
      </w:r>
      <w:r w:rsidR="3035AFDF">
        <w:lastRenderedPageBreak/>
        <w:t>Location Information to NBN</w:t>
      </w:r>
      <w:r w:rsidR="00FF6E84">
        <w:t>;</w:t>
      </w:r>
      <w:r w:rsidR="3035AFDF">
        <w:t xml:space="preserve"> priority assistance arrangements</w:t>
      </w:r>
      <w:r w:rsidR="00FF6E84">
        <w:t>;</w:t>
      </w:r>
      <w:r w:rsidR="3035AFDF">
        <w:t xml:space="preserve"> </w:t>
      </w:r>
      <w:r w:rsidR="00A64868">
        <w:t xml:space="preserve">and </w:t>
      </w:r>
      <w:r w:rsidR="3035AFDF">
        <w:t>low-income measures.</w:t>
      </w:r>
      <w:r w:rsidR="00A64868">
        <w:rPr>
          <w:rStyle w:val="FootnoteReference"/>
        </w:rPr>
        <w:footnoteReference w:id="8"/>
      </w:r>
    </w:p>
    <w:p w14:paraId="1E0FF8FB" w14:textId="41E867AF" w:rsidR="007A5E96" w:rsidRPr="005623A6" w:rsidRDefault="00A228F5" w:rsidP="006D21FF">
      <w:r>
        <w:t xml:space="preserve">Using publicly available information found on </w:t>
      </w:r>
      <w:r w:rsidR="00D11F2F">
        <w:t>the ACMA</w:t>
      </w:r>
      <w:r>
        <w:t>’s website</w:t>
      </w:r>
      <w:r w:rsidR="00351563">
        <w:t xml:space="preserve"> and</w:t>
      </w:r>
      <w:r w:rsidR="00082516">
        <w:t xml:space="preserve"> within</w:t>
      </w:r>
      <w:r w:rsidR="00351563">
        <w:t xml:space="preserve"> annual reports</w:t>
      </w:r>
      <w:r>
        <w:t>, w</w:t>
      </w:r>
      <w:r w:rsidR="007A5E96" w:rsidRPr="005623A6">
        <w:t>e also e</w:t>
      </w:r>
      <w:r w:rsidR="35484C45" w:rsidRPr="005623A6">
        <w:t xml:space="preserve">xamine </w:t>
      </w:r>
      <w:r w:rsidR="007A5E96" w:rsidRPr="005623A6">
        <w:t xml:space="preserve">the </w:t>
      </w:r>
      <w:r w:rsidR="003E653A" w:rsidRPr="005623A6">
        <w:t xml:space="preserve">way in which </w:t>
      </w:r>
      <w:r w:rsidR="00D11F2F">
        <w:t>the ACMA</w:t>
      </w:r>
      <w:r w:rsidR="003E653A" w:rsidRPr="005623A6">
        <w:t xml:space="preserve"> has exercised its discretion to enforce these</w:t>
      </w:r>
      <w:r w:rsidR="003502EF" w:rsidRPr="005623A6">
        <w:t xml:space="preserve"> rules</w:t>
      </w:r>
      <w:r w:rsidR="003E653A" w:rsidRPr="005623A6">
        <w:t>.</w:t>
      </w:r>
    </w:p>
    <w:p w14:paraId="65CF6A75" w14:textId="721D34BF" w:rsidR="005E7D60" w:rsidRPr="005623A6" w:rsidRDefault="00AD2EF9" w:rsidP="7EFE6C20">
      <w:pPr>
        <w:rPr>
          <w:szCs w:val="21"/>
        </w:rPr>
      </w:pPr>
      <w:r>
        <w:t xml:space="preserve">In </w:t>
      </w:r>
      <w:r w:rsidR="001B45B7">
        <w:t xml:space="preserve">Chapter </w:t>
      </w:r>
      <w:r w:rsidR="00D02EFA">
        <w:t>1 of the repor</w:t>
      </w:r>
      <w:r>
        <w:t xml:space="preserve">t, we </w:t>
      </w:r>
      <w:r w:rsidR="00BC02FB">
        <w:t xml:space="preserve">provide an overview of </w:t>
      </w:r>
      <w:r w:rsidR="002166AB">
        <w:t xml:space="preserve">responsive and </w:t>
      </w:r>
      <w:r w:rsidR="00E15ABB">
        <w:t>risk-based strategies of regulation</w:t>
      </w:r>
      <w:r w:rsidR="00BF5B99">
        <w:t xml:space="preserve"> </w:t>
      </w:r>
      <w:r w:rsidR="009A0996">
        <w:t>–</w:t>
      </w:r>
      <w:r w:rsidR="00BF5B99">
        <w:t xml:space="preserve"> </w:t>
      </w:r>
      <w:bookmarkStart w:id="13" w:name="_Hlk138406908"/>
      <w:r w:rsidR="009A0996">
        <w:t xml:space="preserve">two highly influential </w:t>
      </w:r>
      <w:r>
        <w:t xml:space="preserve">strategies </w:t>
      </w:r>
      <w:r w:rsidR="009A0996">
        <w:t xml:space="preserve">of regulation </w:t>
      </w:r>
      <w:r w:rsidR="00DE4A50">
        <w:t xml:space="preserve">that </w:t>
      </w:r>
      <w:r w:rsidR="005E7D60">
        <w:t xml:space="preserve">have informed and continue to </w:t>
      </w:r>
      <w:r w:rsidR="004E7176">
        <w:t xml:space="preserve">inform </w:t>
      </w:r>
      <w:r w:rsidR="00D11F2F">
        <w:t>the ACMA</w:t>
      </w:r>
      <w:r w:rsidR="004E7176">
        <w:t>’s</w:t>
      </w:r>
      <w:r w:rsidR="005E7D60">
        <w:t xml:space="preserve"> approach</w:t>
      </w:r>
      <w:r w:rsidR="009A0996">
        <w:t xml:space="preserve"> to enforcement and compliance</w:t>
      </w:r>
      <w:r w:rsidR="00BF5B99">
        <w:t>.</w:t>
      </w:r>
      <w:r w:rsidR="00E35771">
        <w:t xml:space="preserve"> </w:t>
      </w:r>
    </w:p>
    <w:bookmarkEnd w:id="13"/>
    <w:p w14:paraId="6133E9F6" w14:textId="674DE029" w:rsidR="00AD2EF9" w:rsidRPr="005623A6" w:rsidRDefault="35B98BA0" w:rsidP="00AD2EF9">
      <w:r>
        <w:t xml:space="preserve">In </w:t>
      </w:r>
      <w:r w:rsidR="75D1C06D">
        <w:t xml:space="preserve">Chapter </w:t>
      </w:r>
      <w:r w:rsidR="41749022">
        <w:t>2</w:t>
      </w:r>
      <w:r>
        <w:t xml:space="preserve"> we explain and categorise </w:t>
      </w:r>
      <w:r w:rsidR="77CE75F0">
        <w:t xml:space="preserve">the </w:t>
      </w:r>
      <w:r w:rsidR="71990767">
        <w:t xml:space="preserve">various </w:t>
      </w:r>
      <w:r w:rsidR="77CE75F0">
        <w:t xml:space="preserve">mechanisms </w:t>
      </w:r>
      <w:r w:rsidR="00D11F2F">
        <w:t>the ACMA</w:t>
      </w:r>
      <w:r w:rsidR="77CE75F0">
        <w:t xml:space="preserve"> may use to enforce</w:t>
      </w:r>
      <w:r w:rsidR="2A4982FB">
        <w:t xml:space="preserve"> </w:t>
      </w:r>
      <w:r w:rsidR="5EDF02E8">
        <w:t xml:space="preserve">the select </w:t>
      </w:r>
      <w:r>
        <w:t xml:space="preserve">industry codes registered by </w:t>
      </w:r>
      <w:r w:rsidR="00D11F2F">
        <w:t>the ACMA</w:t>
      </w:r>
      <w:r>
        <w:t xml:space="preserve"> under Part 6 of the </w:t>
      </w:r>
      <w:r w:rsidR="00AA7AED">
        <w:t>Tel Act</w:t>
      </w:r>
      <w:r>
        <w:t xml:space="preserve">, </w:t>
      </w:r>
      <w:r w:rsidR="16B14D16">
        <w:t xml:space="preserve">the select </w:t>
      </w:r>
      <w:r>
        <w:t xml:space="preserve">industry standards determined by </w:t>
      </w:r>
      <w:r w:rsidR="00D11F2F">
        <w:t>the ACMA</w:t>
      </w:r>
      <w:r>
        <w:t xml:space="preserve"> under ss 125 and 125AA of the </w:t>
      </w:r>
      <w:r w:rsidR="00AA7AED">
        <w:t>Tel Act</w:t>
      </w:r>
      <w:r>
        <w:t>, the select service provider rules</w:t>
      </w:r>
      <w:r w:rsidR="0B10F08A">
        <w:t xml:space="preserve">, </w:t>
      </w:r>
      <w:r>
        <w:t>and the select carrier licence conditions.</w:t>
      </w:r>
      <w:r w:rsidR="576C5430">
        <w:t xml:space="preserve"> In addition, we explain </w:t>
      </w:r>
      <w:r w:rsidR="24B27A44">
        <w:t xml:space="preserve">when </w:t>
      </w:r>
      <w:r w:rsidR="00D11F2F">
        <w:t>the ACMA</w:t>
      </w:r>
      <w:r w:rsidR="447F2A22">
        <w:t xml:space="preserve"> is permitted to use </w:t>
      </w:r>
      <w:r w:rsidR="24B27A44">
        <w:t>the</w:t>
      </w:r>
      <w:r w:rsidR="447F2A22">
        <w:t xml:space="preserve">se </w:t>
      </w:r>
      <w:r w:rsidR="24B27A44">
        <w:t>mechanisms.</w:t>
      </w:r>
    </w:p>
    <w:p w14:paraId="1FA36BF2" w14:textId="284E63E4" w:rsidR="00F13DFC" w:rsidRPr="005623A6" w:rsidRDefault="00AD2EF9" w:rsidP="00CD73B5">
      <w:r>
        <w:t xml:space="preserve">In </w:t>
      </w:r>
      <w:r w:rsidR="00D853DA">
        <w:t xml:space="preserve">Chapter </w:t>
      </w:r>
      <w:r w:rsidR="00DE1CBA">
        <w:t>3</w:t>
      </w:r>
      <w:r w:rsidR="00BF5B99">
        <w:t xml:space="preserve"> we </w:t>
      </w:r>
      <w:r w:rsidR="00F13DFC">
        <w:t xml:space="preserve">set out </w:t>
      </w:r>
      <w:r w:rsidR="00D11F2F">
        <w:t>the ACMA</w:t>
      </w:r>
      <w:r w:rsidR="009A0996">
        <w:t xml:space="preserve">’s </w:t>
      </w:r>
      <w:r w:rsidR="00815CEB">
        <w:t xml:space="preserve">general </w:t>
      </w:r>
      <w:r w:rsidR="009A0996">
        <w:t xml:space="preserve">approach to compliance and enforcement and the </w:t>
      </w:r>
      <w:r>
        <w:t xml:space="preserve">factors </w:t>
      </w:r>
      <w:r w:rsidR="00815CEB">
        <w:t xml:space="preserve">that </w:t>
      </w:r>
      <w:r w:rsidR="003904D5">
        <w:t xml:space="preserve">influence </w:t>
      </w:r>
      <w:r>
        <w:t>its decisions</w:t>
      </w:r>
      <w:r w:rsidR="00815CEB">
        <w:t xml:space="preserve"> to enforce the statutory provisions for which it is responsible</w:t>
      </w:r>
      <w:r>
        <w:t xml:space="preserve">. </w:t>
      </w:r>
      <w:r w:rsidR="00BF5B99">
        <w:t xml:space="preserve">We also set out additional factors </w:t>
      </w:r>
      <w:r w:rsidR="00E879AB">
        <w:t xml:space="preserve">that </w:t>
      </w:r>
      <w:r w:rsidR="00D11F2F">
        <w:t>the ACMA</w:t>
      </w:r>
      <w:r w:rsidR="00BF5B99">
        <w:t xml:space="preserve"> says it </w:t>
      </w:r>
      <w:r w:rsidR="00815CEB">
        <w:t>takes into account before using three of the mechanisms in its ‘</w:t>
      </w:r>
      <w:r w:rsidR="001E30A8">
        <w:t>toolbox</w:t>
      </w:r>
      <w:r w:rsidR="00815CEB">
        <w:t>’ –</w:t>
      </w:r>
      <w:r w:rsidR="00E879AB">
        <w:t xml:space="preserve"> </w:t>
      </w:r>
      <w:r w:rsidR="00F13DFC">
        <w:t>infringement notice</w:t>
      </w:r>
      <w:r w:rsidR="00815CEB">
        <w:t>s</w:t>
      </w:r>
      <w:r w:rsidR="00F13DFC">
        <w:t>, enforceable undertaking</w:t>
      </w:r>
      <w:r w:rsidR="00815CEB">
        <w:t>s</w:t>
      </w:r>
      <w:r w:rsidR="00F13DFC">
        <w:t xml:space="preserve">, </w:t>
      </w:r>
      <w:r w:rsidR="00815CEB">
        <w:t xml:space="preserve">and </w:t>
      </w:r>
      <w:r w:rsidR="00F13DFC">
        <w:t>remedial direction</w:t>
      </w:r>
      <w:r w:rsidR="00815CEB">
        <w:t>s</w:t>
      </w:r>
      <w:r w:rsidR="00F13DFC">
        <w:t>.</w:t>
      </w:r>
      <w:r w:rsidR="00E64383">
        <w:t xml:space="preserve"> </w:t>
      </w:r>
      <w:r w:rsidR="006F5020">
        <w:t xml:space="preserve">In addition, we compare </w:t>
      </w:r>
      <w:r w:rsidR="00D11F2F">
        <w:t>the ACMA</w:t>
      </w:r>
      <w:r w:rsidR="006F5020">
        <w:t xml:space="preserve">’s </w:t>
      </w:r>
      <w:r w:rsidR="00EE50B5">
        <w:t xml:space="preserve">responsive </w:t>
      </w:r>
      <w:r w:rsidR="006F5020">
        <w:t>approach with responsive</w:t>
      </w:r>
      <w:r w:rsidR="00EE50B5">
        <w:t xml:space="preserve"> regulation theory. </w:t>
      </w:r>
      <w:r w:rsidR="00E64383">
        <w:t xml:space="preserve">We conclude this </w:t>
      </w:r>
      <w:r w:rsidR="00A50969">
        <w:t>chapter</w:t>
      </w:r>
      <w:r w:rsidR="00E64383">
        <w:t xml:space="preserve"> with </w:t>
      </w:r>
      <w:r w:rsidR="007422A5">
        <w:t xml:space="preserve">a </w:t>
      </w:r>
      <w:r w:rsidR="00E64383">
        <w:t xml:space="preserve">discussion of </w:t>
      </w:r>
      <w:r w:rsidR="00D11F2F">
        <w:t>the ACMA</w:t>
      </w:r>
      <w:r w:rsidR="00E64383">
        <w:t xml:space="preserve">’s enforcement priorities over the last </w:t>
      </w:r>
      <w:r w:rsidR="00E879AB">
        <w:t xml:space="preserve">four </w:t>
      </w:r>
      <w:r w:rsidR="00E64383">
        <w:t>years.</w:t>
      </w:r>
    </w:p>
    <w:p w14:paraId="6220D3BE" w14:textId="0E12FCA1" w:rsidR="1E28CA3A" w:rsidRDefault="1E28CA3A" w:rsidP="1BF5D79A">
      <w:r>
        <w:t xml:space="preserve">In </w:t>
      </w:r>
      <w:r w:rsidR="6751EE9E">
        <w:t xml:space="preserve">Chapter </w:t>
      </w:r>
      <w:r w:rsidR="2E348790">
        <w:t>4</w:t>
      </w:r>
      <w:r>
        <w:t xml:space="preserve"> we </w:t>
      </w:r>
      <w:r w:rsidR="24E7CA38">
        <w:t xml:space="preserve">describe </w:t>
      </w:r>
      <w:r w:rsidR="0B10F08A">
        <w:t xml:space="preserve">how </w:t>
      </w:r>
      <w:r w:rsidR="00D11F2F">
        <w:t>the ACMA</w:t>
      </w:r>
      <w:r w:rsidR="0B10F08A">
        <w:t xml:space="preserve"> has exercised its discretion to enforce </w:t>
      </w:r>
      <w:r w:rsidR="2A4982FB">
        <w:t>the various consumer</w:t>
      </w:r>
      <w:r w:rsidR="00625DB0">
        <w:t xml:space="preserve"> </w:t>
      </w:r>
      <w:r w:rsidR="2A4982FB">
        <w:t>protection</w:t>
      </w:r>
      <w:r w:rsidR="00625DB0">
        <w:t>-</w:t>
      </w:r>
      <w:r w:rsidR="2A4982FB">
        <w:t>related provisions</w:t>
      </w:r>
      <w:r w:rsidR="30B40C84">
        <w:t xml:space="preserve"> </w:t>
      </w:r>
      <w:r w:rsidR="1E88AD9C">
        <w:t xml:space="preserve">after </w:t>
      </w:r>
      <w:r w:rsidR="30B40C84">
        <w:t xml:space="preserve">it has found providers have breached those </w:t>
      </w:r>
      <w:r w:rsidR="09966B0C">
        <w:t>rules. The</w:t>
      </w:r>
      <w:r w:rsidR="66FAD299">
        <w:t xml:space="preserve"> enforcement actions we discuss are only a subset of the total number of consumer protection matters investigated by </w:t>
      </w:r>
      <w:r w:rsidR="00D11F2F">
        <w:t>the ACMA</w:t>
      </w:r>
      <w:r w:rsidR="66FAD299">
        <w:t xml:space="preserve">. Each year </w:t>
      </w:r>
      <w:r w:rsidR="00D11F2F">
        <w:t>the ACMA</w:t>
      </w:r>
      <w:r w:rsidR="66FAD299">
        <w:t xml:space="preserve"> commences formal investigations into compliance with the consumer protection rules, although only some of these relate to the rules</w:t>
      </w:r>
      <w:r w:rsidR="150BFE39">
        <w:t xml:space="preserve"> </w:t>
      </w:r>
      <w:r w:rsidR="66FAD299">
        <w:t>we examine in this report</w:t>
      </w:r>
      <w:r w:rsidR="1C374459">
        <w:t>,</w:t>
      </w:r>
      <w:r w:rsidR="66FAD299">
        <w:t xml:space="preserve"> only some proceed to breach findings and related enforcement action</w:t>
      </w:r>
      <w:r w:rsidR="7AC99343">
        <w:t>, and not all investigations are publicised</w:t>
      </w:r>
      <w:r w:rsidR="66FAD299">
        <w:t>.</w:t>
      </w:r>
      <w:r w:rsidR="65C62CAC">
        <w:t xml:space="preserve"> As </w:t>
      </w:r>
      <w:r w:rsidR="00D11F2F">
        <w:t>the ACMA</w:t>
      </w:r>
      <w:r w:rsidR="65C62CAC">
        <w:t xml:space="preserve"> does not</w:t>
      </w:r>
      <w:r w:rsidR="312BC692">
        <w:t xml:space="preserve"> generally </w:t>
      </w:r>
      <w:r w:rsidR="0A0AFE90">
        <w:t xml:space="preserve">publicise </w:t>
      </w:r>
      <w:r w:rsidR="7EB20538" w:rsidRPr="00B804B3">
        <w:rPr>
          <w:rFonts w:eastAsia="Arial" w:cs="Arial"/>
        </w:rPr>
        <w:t>investigations where it concludes no breach has occurred</w:t>
      </w:r>
      <w:r w:rsidR="7EB20538" w:rsidRPr="7F461801">
        <w:t xml:space="preserve"> </w:t>
      </w:r>
      <w:r w:rsidR="13CACFDD">
        <w:t xml:space="preserve">and has not adopted a standard format in its annual reports </w:t>
      </w:r>
      <w:r w:rsidR="226AFDB6">
        <w:t>for reporting the number of investigations opened or closed</w:t>
      </w:r>
      <w:r w:rsidR="3DAC1FE3">
        <w:t xml:space="preserve"> in a reporting year</w:t>
      </w:r>
      <w:r w:rsidR="65C62CAC">
        <w:t xml:space="preserve">, we </w:t>
      </w:r>
      <w:r w:rsidR="0CD347BC">
        <w:t xml:space="preserve">are unable to </w:t>
      </w:r>
      <w:r w:rsidR="28439507">
        <w:t>describe</w:t>
      </w:r>
      <w:r w:rsidR="4D1A18D0">
        <w:t xml:space="preserve"> how </w:t>
      </w:r>
      <w:r w:rsidR="00D11F2F">
        <w:t>the ACMA</w:t>
      </w:r>
      <w:r w:rsidR="69EA118A">
        <w:t xml:space="preserve"> </w:t>
      </w:r>
      <w:r w:rsidR="4BAA1C40">
        <w:t xml:space="preserve">has exercised its discretion to </w:t>
      </w:r>
      <w:r w:rsidR="2B47A14A">
        <w:t>open and close</w:t>
      </w:r>
      <w:r w:rsidR="368F680A">
        <w:t xml:space="preserve"> </w:t>
      </w:r>
      <w:r w:rsidR="350C55A6">
        <w:t xml:space="preserve">investigations </w:t>
      </w:r>
      <w:r w:rsidR="368F680A">
        <w:t>without making a finding of breach</w:t>
      </w:r>
      <w:r w:rsidR="3F6DACDE">
        <w:t xml:space="preserve">. </w:t>
      </w:r>
    </w:p>
    <w:p w14:paraId="1278F088" w14:textId="7FD1C6BD" w:rsidR="00FE2308" w:rsidRPr="005623A6" w:rsidRDefault="00FE2308" w:rsidP="7EFE6C20">
      <w:pPr>
        <w:rPr>
          <w:szCs w:val="21"/>
        </w:rPr>
      </w:pPr>
      <w:r>
        <w:t>Annex A</w:t>
      </w:r>
      <w:r w:rsidR="00F10937">
        <w:t xml:space="preserve"> lists the industry codes currently registered by </w:t>
      </w:r>
      <w:r w:rsidR="00D11F2F">
        <w:t>the ACMA</w:t>
      </w:r>
      <w:r w:rsidR="00F10937">
        <w:t xml:space="preserve"> under Part 6 of the </w:t>
      </w:r>
      <w:r w:rsidR="00AA7AED">
        <w:t>Tel Act</w:t>
      </w:r>
      <w:r w:rsidR="00B3514F">
        <w:t>.</w:t>
      </w:r>
    </w:p>
    <w:p w14:paraId="44B03B37" w14:textId="77777777" w:rsidR="00FE2308" w:rsidRPr="005623A6" w:rsidRDefault="00FE2308" w:rsidP="00CD73B5">
      <w:r w:rsidRPr="005623A6">
        <w:t xml:space="preserve">Annex </w:t>
      </w:r>
      <w:r w:rsidR="00600319">
        <w:t>B</w:t>
      </w:r>
      <w:r w:rsidR="00E40A93" w:rsidRPr="005623A6">
        <w:t xml:space="preserve"> explains the methodology we used to collect the data</w:t>
      </w:r>
      <w:r w:rsidR="0054023E">
        <w:t xml:space="preserve"> </w:t>
      </w:r>
      <w:r w:rsidR="00600319">
        <w:t>that informs this report</w:t>
      </w:r>
      <w:r w:rsidR="00E40A93" w:rsidRPr="005623A6">
        <w:t>.</w:t>
      </w:r>
    </w:p>
    <w:p w14:paraId="37DC9475" w14:textId="34B60E86" w:rsidR="00E51D58" w:rsidRDefault="0D091B64" w:rsidP="00CD73B5">
      <w:r>
        <w:t xml:space="preserve">Annex </w:t>
      </w:r>
      <w:r w:rsidR="6CB9E370">
        <w:t>C</w:t>
      </w:r>
      <w:r>
        <w:t xml:space="preserve"> provides </w:t>
      </w:r>
      <w:r w:rsidR="0046219E">
        <w:t>examples</w:t>
      </w:r>
      <w:r>
        <w:t xml:space="preserve"> of compliance audits </w:t>
      </w:r>
      <w:r w:rsidR="00D11F2F">
        <w:t>the ACMA</w:t>
      </w:r>
      <w:r>
        <w:t xml:space="preserve"> undertook between </w:t>
      </w:r>
      <w:r w:rsidR="2AA6D03E">
        <w:t xml:space="preserve">1 July </w:t>
      </w:r>
      <w:r>
        <w:t xml:space="preserve">2009 and </w:t>
      </w:r>
      <w:r w:rsidR="40E7AE45">
        <w:t xml:space="preserve">30 June </w:t>
      </w:r>
      <w:r>
        <w:t>202</w:t>
      </w:r>
      <w:r w:rsidR="590980B2">
        <w:t>3</w:t>
      </w:r>
      <w:r>
        <w:t xml:space="preserve">. </w:t>
      </w:r>
    </w:p>
    <w:p w14:paraId="5837C7F0" w14:textId="7B3F9634" w:rsidR="001B45B7" w:rsidRPr="005623A6" w:rsidRDefault="001B45B7" w:rsidP="00CD73B5"/>
    <w:p w14:paraId="2438206D" w14:textId="77777777" w:rsidR="00B743F5" w:rsidRPr="005623A6" w:rsidRDefault="00926544" w:rsidP="009A0996">
      <w:r w:rsidRPr="005623A6">
        <w:br w:type="page"/>
      </w:r>
    </w:p>
    <w:p w14:paraId="1840B9DC" w14:textId="77777777" w:rsidR="00E66264" w:rsidRPr="005623A6" w:rsidRDefault="009F6F02" w:rsidP="001019BA">
      <w:pPr>
        <w:pStyle w:val="Heading1"/>
        <w:numPr>
          <w:ilvl w:val="0"/>
          <w:numId w:val="29"/>
        </w:numPr>
      </w:pPr>
      <w:bookmarkStart w:id="14" w:name="_Toc139024379"/>
      <w:bookmarkStart w:id="15" w:name="_Toc139024702"/>
      <w:bookmarkStart w:id="16" w:name="_Toc139031345"/>
      <w:bookmarkStart w:id="17" w:name="_Toc146201019"/>
      <w:bookmarkStart w:id="18" w:name="_Toc161836147"/>
      <w:r w:rsidRPr="005623A6">
        <w:lastRenderedPageBreak/>
        <w:t xml:space="preserve">Responsive </w:t>
      </w:r>
      <w:r w:rsidR="004C1B25" w:rsidRPr="005623A6">
        <w:t xml:space="preserve">and Risk-based </w:t>
      </w:r>
      <w:r w:rsidRPr="005623A6">
        <w:t>Regulation</w:t>
      </w:r>
      <w:bookmarkEnd w:id="14"/>
      <w:bookmarkEnd w:id="15"/>
      <w:bookmarkEnd w:id="16"/>
      <w:bookmarkEnd w:id="17"/>
      <w:bookmarkEnd w:id="18"/>
      <w:r w:rsidR="00312BE4" w:rsidRPr="005623A6">
        <w:t xml:space="preserve"> </w:t>
      </w:r>
    </w:p>
    <w:p w14:paraId="0626F29C" w14:textId="77777777" w:rsidR="00D061D9" w:rsidRPr="005623A6" w:rsidRDefault="00D061D9" w:rsidP="00E66264">
      <w:pPr>
        <w:rPr>
          <w:rFonts w:cstheme="minorHAnsi"/>
        </w:rPr>
      </w:pPr>
    </w:p>
    <w:p w14:paraId="1F35FB4D" w14:textId="203095E8" w:rsidR="00753445" w:rsidRPr="005623A6" w:rsidRDefault="7E058DF2" w:rsidP="00DE1CBA">
      <w:r w:rsidRPr="005623A6">
        <w:t xml:space="preserve">Before explaining the mechanisms </w:t>
      </w:r>
      <w:r w:rsidR="00D11F2F">
        <w:t>the ACMA</w:t>
      </w:r>
      <w:r w:rsidRPr="005623A6">
        <w:t xml:space="preserve"> may use to enforce </w:t>
      </w:r>
      <w:r w:rsidR="7086E86E" w:rsidRPr="005623A6">
        <w:t xml:space="preserve">the select </w:t>
      </w:r>
      <w:r w:rsidRPr="005623A6">
        <w:t xml:space="preserve">industry codes, </w:t>
      </w:r>
      <w:r w:rsidR="00BD4D37" w:rsidRPr="005623A6">
        <w:t xml:space="preserve">the select </w:t>
      </w:r>
      <w:r w:rsidRPr="005623A6">
        <w:t xml:space="preserve">industry standards, </w:t>
      </w:r>
      <w:r w:rsidR="285E97A9" w:rsidRPr="005623A6">
        <w:t xml:space="preserve">the </w:t>
      </w:r>
      <w:r w:rsidRPr="005623A6">
        <w:t xml:space="preserve">select service provider rules and </w:t>
      </w:r>
      <w:r w:rsidR="285E97A9" w:rsidRPr="005623A6">
        <w:t xml:space="preserve">the </w:t>
      </w:r>
      <w:r w:rsidRPr="005623A6">
        <w:t xml:space="preserve">select carrier licence conditions, we </w:t>
      </w:r>
      <w:r w:rsidR="07006EF0" w:rsidRPr="005623A6">
        <w:t xml:space="preserve">provide </w:t>
      </w:r>
      <w:r w:rsidRPr="005623A6">
        <w:t xml:space="preserve">a short summary of </w:t>
      </w:r>
      <w:r w:rsidR="29BED906" w:rsidRPr="005623A6">
        <w:t>responsive and risk-based strategies of regulation</w:t>
      </w:r>
      <w:r w:rsidR="32C27751" w:rsidRPr="005623A6">
        <w:t>.</w:t>
      </w:r>
      <w:r w:rsidR="0C7B5D24" w:rsidRPr="005623A6">
        <w:t xml:space="preserve"> </w:t>
      </w:r>
      <w:r w:rsidR="233863E4" w:rsidRPr="005623A6">
        <w:t xml:space="preserve">We </w:t>
      </w:r>
      <w:r w:rsidR="07006EF0" w:rsidRPr="005623A6">
        <w:t xml:space="preserve">start </w:t>
      </w:r>
      <w:r w:rsidR="233863E4" w:rsidRPr="005623A6">
        <w:t xml:space="preserve">by </w:t>
      </w:r>
      <w:r w:rsidR="13D50D44" w:rsidRPr="005623A6">
        <w:t xml:space="preserve">briefly </w:t>
      </w:r>
      <w:r w:rsidR="233863E4" w:rsidRPr="005623A6">
        <w:t>explaining these strategies</w:t>
      </w:r>
      <w:r w:rsidR="3C2EB7CD" w:rsidRPr="005623A6">
        <w:t xml:space="preserve"> </w:t>
      </w:r>
      <w:r w:rsidR="6E89736E" w:rsidRPr="005623A6">
        <w:t xml:space="preserve">for two reasons. First, </w:t>
      </w:r>
      <w:r w:rsidR="3C2EB7CD" w:rsidRPr="005623A6">
        <w:t xml:space="preserve">both </w:t>
      </w:r>
      <w:r w:rsidR="6E89736E" w:rsidRPr="005623A6">
        <w:t xml:space="preserve">theories </w:t>
      </w:r>
      <w:r w:rsidR="3C2EB7CD" w:rsidRPr="005623A6">
        <w:t xml:space="preserve">have influenced </w:t>
      </w:r>
      <w:r w:rsidR="00D11F2F">
        <w:t>the ACMA</w:t>
      </w:r>
      <w:r w:rsidR="6E89736E" w:rsidRPr="005623A6">
        <w:t xml:space="preserve">’s approach to compliance and enforcement, which </w:t>
      </w:r>
      <w:r w:rsidR="4406DDD1" w:rsidRPr="005623A6">
        <w:t xml:space="preserve">is considered </w:t>
      </w:r>
      <w:r w:rsidR="6E89736E" w:rsidRPr="005623A6">
        <w:t xml:space="preserve">in </w:t>
      </w:r>
      <w:r w:rsidR="00A50969">
        <w:t>Chapter</w:t>
      </w:r>
      <w:r w:rsidR="6E89736E" w:rsidRPr="005623A6">
        <w:t xml:space="preserve"> 3. Second, along with the continuum of administrative, civil and criminal sanctions explained in </w:t>
      </w:r>
      <w:r w:rsidR="00A50969">
        <w:t>Chapter 2</w:t>
      </w:r>
      <w:r w:rsidR="6E89736E" w:rsidRPr="005623A6">
        <w:t>, t</w:t>
      </w:r>
      <w:r w:rsidR="21950FE5" w:rsidRPr="005623A6">
        <w:t>he</w:t>
      </w:r>
      <w:r w:rsidR="07006EF0" w:rsidRPr="005623A6">
        <w:t xml:space="preserve"> ‘enforcement pyramid’ associated with responsive regulation</w:t>
      </w:r>
      <w:r w:rsidR="6E89736E" w:rsidRPr="005623A6">
        <w:t xml:space="preserve"> </w:t>
      </w:r>
      <w:r w:rsidR="4406DDD1" w:rsidRPr="005623A6">
        <w:t xml:space="preserve">provides a way to </w:t>
      </w:r>
      <w:r w:rsidR="1766629F" w:rsidRPr="005623A6">
        <w:t xml:space="preserve">illustrate the </w:t>
      </w:r>
      <w:r w:rsidR="4406DDD1" w:rsidRPr="005623A6">
        <w:t xml:space="preserve">severity of the </w:t>
      </w:r>
      <w:r w:rsidR="1766629F" w:rsidRPr="005623A6">
        <w:t>sanctions</w:t>
      </w:r>
      <w:r w:rsidR="00A50969">
        <w:t xml:space="preserve"> (</w:t>
      </w:r>
      <w:r w:rsidR="6909ED8B">
        <w:t>outlined in section B</w:t>
      </w:r>
      <w:r w:rsidR="00A50969">
        <w:t xml:space="preserve"> of Chapter 2)</w:t>
      </w:r>
      <w:r w:rsidR="6909ED8B">
        <w:t xml:space="preserve"> that</w:t>
      </w:r>
      <w:r w:rsidR="1766629F" w:rsidRPr="005623A6">
        <w:t xml:space="preserve"> </w:t>
      </w:r>
      <w:r w:rsidR="00D11F2F">
        <w:t>the ACMA</w:t>
      </w:r>
      <w:r w:rsidR="1766629F" w:rsidRPr="005623A6">
        <w:t xml:space="preserve"> may use to enforce the</w:t>
      </w:r>
      <w:r w:rsidR="3C2EB7CD" w:rsidRPr="005623A6">
        <w:t xml:space="preserve"> various</w:t>
      </w:r>
      <w:r w:rsidR="1766629F" w:rsidRPr="005623A6">
        <w:t xml:space="preserve"> </w:t>
      </w:r>
      <w:r w:rsidR="75367BD3" w:rsidRPr="005623A6">
        <w:t>consumer-protection rules</w:t>
      </w:r>
      <w:r w:rsidR="4406DDD1" w:rsidRPr="005623A6">
        <w:t>.</w:t>
      </w:r>
      <w:bookmarkStart w:id="19" w:name="_Ref161677558"/>
      <w:r w:rsidR="00937383" w:rsidRPr="005623A6">
        <w:rPr>
          <w:rStyle w:val="FootnoteReference"/>
        </w:rPr>
        <w:footnoteReference w:id="9"/>
      </w:r>
      <w:bookmarkEnd w:id="19"/>
    </w:p>
    <w:p w14:paraId="74F68E63" w14:textId="77777777" w:rsidR="004C1B25" w:rsidRPr="002D630D" w:rsidRDefault="004C1B25" w:rsidP="002D630D">
      <w:pPr>
        <w:pStyle w:val="Heading2"/>
      </w:pPr>
      <w:bookmarkStart w:id="20" w:name="_Toc139024380"/>
      <w:bookmarkStart w:id="21" w:name="_Toc139024703"/>
      <w:bookmarkStart w:id="22" w:name="_Toc139031346"/>
      <w:bookmarkStart w:id="23" w:name="_Toc146201020"/>
      <w:bookmarkStart w:id="24" w:name="_Toc161836148"/>
      <w:bookmarkStart w:id="25" w:name="ResponsiveRegulation"/>
      <w:r w:rsidRPr="002D630D">
        <w:t xml:space="preserve">A </w:t>
      </w:r>
      <w:r w:rsidRPr="002D630D">
        <w:tab/>
        <w:t xml:space="preserve">Responsive </w:t>
      </w:r>
      <w:r w:rsidR="00B575EC" w:rsidRPr="002D630D">
        <w:t>R</w:t>
      </w:r>
      <w:r w:rsidRPr="002D630D">
        <w:t>egulation</w:t>
      </w:r>
      <w:bookmarkEnd w:id="20"/>
      <w:bookmarkEnd w:id="21"/>
      <w:bookmarkEnd w:id="22"/>
      <w:bookmarkEnd w:id="23"/>
      <w:bookmarkEnd w:id="24"/>
    </w:p>
    <w:bookmarkEnd w:id="25"/>
    <w:p w14:paraId="31C16EDE" w14:textId="1354B3EE" w:rsidR="00DC1DBF" w:rsidRPr="005623A6" w:rsidRDefault="00337DFC" w:rsidP="00B343F7">
      <w:pPr>
        <w:rPr>
          <w:rFonts w:cstheme="minorHAnsi"/>
        </w:rPr>
      </w:pPr>
      <w:r w:rsidRPr="12EC14AA">
        <w:t>R</w:t>
      </w:r>
      <w:r w:rsidR="00FA3DA8" w:rsidRPr="12EC14AA">
        <w:t xml:space="preserve">esponsive regulation is </w:t>
      </w:r>
      <w:r w:rsidRPr="12EC14AA">
        <w:t>a</w:t>
      </w:r>
      <w:r w:rsidR="00616D76" w:rsidRPr="12EC14AA">
        <w:t xml:space="preserve"> </w:t>
      </w:r>
      <w:r w:rsidR="00A51784" w:rsidRPr="12EC14AA">
        <w:t>highly influential</w:t>
      </w:r>
      <w:bookmarkStart w:id="26" w:name="_Ref161677382"/>
      <w:r w:rsidR="00A378D4" w:rsidRPr="12EC14AA">
        <w:rPr>
          <w:rStyle w:val="FootnoteReference"/>
        </w:rPr>
        <w:footnoteReference w:id="10"/>
      </w:r>
      <w:bookmarkEnd w:id="26"/>
      <w:r w:rsidR="00A378D4" w:rsidRPr="12EC14AA">
        <w:t xml:space="preserve"> </w:t>
      </w:r>
      <w:r w:rsidR="002B3C41" w:rsidRPr="12EC14AA">
        <w:t xml:space="preserve">regulatory strategy </w:t>
      </w:r>
      <w:r w:rsidR="00937383" w:rsidRPr="12EC14AA">
        <w:t xml:space="preserve">(both in Australia and worldwide) </w:t>
      </w:r>
      <w:r w:rsidR="000D0E40" w:rsidRPr="12EC14AA">
        <w:t xml:space="preserve">first </w:t>
      </w:r>
      <w:r w:rsidRPr="12EC14AA">
        <w:t>developed by academics Ian Ayres and John Braithwaite</w:t>
      </w:r>
      <w:r w:rsidR="00E505A6" w:rsidRPr="12EC14AA">
        <w:t xml:space="preserve"> in the early 1990s</w:t>
      </w:r>
      <w:r w:rsidR="00A51784" w:rsidRPr="12EC14AA">
        <w:t>.</w:t>
      </w:r>
      <w:bookmarkStart w:id="27" w:name="_Ref161677473"/>
      <w:r w:rsidR="006B54C7" w:rsidRPr="12EC14AA">
        <w:rPr>
          <w:rStyle w:val="FootnoteReference"/>
        </w:rPr>
        <w:footnoteReference w:id="11"/>
      </w:r>
      <w:bookmarkEnd w:id="27"/>
      <w:r w:rsidR="0006441F" w:rsidRPr="12EC14AA">
        <w:t xml:space="preserve"> </w:t>
      </w:r>
      <w:r w:rsidR="00780C46" w:rsidRPr="12EC14AA">
        <w:t xml:space="preserve">At its simplest, </w:t>
      </w:r>
      <w:r w:rsidR="0081014A" w:rsidRPr="12EC14AA">
        <w:t xml:space="preserve">it </w:t>
      </w:r>
      <w:r w:rsidR="00AD5704" w:rsidRPr="12EC14AA">
        <w:t>is the idea that ‘regulators should be responsive to t</w:t>
      </w:r>
      <w:r w:rsidR="008F1EE5" w:rsidRPr="12EC14AA">
        <w:t>he conduct of those they seek to regulate in deciding whether a more or less interventionist response is needed’.</w:t>
      </w:r>
      <w:bookmarkStart w:id="28" w:name="_Ref161677430"/>
      <w:r w:rsidR="00A378D4" w:rsidRPr="12EC14AA">
        <w:rPr>
          <w:rStyle w:val="FootnoteReference"/>
        </w:rPr>
        <w:footnoteReference w:id="12"/>
      </w:r>
      <w:bookmarkEnd w:id="28"/>
      <w:r w:rsidR="00D9702F" w:rsidRPr="12EC14AA">
        <w:t xml:space="preserve"> </w:t>
      </w:r>
      <w:r w:rsidR="00790F86" w:rsidRPr="12EC14AA">
        <w:t xml:space="preserve">Responsive regulation, in fact, </w:t>
      </w:r>
      <w:r w:rsidR="004A7C53" w:rsidRPr="12EC14AA">
        <w:t>e</w:t>
      </w:r>
      <w:r w:rsidR="00C06AF3" w:rsidRPr="12EC14AA">
        <w:t xml:space="preserve">ncompasses </w:t>
      </w:r>
      <w:r w:rsidR="00B87788" w:rsidRPr="12EC14AA">
        <w:t xml:space="preserve">a </w:t>
      </w:r>
      <w:r w:rsidR="00D851EE" w:rsidRPr="12EC14AA">
        <w:t>wid</w:t>
      </w:r>
      <w:r w:rsidR="000D0E40" w:rsidRPr="12EC14AA">
        <w:t>e</w:t>
      </w:r>
      <w:r w:rsidR="00D851EE" w:rsidRPr="12EC14AA">
        <w:t xml:space="preserve"> </w:t>
      </w:r>
      <w:r w:rsidR="00B87788" w:rsidRPr="12EC14AA">
        <w:t xml:space="preserve">range of </w:t>
      </w:r>
      <w:r w:rsidR="006C3DBE" w:rsidRPr="12EC14AA">
        <w:t xml:space="preserve">ideas </w:t>
      </w:r>
      <w:r w:rsidR="00D851EE" w:rsidRPr="12EC14AA">
        <w:t xml:space="preserve">and </w:t>
      </w:r>
      <w:r w:rsidR="002C5869" w:rsidRPr="12EC14AA">
        <w:t xml:space="preserve">regulatory </w:t>
      </w:r>
      <w:r w:rsidR="00D851EE" w:rsidRPr="12EC14AA">
        <w:t xml:space="preserve">techniques </w:t>
      </w:r>
      <w:r w:rsidR="00E1612C" w:rsidRPr="12EC14AA">
        <w:t>including</w:t>
      </w:r>
      <w:r w:rsidR="006D0991" w:rsidRPr="12EC14AA">
        <w:t>, for example,</w:t>
      </w:r>
      <w:r w:rsidR="00E1612C" w:rsidRPr="12EC14AA">
        <w:t xml:space="preserve"> tripartism</w:t>
      </w:r>
      <w:r w:rsidR="009661D3" w:rsidRPr="12EC14AA">
        <w:t>,</w:t>
      </w:r>
      <w:r w:rsidR="000B2FAD" w:rsidRPr="12EC14AA">
        <w:rPr>
          <w:rStyle w:val="FootnoteReference"/>
        </w:rPr>
        <w:footnoteReference w:id="13"/>
      </w:r>
      <w:r w:rsidR="009661D3" w:rsidRPr="12EC14AA">
        <w:t xml:space="preserve"> enforced self-regulation,</w:t>
      </w:r>
      <w:r w:rsidR="007732A1" w:rsidRPr="12EC14AA">
        <w:rPr>
          <w:rStyle w:val="FootnoteReference"/>
        </w:rPr>
        <w:footnoteReference w:id="14"/>
      </w:r>
      <w:r w:rsidR="009661D3" w:rsidRPr="12EC14AA">
        <w:t xml:space="preserve"> partial-industry intervention</w:t>
      </w:r>
      <w:r w:rsidR="000C417B" w:rsidRPr="12EC14AA">
        <w:t>,</w:t>
      </w:r>
      <w:r w:rsidR="004655BA" w:rsidRPr="12EC14AA">
        <w:rPr>
          <w:rStyle w:val="FootnoteReference"/>
        </w:rPr>
        <w:footnoteReference w:id="15"/>
      </w:r>
      <w:r w:rsidR="004655BA" w:rsidRPr="12EC14AA">
        <w:t xml:space="preserve"> </w:t>
      </w:r>
      <w:r w:rsidR="000C417B" w:rsidRPr="12EC14AA">
        <w:t>and delegation of regulatory responsibilities</w:t>
      </w:r>
      <w:r w:rsidR="0015158B" w:rsidRPr="12EC14AA">
        <w:t xml:space="preserve"> </w:t>
      </w:r>
      <w:r w:rsidR="000C417B" w:rsidRPr="12EC14AA">
        <w:t>to third parties</w:t>
      </w:r>
      <w:r w:rsidR="000D07D6" w:rsidRPr="12EC14AA">
        <w:t xml:space="preserve">. </w:t>
      </w:r>
      <w:r w:rsidR="0033260D" w:rsidRPr="12EC14AA">
        <w:t xml:space="preserve">However, </w:t>
      </w:r>
      <w:r w:rsidR="003515FD" w:rsidRPr="12EC14AA">
        <w:t xml:space="preserve">it </w:t>
      </w:r>
      <w:r w:rsidR="008501F5" w:rsidRPr="12EC14AA">
        <w:t xml:space="preserve">is most </w:t>
      </w:r>
      <w:r w:rsidR="00155FBA" w:rsidRPr="12EC14AA">
        <w:t xml:space="preserve">closely associated with </w:t>
      </w:r>
      <w:r w:rsidR="00E90C79" w:rsidRPr="12EC14AA">
        <w:t xml:space="preserve">the </w:t>
      </w:r>
      <w:r w:rsidR="00F95B79" w:rsidRPr="12EC14AA">
        <w:t>‘enforcement pyrami</w:t>
      </w:r>
      <w:r w:rsidR="00ED288B" w:rsidRPr="12EC14AA">
        <w:t>d</w:t>
      </w:r>
      <w:r w:rsidR="00C8716C" w:rsidRPr="12EC14AA">
        <w:t>.</w:t>
      </w:r>
      <w:r w:rsidR="000E0F58" w:rsidRPr="12EC14AA">
        <w:t>’</w:t>
      </w:r>
      <w:bookmarkStart w:id="29" w:name="_Ref161677599"/>
      <w:r w:rsidR="00EF395A" w:rsidRPr="12EC14AA">
        <w:rPr>
          <w:rStyle w:val="FootnoteReference"/>
        </w:rPr>
        <w:footnoteReference w:id="16"/>
      </w:r>
      <w:bookmarkEnd w:id="29"/>
      <w:r w:rsidR="00EF395A" w:rsidRPr="12EC14AA">
        <w:t xml:space="preserve"> </w:t>
      </w:r>
    </w:p>
    <w:p w14:paraId="64C6FAB6" w14:textId="77777777" w:rsidR="00F6787B" w:rsidRPr="005623A6" w:rsidRDefault="00DD6905" w:rsidP="00DD6905">
      <w:pPr>
        <w:rPr>
          <w:rFonts w:cstheme="minorHAnsi"/>
        </w:rPr>
      </w:pPr>
      <w:r w:rsidRPr="12EC14AA">
        <w:t xml:space="preserve">The enforcement pyramid </w:t>
      </w:r>
      <w:r w:rsidR="00874543" w:rsidRPr="12EC14AA">
        <w:t xml:space="preserve">is based on </w:t>
      </w:r>
      <w:r w:rsidRPr="12EC14AA">
        <w:t xml:space="preserve">the idea that </w:t>
      </w:r>
      <w:r w:rsidR="0029291F" w:rsidRPr="12EC14AA">
        <w:t xml:space="preserve">regulators </w:t>
      </w:r>
      <w:r w:rsidR="00642F60" w:rsidRPr="12EC14AA">
        <w:t xml:space="preserve">need </w:t>
      </w:r>
      <w:r w:rsidR="00613C0D" w:rsidRPr="12EC14AA">
        <w:t xml:space="preserve">access to a range of </w:t>
      </w:r>
      <w:r w:rsidR="000443C6" w:rsidRPr="12EC14AA">
        <w:t>punishment</w:t>
      </w:r>
      <w:r w:rsidR="005D4BFE" w:rsidRPr="12EC14AA">
        <w:t>s</w:t>
      </w:r>
      <w:r w:rsidR="000443C6" w:rsidRPr="12EC14AA">
        <w:t xml:space="preserve"> </w:t>
      </w:r>
      <w:r w:rsidR="00613C0D" w:rsidRPr="12EC14AA">
        <w:t>with varying degrees of severity</w:t>
      </w:r>
      <w:r w:rsidR="00AA40AA" w:rsidRPr="12EC14AA">
        <w:t xml:space="preserve"> </w:t>
      </w:r>
      <w:r w:rsidR="00617121" w:rsidRPr="12EC14AA">
        <w:t xml:space="preserve">to </w:t>
      </w:r>
      <w:r w:rsidR="006D2A08" w:rsidRPr="12EC14AA">
        <w:t xml:space="preserve">ensure corporations comply </w:t>
      </w:r>
      <w:r w:rsidR="00617121" w:rsidRPr="12EC14AA">
        <w:t xml:space="preserve">with </w:t>
      </w:r>
      <w:r w:rsidR="006D2A08" w:rsidRPr="12EC14AA">
        <w:t xml:space="preserve">their </w:t>
      </w:r>
      <w:r w:rsidR="00617121" w:rsidRPr="12EC14AA">
        <w:t xml:space="preserve">legal obligations. </w:t>
      </w:r>
      <w:r w:rsidR="00A4122B" w:rsidRPr="12EC14AA">
        <w:t>I</w:t>
      </w:r>
      <w:r w:rsidR="00400FFB" w:rsidRPr="12EC14AA">
        <w:t xml:space="preserve">t </w:t>
      </w:r>
      <w:r w:rsidR="00874543" w:rsidRPr="12EC14AA">
        <w:t xml:space="preserve">is </w:t>
      </w:r>
      <w:r w:rsidR="00400FFB" w:rsidRPr="12EC14AA">
        <w:t xml:space="preserve">also </w:t>
      </w:r>
      <w:r w:rsidR="00874543" w:rsidRPr="12EC14AA">
        <w:t xml:space="preserve">based on </w:t>
      </w:r>
      <w:r w:rsidR="00400FFB" w:rsidRPr="12EC14AA">
        <w:t xml:space="preserve">the idea that </w:t>
      </w:r>
      <w:r w:rsidR="009A1B22" w:rsidRPr="12EC14AA">
        <w:t xml:space="preserve">regulators </w:t>
      </w:r>
      <w:r w:rsidR="00613C0D" w:rsidRPr="12EC14AA">
        <w:t xml:space="preserve">should </w:t>
      </w:r>
      <w:r w:rsidR="00600EEC" w:rsidRPr="12EC14AA">
        <w:t>use the least coercive means ne</w:t>
      </w:r>
      <w:r w:rsidR="00DF4CCF" w:rsidRPr="12EC14AA">
        <w:t>cessary</w:t>
      </w:r>
      <w:r w:rsidR="00661BCC" w:rsidRPr="12EC14AA">
        <w:t xml:space="preserve"> to achieve th</w:t>
      </w:r>
      <w:r w:rsidR="00400FFB" w:rsidRPr="12EC14AA">
        <w:t>e</w:t>
      </w:r>
      <w:r w:rsidR="00661BCC" w:rsidRPr="12EC14AA">
        <w:t xml:space="preserve"> objective</w:t>
      </w:r>
      <w:r w:rsidR="00400FFB" w:rsidRPr="12EC14AA">
        <w:t xml:space="preserve"> of securing compliance</w:t>
      </w:r>
      <w:r w:rsidR="00DF4CCF" w:rsidRPr="12EC14AA">
        <w:t xml:space="preserve">. It </w:t>
      </w:r>
      <w:r w:rsidR="00267B23" w:rsidRPr="12EC14AA">
        <w:t xml:space="preserve">presumes </w:t>
      </w:r>
      <w:r w:rsidR="009872AA" w:rsidRPr="12EC14AA">
        <w:t xml:space="preserve">that </w:t>
      </w:r>
      <w:r w:rsidR="001D56DF" w:rsidRPr="12EC14AA">
        <w:t xml:space="preserve">if </w:t>
      </w:r>
      <w:r w:rsidR="00BA1361" w:rsidRPr="12EC14AA">
        <w:t xml:space="preserve">a </w:t>
      </w:r>
      <w:r w:rsidR="0024201D" w:rsidRPr="12EC14AA">
        <w:t xml:space="preserve">corporation </w:t>
      </w:r>
      <w:r w:rsidR="00142D93" w:rsidRPr="12EC14AA">
        <w:t>breach</w:t>
      </w:r>
      <w:r w:rsidR="00BA1361" w:rsidRPr="12EC14AA">
        <w:t>es</w:t>
      </w:r>
      <w:r w:rsidR="00142D93" w:rsidRPr="12EC14AA">
        <w:t xml:space="preserve"> </w:t>
      </w:r>
      <w:r w:rsidR="00937403" w:rsidRPr="12EC14AA">
        <w:t>a</w:t>
      </w:r>
      <w:r w:rsidR="00B343F7" w:rsidRPr="12EC14AA">
        <w:t xml:space="preserve"> law</w:t>
      </w:r>
      <w:r w:rsidR="00A71BAA" w:rsidRPr="12EC14AA">
        <w:t xml:space="preserve">, regardless of the severity of the breach or the </w:t>
      </w:r>
      <w:r w:rsidR="009C77A9" w:rsidRPr="12EC14AA">
        <w:t>nature of the legal requirement</w:t>
      </w:r>
      <w:r w:rsidR="00A71BAA" w:rsidRPr="12EC14AA">
        <w:t>,</w:t>
      </w:r>
      <w:r w:rsidR="00B343F7" w:rsidRPr="12EC14AA">
        <w:t xml:space="preserve"> </w:t>
      </w:r>
      <w:r w:rsidR="00EC2671" w:rsidRPr="12EC14AA">
        <w:t xml:space="preserve">the initial response of </w:t>
      </w:r>
      <w:r w:rsidR="00BA1361" w:rsidRPr="12EC14AA">
        <w:t xml:space="preserve">a </w:t>
      </w:r>
      <w:r w:rsidR="00142D93" w:rsidRPr="12EC14AA">
        <w:t>regulator</w:t>
      </w:r>
      <w:r w:rsidR="00B343F7" w:rsidRPr="12EC14AA">
        <w:t xml:space="preserve"> should </w:t>
      </w:r>
      <w:r w:rsidR="00EC2671" w:rsidRPr="12EC14AA">
        <w:t xml:space="preserve">be to </w:t>
      </w:r>
      <w:r w:rsidR="00B641F3" w:rsidRPr="12EC14AA">
        <w:t>engag</w:t>
      </w:r>
      <w:r w:rsidR="00EC2671" w:rsidRPr="12EC14AA">
        <w:t>e</w:t>
      </w:r>
      <w:r w:rsidR="00B641F3" w:rsidRPr="12EC14AA">
        <w:t xml:space="preserve"> in </w:t>
      </w:r>
      <w:r w:rsidR="00E34411" w:rsidRPr="12EC14AA">
        <w:t>dialogue</w:t>
      </w:r>
      <w:r w:rsidR="000E0DB2" w:rsidRPr="12EC14AA">
        <w:t xml:space="preserve"> </w:t>
      </w:r>
      <w:r w:rsidR="00E34411" w:rsidRPr="12EC14AA">
        <w:t xml:space="preserve">with </w:t>
      </w:r>
      <w:r w:rsidR="0024201D" w:rsidRPr="12EC14AA">
        <w:t>th</w:t>
      </w:r>
      <w:r w:rsidR="00BA1361" w:rsidRPr="12EC14AA">
        <w:t>e company</w:t>
      </w:r>
      <w:r w:rsidR="008F543D" w:rsidRPr="12EC14AA">
        <w:t xml:space="preserve"> involved</w:t>
      </w:r>
      <w:r w:rsidR="00854278" w:rsidRPr="12EC14AA">
        <w:t xml:space="preserve">. </w:t>
      </w:r>
      <w:r w:rsidR="007D0373" w:rsidRPr="12EC14AA">
        <w:t xml:space="preserve">The regulator </w:t>
      </w:r>
      <w:r w:rsidR="00854278" w:rsidRPr="12EC14AA">
        <w:t xml:space="preserve">should </w:t>
      </w:r>
      <w:r w:rsidR="00503F9D" w:rsidRPr="12EC14AA">
        <w:t>listen to the</w:t>
      </w:r>
      <w:r w:rsidR="00BA1361" w:rsidRPr="12EC14AA">
        <w:t xml:space="preserve"> company’s </w:t>
      </w:r>
      <w:r w:rsidR="00503F9D" w:rsidRPr="12EC14AA">
        <w:t>concerns</w:t>
      </w:r>
      <w:r w:rsidR="00854278" w:rsidRPr="12EC14AA">
        <w:t xml:space="preserve">, </w:t>
      </w:r>
      <w:r w:rsidR="00C54D1F" w:rsidRPr="12EC14AA">
        <w:t>explain</w:t>
      </w:r>
      <w:r w:rsidR="00D17477" w:rsidRPr="12EC14AA">
        <w:t xml:space="preserve"> the purpose of the law</w:t>
      </w:r>
      <w:r w:rsidR="00854278" w:rsidRPr="12EC14AA">
        <w:t>,</w:t>
      </w:r>
      <w:r w:rsidR="005C679E" w:rsidRPr="12EC14AA">
        <w:t xml:space="preserve"> offer and obtain</w:t>
      </w:r>
      <w:r w:rsidR="00F703CB" w:rsidRPr="12EC14AA">
        <w:t xml:space="preserve"> advice</w:t>
      </w:r>
      <w:r w:rsidR="007D0373" w:rsidRPr="12EC14AA">
        <w:t xml:space="preserve"> </w:t>
      </w:r>
      <w:r w:rsidR="001B1B63" w:rsidRPr="12EC14AA">
        <w:t>to/</w:t>
      </w:r>
      <w:r w:rsidR="007D0373" w:rsidRPr="12EC14AA">
        <w:t>from the company</w:t>
      </w:r>
      <w:r w:rsidR="004B7A1A" w:rsidRPr="12EC14AA">
        <w:t>,</w:t>
      </w:r>
      <w:r w:rsidR="00F703CB" w:rsidRPr="12EC14AA">
        <w:t xml:space="preserve"> and </w:t>
      </w:r>
      <w:r w:rsidR="005C07EF" w:rsidRPr="12EC14AA">
        <w:t>persuade the</w:t>
      </w:r>
      <w:r w:rsidR="007D0373" w:rsidRPr="12EC14AA">
        <w:t xml:space="preserve"> company </w:t>
      </w:r>
      <w:r w:rsidR="005C07EF" w:rsidRPr="12EC14AA">
        <w:t xml:space="preserve">that compliance is the </w:t>
      </w:r>
      <w:r w:rsidR="002D2EE3" w:rsidRPr="12EC14AA">
        <w:t xml:space="preserve">right thing </w:t>
      </w:r>
      <w:r w:rsidR="002D2EE3" w:rsidRPr="12EC14AA">
        <w:lastRenderedPageBreak/>
        <w:t>to do.</w:t>
      </w:r>
      <w:r w:rsidR="002D2EE3" w:rsidRPr="12EC14AA">
        <w:rPr>
          <w:rStyle w:val="FootnoteReference"/>
        </w:rPr>
        <w:footnoteReference w:id="17"/>
      </w:r>
      <w:r w:rsidR="005C679E" w:rsidRPr="12EC14AA">
        <w:t xml:space="preserve"> </w:t>
      </w:r>
      <w:r w:rsidR="00D6469E" w:rsidRPr="12EC14AA">
        <w:t>If</w:t>
      </w:r>
      <w:r w:rsidR="001B1B63" w:rsidRPr="12EC14AA">
        <w:t xml:space="preserve"> </w:t>
      </w:r>
      <w:r w:rsidR="00EF59BB" w:rsidRPr="12EC14AA">
        <w:t xml:space="preserve">dialogue fails (ie, </w:t>
      </w:r>
      <w:r w:rsidR="00BA1361" w:rsidRPr="12EC14AA">
        <w:t>th</w:t>
      </w:r>
      <w:r w:rsidR="009B44DE" w:rsidRPr="12EC14AA">
        <w:t xml:space="preserve">e company </w:t>
      </w:r>
      <w:r w:rsidR="00715D83" w:rsidRPr="12EC14AA">
        <w:t xml:space="preserve">still </w:t>
      </w:r>
      <w:r w:rsidR="009B44DE" w:rsidRPr="12EC14AA">
        <w:t>does not comply with the law</w:t>
      </w:r>
      <w:r w:rsidR="00EF59BB" w:rsidRPr="12EC14AA">
        <w:t xml:space="preserve">), </w:t>
      </w:r>
      <w:r w:rsidR="009B44DE" w:rsidRPr="12EC14AA">
        <w:t xml:space="preserve">the regulator </w:t>
      </w:r>
      <w:r w:rsidR="008773B7" w:rsidRPr="12EC14AA">
        <w:t xml:space="preserve">should </w:t>
      </w:r>
      <w:r w:rsidR="006C02B9" w:rsidRPr="12EC14AA">
        <w:t xml:space="preserve">then begin to apply </w:t>
      </w:r>
      <w:r w:rsidR="00B76144" w:rsidRPr="12EC14AA">
        <w:t xml:space="preserve">‘somewhat </w:t>
      </w:r>
      <w:r w:rsidR="002F1A2F" w:rsidRPr="12EC14AA">
        <w:t xml:space="preserve">punitive </w:t>
      </w:r>
      <w:r w:rsidR="00B76144" w:rsidRPr="12EC14AA">
        <w:t>approaches’</w:t>
      </w:r>
      <w:r w:rsidR="009C67AC" w:rsidRPr="12EC14AA">
        <w:rPr>
          <w:rStyle w:val="FootnoteReference"/>
        </w:rPr>
        <w:footnoteReference w:id="18"/>
      </w:r>
      <w:r w:rsidR="00EE5EF6" w:rsidRPr="12EC14AA">
        <w:t xml:space="preserve"> (eg, issuing a warning letter).</w:t>
      </w:r>
      <w:r w:rsidR="00B76144" w:rsidRPr="12EC14AA">
        <w:t xml:space="preserve"> If these </w:t>
      </w:r>
      <w:r w:rsidR="008A5218" w:rsidRPr="12EC14AA">
        <w:t xml:space="preserve">approaches also fail, the </w:t>
      </w:r>
      <w:r w:rsidR="00214294" w:rsidRPr="12EC14AA">
        <w:t xml:space="preserve">regulator should </w:t>
      </w:r>
      <w:r w:rsidR="007160A2" w:rsidRPr="12EC14AA">
        <w:t xml:space="preserve">apply </w:t>
      </w:r>
      <w:r w:rsidR="00F704CB" w:rsidRPr="12EC14AA">
        <w:t xml:space="preserve">‘even </w:t>
      </w:r>
      <w:r w:rsidR="007160A2" w:rsidRPr="12EC14AA">
        <w:t xml:space="preserve">more </w:t>
      </w:r>
      <w:r w:rsidR="00F704CB" w:rsidRPr="12EC14AA">
        <w:t>punitive approaches’</w:t>
      </w:r>
      <w:r w:rsidR="00B65392" w:rsidRPr="12EC14AA">
        <w:rPr>
          <w:rStyle w:val="FootnoteReference"/>
        </w:rPr>
        <w:footnoteReference w:id="19"/>
      </w:r>
      <w:r w:rsidR="00EE5EF6" w:rsidRPr="12EC14AA">
        <w:t xml:space="preserve"> (eg, </w:t>
      </w:r>
      <w:r w:rsidR="00B214CE" w:rsidRPr="12EC14AA">
        <w:t>imposing a financial penalty</w:t>
      </w:r>
      <w:r w:rsidR="005F51AD" w:rsidRPr="12EC14AA">
        <w:t>, suspending a licence</w:t>
      </w:r>
      <w:r w:rsidR="00B214CE" w:rsidRPr="12EC14AA">
        <w:t>)</w:t>
      </w:r>
      <w:r w:rsidR="0057073C" w:rsidRPr="12EC14AA">
        <w:t>.</w:t>
      </w:r>
      <w:r w:rsidR="00066AAB" w:rsidRPr="12EC14AA">
        <w:t xml:space="preserve"> If these </w:t>
      </w:r>
      <w:r w:rsidR="007A2500" w:rsidRPr="12EC14AA">
        <w:t xml:space="preserve">even </w:t>
      </w:r>
      <w:r w:rsidR="00066AAB" w:rsidRPr="12EC14AA">
        <w:t>more punitive approaches</w:t>
      </w:r>
      <w:r w:rsidR="00B214CE" w:rsidRPr="12EC14AA">
        <w:t xml:space="preserve"> </w:t>
      </w:r>
      <w:r w:rsidR="00934E09" w:rsidRPr="12EC14AA">
        <w:t>fail to secure compliance</w:t>
      </w:r>
      <w:r w:rsidR="00066AAB" w:rsidRPr="12EC14AA">
        <w:t>, the regulator</w:t>
      </w:r>
      <w:r w:rsidR="00934E09" w:rsidRPr="12EC14AA">
        <w:t xml:space="preserve"> should </w:t>
      </w:r>
      <w:r w:rsidR="00097D0B" w:rsidRPr="12EC14AA">
        <w:t xml:space="preserve">then seek to </w:t>
      </w:r>
      <w:r w:rsidR="003B741F" w:rsidRPr="12EC14AA">
        <w:t xml:space="preserve">‘incapacitate’ </w:t>
      </w:r>
      <w:r w:rsidR="00097D0B" w:rsidRPr="12EC14AA">
        <w:t>the company</w:t>
      </w:r>
      <w:r w:rsidR="000D0E40" w:rsidRPr="12EC14AA">
        <w:t>, for example,</w:t>
      </w:r>
      <w:r w:rsidR="00097D0B" w:rsidRPr="12EC14AA">
        <w:t xml:space="preserve"> </w:t>
      </w:r>
      <w:r w:rsidR="003B741F" w:rsidRPr="12EC14AA">
        <w:t>by</w:t>
      </w:r>
      <w:r w:rsidR="002A4BA6" w:rsidRPr="12EC14AA">
        <w:t xml:space="preserve"> excluding them </w:t>
      </w:r>
      <w:r w:rsidR="00097D0B" w:rsidRPr="12EC14AA">
        <w:t>from the market</w:t>
      </w:r>
      <w:r w:rsidR="002A4BA6" w:rsidRPr="12EC14AA">
        <w:t>.</w:t>
      </w:r>
      <w:r w:rsidR="009872AA" w:rsidRPr="12EC14AA">
        <w:t xml:space="preserve"> </w:t>
      </w:r>
      <w:r w:rsidR="002F1619" w:rsidRPr="12EC14AA">
        <w:t>The enforcement pyramid is</w:t>
      </w:r>
      <w:r w:rsidR="00F92E30" w:rsidRPr="12EC14AA">
        <w:t>, however, intended to be</w:t>
      </w:r>
      <w:r w:rsidR="002F1619" w:rsidRPr="12EC14AA">
        <w:t xml:space="preserve"> ‘dynamic’</w:t>
      </w:r>
      <w:r w:rsidR="00B60FB2" w:rsidRPr="12EC14AA">
        <w:t>;</w:t>
      </w:r>
      <w:r w:rsidR="00F92E30" w:rsidRPr="12EC14AA">
        <w:t xml:space="preserve"> </w:t>
      </w:r>
      <w:r w:rsidR="00B60FB2" w:rsidRPr="12EC14AA">
        <w:t>r</w:t>
      </w:r>
      <w:r w:rsidR="00F47B5C" w:rsidRPr="12EC14AA">
        <w:t xml:space="preserve">egulators </w:t>
      </w:r>
      <w:r w:rsidR="00B60FB2" w:rsidRPr="12EC14AA">
        <w:t xml:space="preserve">have </w:t>
      </w:r>
      <w:r w:rsidR="00446E29" w:rsidRPr="12EC14AA">
        <w:t>the flexibility to depart from the presumption of dialogue and apply punitive approaches when circumstances warrant them (eg, where levels of harm are severe).</w:t>
      </w:r>
      <w:r w:rsidR="00B60FB2" w:rsidRPr="12EC14AA">
        <w:rPr>
          <w:rStyle w:val="FootnoteReference"/>
        </w:rPr>
        <w:footnoteReference w:id="20"/>
      </w:r>
      <w:r w:rsidR="00B60FB2" w:rsidRPr="12EC14AA">
        <w:t xml:space="preserve"> Moreover, </w:t>
      </w:r>
      <w:r w:rsidR="008F2275" w:rsidRPr="12EC14AA">
        <w:t>t</w:t>
      </w:r>
      <w:r w:rsidR="008B292E" w:rsidRPr="12EC14AA">
        <w:t xml:space="preserve">he </w:t>
      </w:r>
      <w:r w:rsidR="00477483" w:rsidRPr="12EC14AA">
        <w:t xml:space="preserve">philosophy behind the </w:t>
      </w:r>
      <w:r w:rsidR="008B292E" w:rsidRPr="12EC14AA">
        <w:t xml:space="preserve">enforcement pyramid </w:t>
      </w:r>
      <w:r w:rsidR="00B60FB2" w:rsidRPr="12EC14AA">
        <w:t xml:space="preserve">suggests </w:t>
      </w:r>
      <w:r w:rsidR="00B8605C" w:rsidRPr="12EC14AA">
        <w:t xml:space="preserve">that </w:t>
      </w:r>
      <w:r w:rsidR="008F2275" w:rsidRPr="12EC14AA">
        <w:t xml:space="preserve">if </w:t>
      </w:r>
      <w:r w:rsidR="005341B1" w:rsidRPr="12EC14AA">
        <w:t>less interventionist measures</w:t>
      </w:r>
      <w:r w:rsidR="00003C3E" w:rsidRPr="12EC14AA">
        <w:t xml:space="preserve"> succeed</w:t>
      </w:r>
      <w:r w:rsidR="00DF2962" w:rsidRPr="12EC14AA">
        <w:t xml:space="preserve"> (ie</w:t>
      </w:r>
      <w:r w:rsidR="00D162EE" w:rsidRPr="12EC14AA">
        <w:t>,</w:t>
      </w:r>
      <w:r w:rsidR="00DF2962" w:rsidRPr="12EC14AA">
        <w:t xml:space="preserve"> compliance is achieved)</w:t>
      </w:r>
      <w:r w:rsidR="00003C3E" w:rsidRPr="12EC14AA">
        <w:t xml:space="preserve">, </w:t>
      </w:r>
      <w:r w:rsidR="00263FE8" w:rsidRPr="12EC14AA">
        <w:t>then</w:t>
      </w:r>
      <w:r w:rsidR="00447584" w:rsidRPr="12EC14AA">
        <w:t xml:space="preserve"> </w:t>
      </w:r>
      <w:r w:rsidR="00AC0722" w:rsidRPr="12EC14AA">
        <w:t xml:space="preserve">the regulator should </w:t>
      </w:r>
      <w:r w:rsidR="003652CB" w:rsidRPr="12EC14AA">
        <w:t>‘</w:t>
      </w:r>
      <w:r w:rsidR="00020CB6" w:rsidRPr="12EC14AA">
        <w:t>de-escalate</w:t>
      </w:r>
      <w:r w:rsidR="003652CB" w:rsidRPr="12EC14AA">
        <w:t>’</w:t>
      </w:r>
      <w:r w:rsidR="00020CB6" w:rsidRPr="12EC14AA">
        <w:t xml:space="preserve"> and </w:t>
      </w:r>
      <w:r w:rsidR="00F578B3" w:rsidRPr="12EC14AA">
        <w:t>re</w:t>
      </w:r>
      <w:r w:rsidR="00F43BFA" w:rsidRPr="12EC14AA">
        <w:t xml:space="preserve">turn </w:t>
      </w:r>
      <w:r w:rsidR="00030DEC" w:rsidRPr="12EC14AA">
        <w:t>to</w:t>
      </w:r>
      <w:r w:rsidR="003D31D3" w:rsidRPr="12EC14AA">
        <w:t xml:space="preserve"> its practice of </w:t>
      </w:r>
      <w:r w:rsidR="00357CD7" w:rsidRPr="12EC14AA">
        <w:t>engaging in dialogue</w:t>
      </w:r>
      <w:r w:rsidR="00477483" w:rsidRPr="12EC14AA">
        <w:t xml:space="preserve"> with the company concerned</w:t>
      </w:r>
      <w:r w:rsidR="009E6BE9" w:rsidRPr="12EC14AA">
        <w:t>.</w:t>
      </w:r>
      <w:r w:rsidR="00A01AF9" w:rsidRPr="12EC14AA">
        <w:rPr>
          <w:rStyle w:val="FootnoteReference"/>
        </w:rPr>
        <w:footnoteReference w:id="21"/>
      </w:r>
      <w:r w:rsidR="005341B1" w:rsidRPr="12EC14AA">
        <w:t xml:space="preserve"> </w:t>
      </w:r>
    </w:p>
    <w:p w14:paraId="408CFD92" w14:textId="77777777" w:rsidR="009C62C2" w:rsidRPr="005623A6" w:rsidRDefault="009C62C2" w:rsidP="00DD6905">
      <w:pPr>
        <w:rPr>
          <w:rFonts w:cstheme="minorHAnsi"/>
        </w:rPr>
      </w:pPr>
      <w:r w:rsidRPr="005623A6">
        <w:rPr>
          <w:rFonts w:cstheme="minorHAnsi"/>
        </w:rPr>
        <w:t>An example of an enforcement pyramid is provided below.</w:t>
      </w:r>
    </w:p>
    <w:p w14:paraId="7BE8A1A0" w14:textId="77777777" w:rsidR="00DD6905" w:rsidRPr="005623A6" w:rsidRDefault="00A129E0" w:rsidP="00633C33">
      <w:pPr>
        <w:jc w:val="center"/>
        <w:rPr>
          <w:rFonts w:cstheme="minorHAnsi"/>
        </w:rPr>
      </w:pPr>
      <w:r w:rsidRPr="005623A6">
        <w:rPr>
          <w:rFonts w:cstheme="minorHAnsi"/>
          <w:noProof/>
          <w:lang w:eastAsia="en-AU"/>
        </w:rPr>
        <w:drawing>
          <wp:inline distT="0" distB="0" distL="0" distR="0" wp14:anchorId="2B14E7AA" wp14:editId="5C08245F">
            <wp:extent cx="3484800" cy="3056400"/>
            <wp:effectExtent l="0" t="0" r="1905" b="0"/>
            <wp:docPr id="943883994" name="Picture 943883994" descr="This is a diagram that shows the different levels of regulatory intervention, from the most severe to the least severe. The diagram is based on the theory of responsive regulation, which proposes that regulators should use a range of sanctions and incentives to encourage compliance. The diagram is a pyramid with six horizontal sections. The top section, which represents the most severe intervention, is labelled &quot;License Revocation&quot;. The second section, which represents a less severe intervention, is labelled &quot;License Suspension&quot;. The third section is labelled &quot;Criminal Penalty&quot;. The fourth section is labelled &quot;Civil Penalty&quot;. The fifth section is labelled &quot;Warning Letter&quot;. The bottom section, which represents the least severe intervention, is labelled &quot;Persuasion&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883994" name="Picture 943883994" descr="This is a diagram that shows the different levels of regulatory intervention, from the most severe to the least severe. The diagram is based on the theory of responsive regulation, which proposes that regulators should use a range of sanctions and incentives to encourage compliance. The diagram is a pyramid with six horizontal sections. The top section, which represents the most severe intervention, is labelled &quot;License Revocation&quot;. The second section, which represents a less severe intervention, is labelled &quot;License Suspension&quot;. The third section is labelled &quot;Criminal Penalty&quot;. The fourth section is labelled &quot;Civil Penalty&quot;. The fifth section is labelled &quot;Warning Letter&quot;. The bottom section, which represents the least severe intervention, is labelled &quot;Persuasion&quot;. "/>
                    <pic:cNvPicPr/>
                  </pic:nvPicPr>
                  <pic:blipFill>
                    <a:blip r:embed="rId15">
                      <a:extLst>
                        <a:ext uri="{28A0092B-C50C-407E-A947-70E740481C1C}">
                          <a14:useLocalDpi xmlns:a14="http://schemas.microsoft.com/office/drawing/2010/main" val="0"/>
                        </a:ext>
                      </a:extLst>
                    </a:blip>
                    <a:stretch>
                      <a:fillRect/>
                    </a:stretch>
                  </pic:blipFill>
                  <pic:spPr>
                    <a:xfrm>
                      <a:off x="0" y="0"/>
                      <a:ext cx="3484800" cy="3056400"/>
                    </a:xfrm>
                    <a:prstGeom prst="rect">
                      <a:avLst/>
                    </a:prstGeom>
                  </pic:spPr>
                </pic:pic>
              </a:graphicData>
            </a:graphic>
          </wp:inline>
        </w:drawing>
      </w:r>
    </w:p>
    <w:p w14:paraId="268D844B" w14:textId="77777777" w:rsidR="000730CE" w:rsidRPr="005623A6" w:rsidRDefault="000730CE" w:rsidP="006E3B1B">
      <w:pPr>
        <w:jc w:val="center"/>
        <w:rPr>
          <w:rFonts w:cstheme="minorHAnsi"/>
          <w:sz w:val="16"/>
          <w:szCs w:val="16"/>
        </w:rPr>
      </w:pPr>
      <w:r w:rsidRPr="12EC14AA">
        <w:rPr>
          <w:sz w:val="16"/>
          <w:szCs w:val="16"/>
        </w:rPr>
        <w:t>Figure 1</w:t>
      </w:r>
      <w:r w:rsidR="00A17C1E" w:rsidRPr="12EC14AA">
        <w:rPr>
          <w:sz w:val="16"/>
          <w:szCs w:val="16"/>
        </w:rPr>
        <w:t xml:space="preserve">. </w:t>
      </w:r>
      <w:r w:rsidR="006731EB" w:rsidRPr="12EC14AA">
        <w:rPr>
          <w:sz w:val="16"/>
          <w:szCs w:val="16"/>
        </w:rPr>
        <w:t>E</w:t>
      </w:r>
      <w:r w:rsidR="00496A87" w:rsidRPr="12EC14AA">
        <w:rPr>
          <w:sz w:val="16"/>
          <w:szCs w:val="16"/>
        </w:rPr>
        <w:t xml:space="preserve">nforcement </w:t>
      </w:r>
      <w:r w:rsidR="002B3296" w:rsidRPr="12EC14AA">
        <w:rPr>
          <w:sz w:val="16"/>
          <w:szCs w:val="16"/>
        </w:rPr>
        <w:t>P</w:t>
      </w:r>
      <w:r w:rsidR="00496A87" w:rsidRPr="12EC14AA">
        <w:rPr>
          <w:sz w:val="16"/>
          <w:szCs w:val="16"/>
        </w:rPr>
        <w:t>yramid.</w:t>
      </w:r>
      <w:r w:rsidR="00496A87" w:rsidRPr="12EC14AA">
        <w:rPr>
          <w:rStyle w:val="FootnoteReference"/>
          <w:sz w:val="16"/>
          <w:szCs w:val="16"/>
        </w:rPr>
        <w:footnoteReference w:id="22"/>
      </w:r>
    </w:p>
    <w:p w14:paraId="1E18ECD1" w14:textId="5A3DE5E9" w:rsidR="00E66264" w:rsidRPr="005623A6" w:rsidRDefault="00364B51" w:rsidP="00E95BA2">
      <w:pPr>
        <w:rPr>
          <w:rFonts w:cstheme="minorHAnsi"/>
        </w:rPr>
      </w:pPr>
      <w:r w:rsidRPr="12EC14AA">
        <w:t>It is important to recognise that t</w:t>
      </w:r>
      <w:r w:rsidR="00E033A4" w:rsidRPr="12EC14AA">
        <w:t xml:space="preserve">he enforcement pyramid </w:t>
      </w:r>
      <w:r w:rsidR="00FC5A3C" w:rsidRPr="12EC14AA">
        <w:t>assum</w:t>
      </w:r>
      <w:r w:rsidR="004C1B25" w:rsidRPr="12EC14AA">
        <w:t>es</w:t>
      </w:r>
      <w:r w:rsidR="00FC5A3C" w:rsidRPr="12EC14AA">
        <w:t xml:space="preserve"> </w:t>
      </w:r>
      <w:r w:rsidR="00E66264" w:rsidRPr="12EC14AA">
        <w:t xml:space="preserve">corporations </w:t>
      </w:r>
      <w:r w:rsidR="003D36FF" w:rsidRPr="12EC14AA">
        <w:t xml:space="preserve">are not monolithic entities. They </w:t>
      </w:r>
      <w:r w:rsidR="00E66264" w:rsidRPr="12EC14AA">
        <w:t>have ‘multiple selves’</w:t>
      </w:r>
      <w:r w:rsidR="00196D28" w:rsidRPr="12EC14AA">
        <w:t xml:space="preserve"> </w:t>
      </w:r>
      <w:r w:rsidR="00F30450" w:rsidRPr="12EC14AA">
        <w:t xml:space="preserve">(ie, </w:t>
      </w:r>
      <w:r w:rsidR="00E66264" w:rsidRPr="12EC14AA">
        <w:t>different motivations for complying with the law - motivations that ‘operate both serially and simultaneously’</w:t>
      </w:r>
      <w:r w:rsidR="009A0957" w:rsidRPr="12EC14AA">
        <w:t>)</w:t>
      </w:r>
      <w:r w:rsidR="00E66264" w:rsidRPr="12EC14AA">
        <w:t>.</w:t>
      </w:r>
      <w:r w:rsidR="00E66264" w:rsidRPr="12EC14AA">
        <w:rPr>
          <w:rStyle w:val="FootnoteReference"/>
        </w:rPr>
        <w:footnoteReference w:id="23"/>
      </w:r>
      <w:r w:rsidR="00E66264" w:rsidRPr="12EC14AA">
        <w:t xml:space="preserve"> </w:t>
      </w:r>
      <w:r w:rsidR="007F01CA" w:rsidRPr="12EC14AA">
        <w:t>M</w:t>
      </w:r>
      <w:r w:rsidR="00E66264" w:rsidRPr="12EC14AA">
        <w:t xml:space="preserve">ultiple </w:t>
      </w:r>
      <w:r w:rsidR="001E60DB" w:rsidRPr="12EC14AA">
        <w:t xml:space="preserve">enforcement tools </w:t>
      </w:r>
      <w:r w:rsidR="00F6787B" w:rsidRPr="12EC14AA">
        <w:t xml:space="preserve">are needed so </w:t>
      </w:r>
      <w:r w:rsidR="00E66264" w:rsidRPr="12EC14AA">
        <w:t xml:space="preserve">that </w:t>
      </w:r>
      <w:r w:rsidR="004D1F0A" w:rsidRPr="12EC14AA">
        <w:t xml:space="preserve">regulators </w:t>
      </w:r>
      <w:r w:rsidR="007F01CA" w:rsidRPr="12EC14AA">
        <w:t xml:space="preserve">can </w:t>
      </w:r>
      <w:r w:rsidR="00E66264" w:rsidRPr="12EC14AA">
        <w:t xml:space="preserve">deploy </w:t>
      </w:r>
      <w:r w:rsidR="001E60DB" w:rsidRPr="12EC14AA">
        <w:t xml:space="preserve">them </w:t>
      </w:r>
      <w:r w:rsidR="00E66264" w:rsidRPr="12EC14AA">
        <w:t>sensitively in light of the</w:t>
      </w:r>
      <w:r w:rsidR="004A6C7F" w:rsidRPr="12EC14AA">
        <w:t xml:space="preserve"> different motivations </w:t>
      </w:r>
      <w:r w:rsidR="00FA487C" w:rsidRPr="12EC14AA">
        <w:t xml:space="preserve">of corporate actors and </w:t>
      </w:r>
      <w:r w:rsidR="004A6C7F" w:rsidRPr="12EC14AA">
        <w:t xml:space="preserve">their </w:t>
      </w:r>
      <w:r w:rsidR="00D45664" w:rsidRPr="12EC14AA">
        <w:t xml:space="preserve">own </w:t>
      </w:r>
      <w:r w:rsidR="00E66264" w:rsidRPr="12EC14AA">
        <w:t>experience</w:t>
      </w:r>
      <w:r w:rsidR="00D45664" w:rsidRPr="12EC14AA">
        <w:t xml:space="preserve">s of interacting </w:t>
      </w:r>
      <w:r w:rsidR="00E66264" w:rsidRPr="12EC14AA">
        <w:t>with</w:t>
      </w:r>
      <w:r w:rsidR="004A6C7F" w:rsidRPr="12EC14AA">
        <w:t xml:space="preserve"> them</w:t>
      </w:r>
      <w:r w:rsidR="00E66264" w:rsidRPr="12EC14AA">
        <w:t xml:space="preserve">. Ayres and Braithwaite do not attempt to delineate or categorise the full range of compliance motivations corporate actors have or </w:t>
      </w:r>
      <w:r w:rsidR="00A86D24" w:rsidRPr="12EC14AA">
        <w:t xml:space="preserve">to </w:t>
      </w:r>
      <w:r w:rsidR="00E66264" w:rsidRPr="12EC14AA">
        <w:t xml:space="preserve">design an exhaustive toolkit that successfully harnesses all of them. Rather, their </w:t>
      </w:r>
      <w:r w:rsidR="00030F57" w:rsidRPr="12EC14AA">
        <w:t xml:space="preserve">key </w:t>
      </w:r>
      <w:r w:rsidR="00E66264" w:rsidRPr="12EC14AA">
        <w:lastRenderedPageBreak/>
        <w:t>insight, drawn from Braithwaite’s studies of nursing homes and coal mines,</w:t>
      </w:r>
      <w:r w:rsidR="00E66264" w:rsidRPr="12EC14AA">
        <w:rPr>
          <w:rStyle w:val="FootnoteReference"/>
        </w:rPr>
        <w:footnoteReference w:id="24"/>
      </w:r>
      <w:r w:rsidR="00E66264" w:rsidRPr="12EC14AA">
        <w:t xml:space="preserve"> is that economic rationalism – the premise that underpins traditional deterrence theories of compliance – is not the only factor that motivates compliance.  Corporate actors will often be motivated by economic rationalism and some corporate actors will only be motivated by profit-seeking motives, but </w:t>
      </w:r>
      <w:r w:rsidR="009A5999" w:rsidRPr="12EC14AA">
        <w:t xml:space="preserve">some </w:t>
      </w:r>
      <w:r w:rsidR="00E66264" w:rsidRPr="12EC14AA">
        <w:t>will also be motivated by ‘[doing] what is right, [being] faithful to their identity as a law abiding citizen, and [sustaining] a self-concept of social responsibility.’</w:t>
      </w:r>
      <w:r w:rsidR="00E66264" w:rsidRPr="12EC14AA">
        <w:rPr>
          <w:rStyle w:val="FootnoteReference"/>
        </w:rPr>
        <w:footnoteReference w:id="25"/>
      </w:r>
      <w:r w:rsidR="00E66264" w:rsidRPr="12EC14AA">
        <w:t xml:space="preserve"> And by denying the existence of those other motivating factors</w:t>
      </w:r>
      <w:r w:rsidR="00ED78D8" w:rsidRPr="12EC14AA">
        <w:t>,</w:t>
      </w:r>
      <w:r w:rsidR="00E66264" w:rsidRPr="12EC14AA">
        <w:t xml:space="preserve"> regulators run the risk of undermining the incentives law-abiding corporate actors might have to comply. It is for that reason</w:t>
      </w:r>
      <w:r w:rsidR="00E66264" w:rsidRPr="12EC14AA">
        <w:rPr>
          <w:b/>
          <w:bCs/>
        </w:rPr>
        <w:t xml:space="preserve"> </w:t>
      </w:r>
      <w:r w:rsidR="00E66264" w:rsidRPr="12EC14AA">
        <w:t>they suggest that regulators need to engage in dialogue with regulatees – dialogue that a ‘tit</w:t>
      </w:r>
      <w:r w:rsidR="00157F95" w:rsidRPr="12EC14AA">
        <w:t xml:space="preserve"> </w:t>
      </w:r>
      <w:r w:rsidR="00E66264" w:rsidRPr="12EC14AA">
        <w:t>for</w:t>
      </w:r>
      <w:r w:rsidR="00157F95" w:rsidRPr="12EC14AA">
        <w:t xml:space="preserve"> </w:t>
      </w:r>
      <w:r w:rsidR="00E66264" w:rsidRPr="12EC14AA">
        <w:t xml:space="preserve">tat’ enforcement strategy </w:t>
      </w:r>
      <w:r w:rsidR="00A2251A" w:rsidRPr="12EC14AA">
        <w:t xml:space="preserve">(as it is referred to in the literature) </w:t>
      </w:r>
      <w:r w:rsidR="00561B08" w:rsidRPr="12EC14AA">
        <w:t xml:space="preserve">encourages and </w:t>
      </w:r>
      <w:r w:rsidR="00E66264" w:rsidRPr="12EC14AA">
        <w:t>facilitate</w:t>
      </w:r>
      <w:r w:rsidR="00F7485B" w:rsidRPr="12EC14AA">
        <w:t>s</w:t>
      </w:r>
      <w:r w:rsidR="00E66264" w:rsidRPr="12EC14AA">
        <w:t>.</w:t>
      </w:r>
    </w:p>
    <w:p w14:paraId="3D41D0EA" w14:textId="7D89E690" w:rsidR="00F60887" w:rsidRPr="005623A6" w:rsidRDefault="00D224E6" w:rsidP="3B2F8BC2">
      <w:r w:rsidRPr="005623A6">
        <w:t xml:space="preserve">Over the last </w:t>
      </w:r>
      <w:r w:rsidR="00975F4E" w:rsidRPr="005623A6">
        <w:t xml:space="preserve">three decades, responsive regulation has been </w:t>
      </w:r>
      <w:r w:rsidR="00652D27" w:rsidRPr="005623A6">
        <w:t xml:space="preserve">the subject of much </w:t>
      </w:r>
      <w:r w:rsidR="00086E53" w:rsidRPr="005623A6">
        <w:t xml:space="preserve">study, </w:t>
      </w:r>
      <w:r w:rsidR="00652D27" w:rsidRPr="005623A6">
        <w:t>discussion</w:t>
      </w:r>
      <w:r w:rsidR="008B1423" w:rsidRPr="005623A6">
        <w:t>,</w:t>
      </w:r>
      <w:r w:rsidR="00652D27" w:rsidRPr="005623A6">
        <w:t xml:space="preserve"> and </w:t>
      </w:r>
      <w:r w:rsidR="00975F4E" w:rsidRPr="005623A6">
        <w:t>critique</w:t>
      </w:r>
      <w:r w:rsidR="00652D27" w:rsidRPr="005623A6">
        <w:t xml:space="preserve"> in the academic literature. We have not been </w:t>
      </w:r>
      <w:r w:rsidR="001E6A8A" w:rsidRPr="005623A6">
        <w:t xml:space="preserve">asked to </w:t>
      </w:r>
      <w:r w:rsidR="00C461AA" w:rsidRPr="005623A6">
        <w:t xml:space="preserve">summarise and/or </w:t>
      </w:r>
      <w:r w:rsidR="009F5224" w:rsidRPr="005623A6">
        <w:t xml:space="preserve">review that </w:t>
      </w:r>
      <w:r w:rsidR="00FA3AA9" w:rsidRPr="005623A6">
        <w:t xml:space="preserve">voluminous </w:t>
      </w:r>
      <w:r w:rsidR="009F5224" w:rsidRPr="005623A6">
        <w:t xml:space="preserve">literature </w:t>
      </w:r>
      <w:r w:rsidR="008B1423" w:rsidRPr="005623A6">
        <w:t xml:space="preserve">for </w:t>
      </w:r>
      <w:r w:rsidR="005319AC" w:rsidRPr="005623A6">
        <w:t>this report</w:t>
      </w:r>
      <w:r w:rsidR="009F5224" w:rsidRPr="005623A6">
        <w:t xml:space="preserve">. However, </w:t>
      </w:r>
      <w:r w:rsidR="007A48A2" w:rsidRPr="005623A6">
        <w:t xml:space="preserve">below we provide </w:t>
      </w:r>
      <w:r w:rsidR="00780A53" w:rsidRPr="005623A6">
        <w:t xml:space="preserve">a </w:t>
      </w:r>
      <w:r w:rsidR="008869B4" w:rsidRPr="005623A6">
        <w:t xml:space="preserve">small sample of </w:t>
      </w:r>
      <w:r w:rsidR="00780A53" w:rsidRPr="005623A6">
        <w:t xml:space="preserve">the </w:t>
      </w:r>
      <w:r w:rsidR="007A48A2" w:rsidRPr="005623A6">
        <w:t>criticisms</w:t>
      </w:r>
      <w:r w:rsidR="00780A53" w:rsidRPr="005623A6">
        <w:t xml:space="preserve"> </w:t>
      </w:r>
      <w:r w:rsidR="008869B4" w:rsidRPr="005623A6">
        <w:t>regulatory scholars have made</w:t>
      </w:r>
      <w:r w:rsidR="00270A02" w:rsidRPr="005623A6">
        <w:t xml:space="preserve"> </w:t>
      </w:r>
      <w:r w:rsidR="00B07A61" w:rsidRPr="005623A6">
        <w:t xml:space="preserve">about </w:t>
      </w:r>
      <w:r w:rsidR="000C32F7" w:rsidRPr="005623A6">
        <w:t xml:space="preserve">the enforcement pyramid </w:t>
      </w:r>
      <w:r w:rsidR="00270A02" w:rsidRPr="005623A6">
        <w:t xml:space="preserve">to highlight that </w:t>
      </w:r>
      <w:r w:rsidR="00943B38" w:rsidRPr="005623A6">
        <w:t xml:space="preserve">even though </w:t>
      </w:r>
      <w:r w:rsidR="004E3DA5" w:rsidRPr="005623A6">
        <w:t xml:space="preserve">it has been </w:t>
      </w:r>
      <w:r w:rsidR="004D59EE" w:rsidRPr="005623A6">
        <w:t>influential</w:t>
      </w:r>
      <w:r w:rsidR="00943B38" w:rsidRPr="005623A6">
        <w:t>,</w:t>
      </w:r>
      <w:r w:rsidR="004D59EE" w:rsidRPr="005623A6">
        <w:t xml:space="preserve"> </w:t>
      </w:r>
      <w:r w:rsidR="00B17440" w:rsidRPr="005623A6">
        <w:t xml:space="preserve">responsive regulation </w:t>
      </w:r>
      <w:r w:rsidR="00943B38" w:rsidRPr="005623A6">
        <w:t>is not un</w:t>
      </w:r>
      <w:r w:rsidR="004D59EE" w:rsidRPr="005623A6">
        <w:t>contested</w:t>
      </w:r>
      <w:r w:rsidR="005C1853" w:rsidRPr="006773A6">
        <w:t xml:space="preserve">. </w:t>
      </w:r>
      <w:r w:rsidR="00A228F5" w:rsidRPr="006773A6">
        <w:t>We also highlight the various factors ‘responsive’ regulators are said to need to consider when seeking to enforce rules</w:t>
      </w:r>
      <w:r w:rsidR="000923F6">
        <w:t xml:space="preserve"> – </w:t>
      </w:r>
      <w:r w:rsidR="00A228F5" w:rsidRPr="006773A6">
        <w:t xml:space="preserve">a point we will return to in </w:t>
      </w:r>
      <w:r w:rsidR="00A86D24">
        <w:t xml:space="preserve">Chapter </w:t>
      </w:r>
      <w:r w:rsidR="00A228F5" w:rsidRPr="006773A6">
        <w:t xml:space="preserve">4 where we highlight the difficulties of empirically assessing whether </w:t>
      </w:r>
      <w:r w:rsidR="00D11F2F">
        <w:t>the ACMA</w:t>
      </w:r>
      <w:r w:rsidR="00A228F5" w:rsidRPr="006773A6">
        <w:t xml:space="preserve"> has been a responsive regulator. In addition, w</w:t>
      </w:r>
      <w:r w:rsidR="00087FE6" w:rsidRPr="006773A6">
        <w:t>e</w:t>
      </w:r>
      <w:r w:rsidR="005C1853" w:rsidRPr="006773A6">
        <w:t xml:space="preserve"> </w:t>
      </w:r>
      <w:r w:rsidR="00174178" w:rsidRPr="006773A6">
        <w:t>explain the concept of a support or strengths-based pyramid</w:t>
      </w:r>
      <w:r w:rsidR="00E060EE" w:rsidRPr="006773A6">
        <w:t xml:space="preserve"> </w:t>
      </w:r>
      <w:r w:rsidR="009C3D6E" w:rsidRPr="006773A6">
        <w:t>–</w:t>
      </w:r>
      <w:r w:rsidR="00E060EE" w:rsidRPr="006773A6">
        <w:t xml:space="preserve"> a</w:t>
      </w:r>
      <w:r w:rsidR="00B8605C" w:rsidRPr="006773A6">
        <w:t xml:space="preserve">nother </w:t>
      </w:r>
      <w:r w:rsidR="00E060EE" w:rsidRPr="006773A6">
        <w:t xml:space="preserve">pyramid that </w:t>
      </w:r>
      <w:r w:rsidR="005215A1" w:rsidRPr="006773A6">
        <w:t>in</w:t>
      </w:r>
      <w:r w:rsidR="00C9154A" w:rsidRPr="006773A6">
        <w:t xml:space="preserve"> 2007 </w:t>
      </w:r>
      <w:r w:rsidR="00E060EE" w:rsidRPr="006773A6">
        <w:t>John Braithwaite</w:t>
      </w:r>
      <w:r w:rsidR="005215A1" w:rsidRPr="006773A6">
        <w:t>, Toni Makkai and Valerie Braithwaite</w:t>
      </w:r>
      <w:bookmarkStart w:id="30" w:name="_Ref138243303"/>
      <w:r w:rsidR="004770C3" w:rsidRPr="006773A6">
        <w:rPr>
          <w:rStyle w:val="FootnoteReference"/>
        </w:rPr>
        <w:footnoteReference w:id="26"/>
      </w:r>
      <w:bookmarkEnd w:id="30"/>
      <w:r w:rsidR="005215A1" w:rsidRPr="006773A6">
        <w:t xml:space="preserve"> </w:t>
      </w:r>
      <w:r w:rsidR="00E060EE" w:rsidRPr="006773A6">
        <w:t xml:space="preserve">suggested regulators </w:t>
      </w:r>
      <w:r w:rsidR="00D273FF" w:rsidRPr="006773A6">
        <w:t xml:space="preserve">should use </w:t>
      </w:r>
      <w:r w:rsidR="00E060EE" w:rsidRPr="006773A6">
        <w:t xml:space="preserve">in </w:t>
      </w:r>
      <w:r w:rsidR="00545763" w:rsidRPr="006773A6">
        <w:t xml:space="preserve">conjunction </w:t>
      </w:r>
      <w:r w:rsidR="00E060EE" w:rsidRPr="006773A6">
        <w:t>with the enforcement pyramid</w:t>
      </w:r>
      <w:r w:rsidR="00545763" w:rsidRPr="006773A6">
        <w:t xml:space="preserve"> to secure compliance</w:t>
      </w:r>
      <w:r w:rsidR="00D273FF" w:rsidRPr="006773A6">
        <w:t>.</w:t>
      </w:r>
      <w:r w:rsidR="006A526E" w:rsidRPr="005623A6">
        <w:t xml:space="preserve"> </w:t>
      </w:r>
    </w:p>
    <w:p w14:paraId="20F86352" w14:textId="77777777" w:rsidR="00B87729" w:rsidRPr="005623A6" w:rsidRDefault="004C1B25" w:rsidP="002B147B">
      <w:pPr>
        <w:pStyle w:val="Heading3"/>
      </w:pPr>
      <w:bookmarkStart w:id="31" w:name="_Toc146201021"/>
      <w:bookmarkStart w:id="32" w:name="_Toc161836149"/>
      <w:bookmarkStart w:id="33" w:name="SomeCriticismsofResponsiveRegulations"/>
      <w:r w:rsidRPr="005623A6">
        <w:t>1</w:t>
      </w:r>
      <w:r w:rsidR="006632EB" w:rsidRPr="005623A6">
        <w:tab/>
        <w:t xml:space="preserve">Some </w:t>
      </w:r>
      <w:r w:rsidR="00B575EC">
        <w:t>C</w:t>
      </w:r>
      <w:r w:rsidR="006632EB" w:rsidRPr="005623A6">
        <w:t xml:space="preserve">riticisms of </w:t>
      </w:r>
      <w:r w:rsidR="00B575EC">
        <w:t>R</w:t>
      </w:r>
      <w:r w:rsidR="006632EB" w:rsidRPr="005623A6">
        <w:t xml:space="preserve">esponsive </w:t>
      </w:r>
      <w:r w:rsidR="00B575EC">
        <w:t>R</w:t>
      </w:r>
      <w:r w:rsidR="006632EB" w:rsidRPr="005623A6">
        <w:t>egulation</w:t>
      </w:r>
      <w:bookmarkEnd w:id="31"/>
      <w:bookmarkEnd w:id="32"/>
    </w:p>
    <w:bookmarkEnd w:id="33"/>
    <w:p w14:paraId="7407111C" w14:textId="77777777" w:rsidR="0F32C1EF" w:rsidRPr="005623A6" w:rsidRDefault="00AF723B" w:rsidP="3B2F8BC2">
      <w:r w:rsidRPr="005623A6">
        <w:t>C</w:t>
      </w:r>
      <w:r w:rsidR="0F32C1EF" w:rsidRPr="005623A6">
        <w:t xml:space="preserve">riticisms made by regulatory scholars </w:t>
      </w:r>
      <w:r w:rsidR="248A4F7C" w:rsidRPr="005623A6">
        <w:t xml:space="preserve">about responsive regulation and the enforcement pyramid </w:t>
      </w:r>
      <w:r w:rsidR="0F32C1EF" w:rsidRPr="005623A6">
        <w:t>include the following.</w:t>
      </w:r>
    </w:p>
    <w:p w14:paraId="4E285495" w14:textId="6C68FAA9" w:rsidR="0081300E" w:rsidRPr="005623A6" w:rsidRDefault="0006780C" w:rsidP="001019BA">
      <w:pPr>
        <w:pStyle w:val="ListParagraph"/>
        <w:numPr>
          <w:ilvl w:val="0"/>
          <w:numId w:val="24"/>
        </w:numPr>
      </w:pPr>
      <w:r w:rsidRPr="005623A6">
        <w:t xml:space="preserve">It </w:t>
      </w:r>
      <w:r w:rsidR="0008773F" w:rsidRPr="005623A6">
        <w:t xml:space="preserve">assumes </w:t>
      </w:r>
      <w:r w:rsidR="00E96D59" w:rsidRPr="005623A6">
        <w:t xml:space="preserve">regulators </w:t>
      </w:r>
      <w:r w:rsidR="00AB2665" w:rsidRPr="005623A6">
        <w:t xml:space="preserve">have an ongoing </w:t>
      </w:r>
      <w:r w:rsidR="00E51D6D" w:rsidRPr="005623A6">
        <w:t>and direct</w:t>
      </w:r>
      <w:r w:rsidR="00256E5F" w:rsidRPr="005623A6">
        <w:t xml:space="preserve"> face-to-face</w:t>
      </w:r>
      <w:r w:rsidR="00E51D6D" w:rsidRPr="005623A6">
        <w:t xml:space="preserve"> </w:t>
      </w:r>
      <w:r w:rsidR="00AB2665" w:rsidRPr="005623A6">
        <w:t xml:space="preserve">relationship with </w:t>
      </w:r>
      <w:r w:rsidR="00E51D6D" w:rsidRPr="005623A6">
        <w:t>regulate</w:t>
      </w:r>
      <w:r w:rsidR="008439A7" w:rsidRPr="005623A6">
        <w:t>e</w:t>
      </w:r>
      <w:r w:rsidR="00E51D6D" w:rsidRPr="005623A6">
        <w:t xml:space="preserve">s – a </w:t>
      </w:r>
      <w:r w:rsidR="00537CEA" w:rsidRPr="005623A6">
        <w:t xml:space="preserve">relationship that </w:t>
      </w:r>
      <w:r w:rsidR="00B1550F" w:rsidRPr="005623A6">
        <w:t xml:space="preserve">many regulators </w:t>
      </w:r>
      <w:r w:rsidR="0009713A" w:rsidRPr="005623A6">
        <w:t xml:space="preserve">may </w:t>
      </w:r>
      <w:r w:rsidR="00917844" w:rsidRPr="005623A6">
        <w:t>not have</w:t>
      </w:r>
      <w:r w:rsidR="00033B73" w:rsidRPr="005623A6">
        <w:t xml:space="preserve"> with the companies they </w:t>
      </w:r>
      <w:r w:rsidR="00263B6B" w:rsidRPr="005623A6">
        <w:t>oversee</w:t>
      </w:r>
      <w:r w:rsidR="00E85CF1" w:rsidRPr="005623A6">
        <w:t>, especially in complex sectors</w:t>
      </w:r>
      <w:r w:rsidR="00602607" w:rsidRPr="005623A6">
        <w:t xml:space="preserve"> with multiple players</w:t>
      </w:r>
      <w:r w:rsidR="494D6105" w:rsidRPr="005623A6">
        <w:t xml:space="preserve"> </w:t>
      </w:r>
      <w:r w:rsidR="00A86D24">
        <w:t xml:space="preserve">such as </w:t>
      </w:r>
      <w:r w:rsidR="494D6105" w:rsidRPr="005623A6">
        <w:t>financial services</w:t>
      </w:r>
      <w:r w:rsidR="3DF7612B" w:rsidRPr="005623A6">
        <w:t>.</w:t>
      </w:r>
      <w:r w:rsidR="002E3992" w:rsidRPr="005623A6">
        <w:rPr>
          <w:rStyle w:val="FootnoteReference"/>
        </w:rPr>
        <w:footnoteReference w:id="27"/>
      </w:r>
    </w:p>
    <w:p w14:paraId="7C41CA3E" w14:textId="77777777" w:rsidR="00832E95" w:rsidRPr="005623A6" w:rsidRDefault="004D54EB" w:rsidP="001019BA">
      <w:pPr>
        <w:pStyle w:val="ListParagraph"/>
        <w:numPr>
          <w:ilvl w:val="0"/>
          <w:numId w:val="24"/>
        </w:numPr>
      </w:pPr>
      <w:r w:rsidRPr="005623A6">
        <w:t xml:space="preserve">It assumes </w:t>
      </w:r>
      <w:r w:rsidR="00E24CF0" w:rsidRPr="005623A6">
        <w:t xml:space="preserve">regulators have </w:t>
      </w:r>
      <w:r w:rsidR="007F05FC" w:rsidRPr="005623A6">
        <w:t>knowledge about</w:t>
      </w:r>
      <w:r w:rsidR="00BB79E5" w:rsidRPr="005623A6">
        <w:t>, or the capacity to learn about, the contexts in which regulatees operate, their moti</w:t>
      </w:r>
      <w:r w:rsidR="00E44B61" w:rsidRPr="005623A6">
        <w:t>vations</w:t>
      </w:r>
      <w:r w:rsidR="009F65D5" w:rsidRPr="005623A6">
        <w:t>, backgrounds and objectives</w:t>
      </w:r>
      <w:r w:rsidR="00586AE3" w:rsidRPr="005623A6">
        <w:t>,</w:t>
      </w:r>
      <w:r w:rsidR="00B2601B" w:rsidRPr="005623A6">
        <w:rPr>
          <w:rStyle w:val="FootnoteReference"/>
        </w:rPr>
        <w:footnoteReference w:id="28"/>
      </w:r>
      <w:r w:rsidR="00C943C0" w:rsidRPr="005623A6">
        <w:t xml:space="preserve"> </w:t>
      </w:r>
      <w:r w:rsidR="00586AE3" w:rsidRPr="005623A6">
        <w:t xml:space="preserve">despite </w:t>
      </w:r>
      <w:r w:rsidR="00C04947" w:rsidRPr="005623A6">
        <w:t xml:space="preserve">the existence of </w:t>
      </w:r>
      <w:r w:rsidR="00586AE3" w:rsidRPr="005623A6">
        <w:t xml:space="preserve">well-known </w:t>
      </w:r>
      <w:r w:rsidR="0023023C" w:rsidRPr="005623A6">
        <w:t>information asymmetries between regulators and regulatees</w:t>
      </w:r>
      <w:r w:rsidR="197FE1F0" w:rsidRPr="005623A6">
        <w:t>.</w:t>
      </w:r>
    </w:p>
    <w:p w14:paraId="02F89EDE" w14:textId="77777777" w:rsidR="00827789" w:rsidRPr="005623A6" w:rsidRDefault="009423F5" w:rsidP="001019BA">
      <w:pPr>
        <w:pStyle w:val="ListParagraph"/>
        <w:numPr>
          <w:ilvl w:val="0"/>
          <w:numId w:val="24"/>
        </w:numPr>
      </w:pPr>
      <w:r w:rsidRPr="005623A6">
        <w:t>E</w:t>
      </w:r>
      <w:r w:rsidR="00C16901" w:rsidRPr="005623A6">
        <w:t xml:space="preserve">scalation </w:t>
      </w:r>
      <w:r w:rsidR="00392B72" w:rsidRPr="005623A6">
        <w:t xml:space="preserve">up the </w:t>
      </w:r>
      <w:r w:rsidR="00E34740" w:rsidRPr="005623A6">
        <w:t xml:space="preserve">pyramid </w:t>
      </w:r>
      <w:r w:rsidR="00E27D3C" w:rsidRPr="005623A6">
        <w:t xml:space="preserve">assumes </w:t>
      </w:r>
      <w:r w:rsidR="009E2CE3" w:rsidRPr="005623A6">
        <w:t xml:space="preserve">that </w:t>
      </w:r>
      <w:r w:rsidR="00B8605C" w:rsidRPr="005623A6">
        <w:t xml:space="preserve">all </w:t>
      </w:r>
      <w:r w:rsidR="008710A9" w:rsidRPr="005623A6">
        <w:t>regulate</w:t>
      </w:r>
      <w:r w:rsidR="00E34740" w:rsidRPr="005623A6">
        <w:t>e</w:t>
      </w:r>
      <w:r w:rsidR="008710A9" w:rsidRPr="005623A6">
        <w:t xml:space="preserve">s </w:t>
      </w:r>
      <w:r w:rsidR="009A2F83" w:rsidRPr="005623A6">
        <w:t xml:space="preserve">perceive and/or </w:t>
      </w:r>
      <w:r w:rsidR="008710A9" w:rsidRPr="005623A6">
        <w:t>respond to</w:t>
      </w:r>
      <w:r w:rsidR="009A2F83" w:rsidRPr="005623A6">
        <w:t xml:space="preserve"> </w:t>
      </w:r>
      <w:r w:rsidR="00782C10" w:rsidRPr="005623A6">
        <w:t xml:space="preserve">the prescribed hierarchy of </w:t>
      </w:r>
      <w:r w:rsidR="00D038AF" w:rsidRPr="005623A6">
        <w:t>penalties in the same way</w:t>
      </w:r>
      <w:r w:rsidR="002441A4" w:rsidRPr="005623A6">
        <w:t xml:space="preserve"> even though</w:t>
      </w:r>
      <w:r w:rsidR="00E34740" w:rsidRPr="005623A6">
        <w:t xml:space="preserve"> </w:t>
      </w:r>
      <w:r w:rsidR="008C61BC" w:rsidRPr="005623A6">
        <w:t xml:space="preserve">regulatees </w:t>
      </w:r>
      <w:r w:rsidR="00E27750" w:rsidRPr="005623A6">
        <w:t xml:space="preserve">may </w:t>
      </w:r>
      <w:r w:rsidR="00A65587" w:rsidRPr="005623A6">
        <w:t xml:space="preserve">react </w:t>
      </w:r>
      <w:r w:rsidR="005C693F" w:rsidRPr="005623A6">
        <w:t xml:space="preserve">to </w:t>
      </w:r>
      <w:r w:rsidR="00B8605C" w:rsidRPr="005623A6">
        <w:t xml:space="preserve">the same penalties </w:t>
      </w:r>
      <w:r w:rsidR="00A65587" w:rsidRPr="005623A6">
        <w:t>differently</w:t>
      </w:r>
      <w:r w:rsidR="49D04BD3" w:rsidRPr="005623A6">
        <w:t>.</w:t>
      </w:r>
      <w:r w:rsidR="00D473B6" w:rsidRPr="005623A6">
        <w:rPr>
          <w:rStyle w:val="FootnoteReference"/>
        </w:rPr>
        <w:footnoteReference w:id="29"/>
      </w:r>
    </w:p>
    <w:p w14:paraId="16F36552" w14:textId="77777777" w:rsidR="00DC6123" w:rsidRPr="005623A6" w:rsidRDefault="00314689" w:rsidP="001019BA">
      <w:pPr>
        <w:pStyle w:val="ListParagraph"/>
        <w:numPr>
          <w:ilvl w:val="0"/>
          <w:numId w:val="24"/>
        </w:numPr>
      </w:pPr>
      <w:r w:rsidRPr="005623A6">
        <w:t xml:space="preserve">It </w:t>
      </w:r>
      <w:r w:rsidR="00BB152C" w:rsidRPr="005623A6">
        <w:t>assumes r</w:t>
      </w:r>
      <w:r w:rsidR="00DC6123" w:rsidRPr="005623A6">
        <w:t xml:space="preserve">egulators </w:t>
      </w:r>
      <w:r w:rsidR="76C81B34" w:rsidRPr="005623A6">
        <w:t xml:space="preserve">can </w:t>
      </w:r>
      <w:r w:rsidR="00494CCE" w:rsidRPr="005623A6">
        <w:t xml:space="preserve">clearly </w:t>
      </w:r>
      <w:r w:rsidR="009A2295" w:rsidRPr="005623A6">
        <w:t xml:space="preserve">communicate </w:t>
      </w:r>
      <w:r w:rsidR="00782C10" w:rsidRPr="005623A6">
        <w:t xml:space="preserve">to regulatees </w:t>
      </w:r>
      <w:r w:rsidR="22BD6F5C" w:rsidRPr="005623A6">
        <w:t xml:space="preserve">about </w:t>
      </w:r>
      <w:r w:rsidR="00B85AAA" w:rsidRPr="005623A6">
        <w:t xml:space="preserve">how </w:t>
      </w:r>
      <w:r w:rsidR="009A2295" w:rsidRPr="005623A6">
        <w:t>the</w:t>
      </w:r>
      <w:r w:rsidR="00BB152C" w:rsidRPr="005623A6">
        <w:t xml:space="preserve">y will </w:t>
      </w:r>
      <w:r w:rsidR="00EA76EE" w:rsidRPr="005623A6">
        <w:t>react to non-compliant behaviou</w:t>
      </w:r>
      <w:r w:rsidR="008B5704" w:rsidRPr="005623A6">
        <w:t>r</w:t>
      </w:r>
      <w:r w:rsidR="00435470" w:rsidRPr="005623A6">
        <w:t xml:space="preserve"> and regulatees can </w:t>
      </w:r>
      <w:r w:rsidR="00BA4926" w:rsidRPr="005623A6">
        <w:t xml:space="preserve">easily understand </w:t>
      </w:r>
      <w:r w:rsidR="008C4301" w:rsidRPr="005623A6">
        <w:t>the messages be</w:t>
      </w:r>
      <w:r w:rsidR="00315E22" w:rsidRPr="005623A6">
        <w:t xml:space="preserve">ing </w:t>
      </w:r>
      <w:r w:rsidR="00315E22" w:rsidRPr="005623A6">
        <w:lastRenderedPageBreak/>
        <w:t>communicated</w:t>
      </w:r>
      <w:r w:rsidR="00AE23D7" w:rsidRPr="005623A6">
        <w:t xml:space="preserve">, even though </w:t>
      </w:r>
      <w:r w:rsidR="00A5499B" w:rsidRPr="005623A6">
        <w:t>ensur</w:t>
      </w:r>
      <w:r w:rsidR="0066264E" w:rsidRPr="005623A6">
        <w:t>ing</w:t>
      </w:r>
      <w:r w:rsidR="00A5499B" w:rsidRPr="005623A6">
        <w:t xml:space="preserve"> </w:t>
      </w:r>
      <w:r w:rsidR="00DD375A" w:rsidRPr="005623A6">
        <w:t xml:space="preserve">effective and unambiguous </w:t>
      </w:r>
      <w:r w:rsidR="00177597" w:rsidRPr="005623A6">
        <w:t xml:space="preserve">communication </w:t>
      </w:r>
      <w:r w:rsidR="007953D2" w:rsidRPr="005623A6">
        <w:t xml:space="preserve">between parties </w:t>
      </w:r>
      <w:r w:rsidR="00177597" w:rsidRPr="005623A6">
        <w:t>can be difficult</w:t>
      </w:r>
      <w:r w:rsidR="00DD375A" w:rsidRPr="005623A6">
        <w:t xml:space="preserve"> to achieve in practice</w:t>
      </w:r>
      <w:r w:rsidR="1C4642E6" w:rsidRPr="005623A6">
        <w:t>.</w:t>
      </w:r>
      <w:r w:rsidR="00B205E7" w:rsidRPr="005623A6">
        <w:rPr>
          <w:rStyle w:val="FootnoteReference"/>
        </w:rPr>
        <w:footnoteReference w:id="30"/>
      </w:r>
    </w:p>
    <w:p w14:paraId="1282B6E3" w14:textId="77777777" w:rsidR="00527D20" w:rsidRPr="005623A6" w:rsidRDefault="00D80000" w:rsidP="001019BA">
      <w:pPr>
        <w:pStyle w:val="ListParagraph"/>
        <w:numPr>
          <w:ilvl w:val="0"/>
          <w:numId w:val="24"/>
        </w:numPr>
      </w:pPr>
      <w:r w:rsidRPr="005623A6">
        <w:t>R</w:t>
      </w:r>
      <w:r w:rsidR="00941FAE" w:rsidRPr="005623A6">
        <w:t xml:space="preserve">egulators </w:t>
      </w:r>
      <w:r w:rsidR="001257E4" w:rsidRPr="005623A6">
        <w:t>often lac</w:t>
      </w:r>
      <w:r w:rsidR="00BB5E8D" w:rsidRPr="005623A6">
        <w:t xml:space="preserve">k the </w:t>
      </w:r>
      <w:r w:rsidR="1BE6263E" w:rsidRPr="005623A6">
        <w:t xml:space="preserve">legislative </w:t>
      </w:r>
      <w:r w:rsidR="00BB5E8D" w:rsidRPr="005623A6">
        <w:t xml:space="preserve">tools </w:t>
      </w:r>
      <w:r w:rsidR="004234DA" w:rsidRPr="005623A6">
        <w:t xml:space="preserve">needed to escalate </w:t>
      </w:r>
      <w:r w:rsidR="005E3449" w:rsidRPr="005623A6">
        <w:t>enforcement</w:t>
      </w:r>
      <w:r w:rsidR="14BF72FF" w:rsidRPr="005623A6">
        <w:t xml:space="preserve"> in their enabling legislation</w:t>
      </w:r>
      <w:r w:rsidR="0071048A" w:rsidRPr="005623A6">
        <w:rPr>
          <w:rStyle w:val="FootnoteReference"/>
        </w:rPr>
        <w:footnoteReference w:id="31"/>
      </w:r>
      <w:r w:rsidR="02A1FFBF" w:rsidRPr="005623A6">
        <w:t xml:space="preserve"> as well as the resources </w:t>
      </w:r>
      <w:r w:rsidR="1A3B9DA6" w:rsidRPr="005623A6">
        <w:t xml:space="preserve">and training </w:t>
      </w:r>
      <w:r w:rsidR="24CEDD3F" w:rsidRPr="005623A6">
        <w:t xml:space="preserve">required </w:t>
      </w:r>
      <w:r w:rsidR="02A1FFBF" w:rsidRPr="005623A6">
        <w:t xml:space="preserve">to implement a </w:t>
      </w:r>
      <w:r w:rsidR="32A39EB0" w:rsidRPr="005623A6">
        <w:t xml:space="preserve">truly </w:t>
      </w:r>
      <w:r w:rsidR="02A1FFBF" w:rsidRPr="005623A6">
        <w:t>responsive regulatory approach</w:t>
      </w:r>
      <w:r w:rsidR="00BC0E58" w:rsidRPr="005623A6">
        <w:t>.</w:t>
      </w:r>
      <w:r w:rsidR="02A1FFBF" w:rsidRPr="005623A6">
        <w:t xml:space="preserve"> </w:t>
      </w:r>
      <w:r w:rsidR="00113E83" w:rsidRPr="005623A6">
        <w:t xml:space="preserve"> </w:t>
      </w:r>
    </w:p>
    <w:p w14:paraId="3BAEE082" w14:textId="77777777" w:rsidR="00A228F5" w:rsidRDefault="0F23DCA7" w:rsidP="001019BA">
      <w:pPr>
        <w:pStyle w:val="ListParagraph"/>
        <w:numPr>
          <w:ilvl w:val="0"/>
          <w:numId w:val="24"/>
        </w:numPr>
      </w:pPr>
      <w:r w:rsidRPr="005623A6">
        <w:t xml:space="preserve">De-escalation down the pyramid </w:t>
      </w:r>
      <w:r w:rsidR="70AF8318" w:rsidRPr="005623A6">
        <w:t xml:space="preserve">or a return to dialogue </w:t>
      </w:r>
      <w:r w:rsidRPr="005623A6">
        <w:t>may not be possible if strong enforcement action undermines</w:t>
      </w:r>
      <w:r w:rsidR="1E2A3D48" w:rsidRPr="005623A6">
        <w:t xml:space="preserve"> </w:t>
      </w:r>
      <w:r w:rsidR="00162F22" w:rsidRPr="005623A6">
        <w:t xml:space="preserve">any </w:t>
      </w:r>
      <w:r w:rsidR="1E2A3D48" w:rsidRPr="005623A6">
        <w:t xml:space="preserve">trust </w:t>
      </w:r>
      <w:r w:rsidR="00162F22" w:rsidRPr="005623A6">
        <w:t xml:space="preserve">built </w:t>
      </w:r>
      <w:r w:rsidR="1E2A3D48" w:rsidRPr="005623A6">
        <w:t xml:space="preserve">between regulators and </w:t>
      </w:r>
      <w:r w:rsidR="00162F22" w:rsidRPr="005623A6">
        <w:t>regulates over time</w:t>
      </w:r>
      <w:r w:rsidR="1E2A3D48" w:rsidRPr="005623A6">
        <w:t>.</w:t>
      </w:r>
      <w:r w:rsidRPr="005623A6">
        <w:t xml:space="preserve"> </w:t>
      </w:r>
    </w:p>
    <w:p w14:paraId="3EE79DFD" w14:textId="77777777" w:rsidR="00A228F5" w:rsidRPr="005805F2" w:rsidRDefault="00A228F5" w:rsidP="00D238F5">
      <w:pPr>
        <w:pStyle w:val="Heading3"/>
      </w:pPr>
      <w:bookmarkStart w:id="34" w:name="_Toc146201022"/>
      <w:bookmarkStart w:id="35" w:name="_Toc161836150"/>
      <w:r w:rsidRPr="005805F2">
        <w:t>2</w:t>
      </w:r>
      <w:r w:rsidRPr="005805F2">
        <w:tab/>
        <w:t xml:space="preserve">What </w:t>
      </w:r>
      <w:r w:rsidR="00B575EC">
        <w:t>M</w:t>
      </w:r>
      <w:r w:rsidR="00B739BC">
        <w:t>ake</w:t>
      </w:r>
      <w:r w:rsidR="00E96669">
        <w:t>s</w:t>
      </w:r>
      <w:r w:rsidRPr="005805F2">
        <w:t xml:space="preserve"> </w:t>
      </w:r>
      <w:r w:rsidR="00B575EC">
        <w:t>R</w:t>
      </w:r>
      <w:r w:rsidRPr="005805F2">
        <w:t xml:space="preserve">egulators </w:t>
      </w:r>
      <w:r w:rsidR="00B739BC">
        <w:t>‘</w:t>
      </w:r>
      <w:r w:rsidR="00B575EC">
        <w:t>R</w:t>
      </w:r>
      <w:r w:rsidRPr="005805F2">
        <w:t>esponsive</w:t>
      </w:r>
      <w:r w:rsidR="00B739BC">
        <w:t>’</w:t>
      </w:r>
      <w:r w:rsidRPr="005805F2">
        <w:t>?</w:t>
      </w:r>
      <w:bookmarkEnd w:id="34"/>
      <w:bookmarkEnd w:id="35"/>
    </w:p>
    <w:p w14:paraId="56A4C6AE" w14:textId="77777777" w:rsidR="00A228F5" w:rsidRPr="005805F2" w:rsidRDefault="00A228F5" w:rsidP="00A228F5">
      <w:r w:rsidRPr="005805F2">
        <w:t xml:space="preserve">The precise factors that regulators must consider to be classified as ‘responsive’ vary. They depend on the specific understanding or interpretation of responsive regulation </w:t>
      </w:r>
      <w:r w:rsidR="007900B8" w:rsidRPr="005805F2">
        <w:t>adopted</w:t>
      </w:r>
      <w:r w:rsidRPr="005805F2">
        <w:t xml:space="preserve">. Moreover, as more empirical research on regulatory enforcement is conducted and the theory of responsive regulation continues to evolve, the number of factors that regulators must consider (or be responsive to) continues to expand. </w:t>
      </w:r>
    </w:p>
    <w:p w14:paraId="0A66DDE7" w14:textId="77777777" w:rsidR="00341048" w:rsidRPr="005805F2" w:rsidRDefault="00A228F5" w:rsidP="000A6AE7">
      <w:r w:rsidRPr="005805F2">
        <w:t xml:space="preserve">All forms of responsive regulation require regulators </w:t>
      </w:r>
      <w:r w:rsidR="004A43C3" w:rsidRPr="005805F2">
        <w:t xml:space="preserve">at a minimum </w:t>
      </w:r>
      <w:r w:rsidRPr="005805F2">
        <w:t xml:space="preserve">to be sensitive to the specific ‘conduct’ of regulatees. </w:t>
      </w:r>
      <w:r w:rsidR="0086488C" w:rsidRPr="005805F2">
        <w:t>Yet</w:t>
      </w:r>
      <w:r w:rsidR="004117EB" w:rsidRPr="005805F2">
        <w:t>, as</w:t>
      </w:r>
      <w:r w:rsidR="00CA30FD" w:rsidRPr="005805F2">
        <w:t xml:space="preserve"> </w:t>
      </w:r>
      <w:r w:rsidR="004117EB" w:rsidRPr="005805F2">
        <w:t xml:space="preserve">Nielsen </w:t>
      </w:r>
      <w:r w:rsidR="008162E1" w:rsidRPr="005805F2">
        <w:t xml:space="preserve">has </w:t>
      </w:r>
      <w:r w:rsidR="004117EB" w:rsidRPr="005805F2">
        <w:t>highlighted</w:t>
      </w:r>
      <w:r w:rsidR="00E60492" w:rsidRPr="005805F2">
        <w:t xml:space="preserve">, conduct </w:t>
      </w:r>
      <w:r w:rsidR="00BD42DA" w:rsidRPr="005805F2">
        <w:t xml:space="preserve">is an </w:t>
      </w:r>
      <w:r w:rsidR="00EE254D" w:rsidRPr="005805F2">
        <w:t xml:space="preserve">ambiguous </w:t>
      </w:r>
      <w:r w:rsidR="004A43C3" w:rsidRPr="005805F2">
        <w:t>term</w:t>
      </w:r>
      <w:r w:rsidR="00E60492" w:rsidRPr="005805F2">
        <w:t xml:space="preserve">. She </w:t>
      </w:r>
      <w:r w:rsidR="00BC43CB" w:rsidRPr="005805F2">
        <w:t>identifi</w:t>
      </w:r>
      <w:r w:rsidR="00341048" w:rsidRPr="005805F2">
        <w:t>es</w:t>
      </w:r>
      <w:r w:rsidR="00BC43CB" w:rsidRPr="005805F2">
        <w:t xml:space="preserve"> five </w:t>
      </w:r>
      <w:r w:rsidR="00C75FC1" w:rsidRPr="005805F2">
        <w:t xml:space="preserve">(non-mutually exclusive) </w:t>
      </w:r>
      <w:r w:rsidR="00BB08A3" w:rsidRPr="005805F2">
        <w:t xml:space="preserve">types </w:t>
      </w:r>
      <w:r w:rsidR="00BC43CB" w:rsidRPr="005805F2">
        <w:t xml:space="preserve">of conduct that </w:t>
      </w:r>
      <w:r w:rsidR="00461369" w:rsidRPr="005805F2">
        <w:t xml:space="preserve">‘responsive’ </w:t>
      </w:r>
      <w:r w:rsidR="00B37F71" w:rsidRPr="005805F2">
        <w:t xml:space="preserve">regulators could </w:t>
      </w:r>
      <w:r w:rsidR="00890AD3" w:rsidRPr="005805F2">
        <w:t xml:space="preserve">possibly </w:t>
      </w:r>
      <w:r w:rsidR="00B37F71" w:rsidRPr="005805F2">
        <w:t>take into account</w:t>
      </w:r>
      <w:r w:rsidR="00DE07C7" w:rsidRPr="005805F2">
        <w:t xml:space="preserve"> </w:t>
      </w:r>
      <w:r w:rsidR="00E45A5D" w:rsidRPr="005805F2">
        <w:t>when regulatees commit a breach</w:t>
      </w:r>
      <w:r w:rsidR="0006444D" w:rsidRPr="005805F2">
        <w:t>. The</w:t>
      </w:r>
      <w:r w:rsidR="00D33FC2" w:rsidRPr="005805F2">
        <w:t xml:space="preserve"> different types of conduct </w:t>
      </w:r>
      <w:r w:rsidR="0006444D" w:rsidRPr="005805F2">
        <w:t>include:</w:t>
      </w:r>
    </w:p>
    <w:p w14:paraId="275B8E7B" w14:textId="77777777" w:rsidR="0006444D" w:rsidRPr="005805F2" w:rsidRDefault="0006444D" w:rsidP="001019BA">
      <w:pPr>
        <w:pStyle w:val="ListParagraph"/>
        <w:numPr>
          <w:ilvl w:val="0"/>
          <w:numId w:val="53"/>
        </w:numPr>
      </w:pPr>
      <w:r w:rsidRPr="005805F2">
        <w:t xml:space="preserve">the </w:t>
      </w:r>
      <w:r w:rsidR="0052549F" w:rsidRPr="005805F2">
        <w:t xml:space="preserve">type, </w:t>
      </w:r>
      <w:r w:rsidRPr="005805F2">
        <w:t>number and gravity of breaches committed by regulatees</w:t>
      </w:r>
      <w:r w:rsidR="0054023E">
        <w:t>;</w:t>
      </w:r>
      <w:r w:rsidRPr="005805F2">
        <w:t xml:space="preserve"> </w:t>
      </w:r>
    </w:p>
    <w:p w14:paraId="7E75DAEC" w14:textId="77777777" w:rsidR="00CD7306" w:rsidRPr="005805F2" w:rsidRDefault="00CD7306" w:rsidP="001019BA">
      <w:pPr>
        <w:pStyle w:val="ListParagraph"/>
        <w:numPr>
          <w:ilvl w:val="0"/>
          <w:numId w:val="53"/>
        </w:numPr>
      </w:pPr>
      <w:r w:rsidRPr="005805F2">
        <w:t>the historical performance</w:t>
      </w:r>
      <w:r w:rsidR="0052549F" w:rsidRPr="005805F2">
        <w:t xml:space="preserve"> of regulatees </w:t>
      </w:r>
      <w:r w:rsidRPr="005805F2">
        <w:t>over time</w:t>
      </w:r>
      <w:r w:rsidR="003B56BF" w:rsidRPr="005805F2">
        <w:t xml:space="preserve">, which </w:t>
      </w:r>
      <w:r w:rsidR="00A45109" w:rsidRPr="005805F2">
        <w:t xml:space="preserve">enables </w:t>
      </w:r>
      <w:r w:rsidRPr="005805F2">
        <w:t xml:space="preserve">regulators </w:t>
      </w:r>
      <w:r w:rsidR="00A45109" w:rsidRPr="005805F2">
        <w:t xml:space="preserve">to </w:t>
      </w:r>
      <w:r w:rsidRPr="005805F2">
        <w:t>focus on the seriousness and number of previous breaches committed by regulatees</w:t>
      </w:r>
      <w:r w:rsidR="00990E42" w:rsidRPr="005805F2">
        <w:t xml:space="preserve"> and categorise</w:t>
      </w:r>
      <w:r w:rsidRPr="005805F2">
        <w:t xml:space="preserve"> regulatees as ‘good apples’ or ‘bad apples’. </w:t>
      </w:r>
      <w:r w:rsidR="00CF22E6" w:rsidRPr="005805F2">
        <w:t xml:space="preserve">Taking into account the historical performance of regulatees </w:t>
      </w:r>
      <w:r w:rsidRPr="005805F2">
        <w:t>gives regulators the flexibility to ‘forgive’ good apples if they make the odd mistake</w:t>
      </w:r>
      <w:r w:rsidR="00432993" w:rsidRPr="005805F2">
        <w:t>,</w:t>
      </w:r>
      <w:r w:rsidRPr="005805F2">
        <w:t xml:space="preserve"> and to punish ‘bad apples’</w:t>
      </w:r>
      <w:r w:rsidR="00CF22E6" w:rsidRPr="005805F2">
        <w:t xml:space="preserve"> </w:t>
      </w:r>
      <w:r w:rsidRPr="005805F2">
        <w:t>where regulatees have demonstrated multiple incidents of non-compliance over a period of time</w:t>
      </w:r>
      <w:r w:rsidR="0054023E">
        <w:t>;</w:t>
      </w:r>
      <w:r w:rsidR="00DC55A8" w:rsidRPr="005805F2">
        <w:t xml:space="preserve"> </w:t>
      </w:r>
    </w:p>
    <w:p w14:paraId="0A5C9290" w14:textId="77777777" w:rsidR="003319C1" w:rsidRPr="005805F2" w:rsidRDefault="00877B52" w:rsidP="001019BA">
      <w:pPr>
        <w:pStyle w:val="ListParagraph"/>
        <w:numPr>
          <w:ilvl w:val="0"/>
          <w:numId w:val="53"/>
        </w:numPr>
      </w:pPr>
      <w:r w:rsidRPr="005805F2">
        <w:t>the</w:t>
      </w:r>
      <w:r w:rsidR="00CC6BC9" w:rsidRPr="005805F2">
        <w:t xml:space="preserve"> desire of regulatees to improve their behaviour</w:t>
      </w:r>
      <w:r w:rsidR="0054023E">
        <w:t>;</w:t>
      </w:r>
      <w:r w:rsidR="00CC6BC9" w:rsidRPr="005805F2">
        <w:t xml:space="preserve"> </w:t>
      </w:r>
    </w:p>
    <w:p w14:paraId="1C6F577C" w14:textId="77777777" w:rsidR="00FF07AC" w:rsidRPr="005805F2" w:rsidRDefault="005F12C3" w:rsidP="001019BA">
      <w:pPr>
        <w:pStyle w:val="ListParagraph"/>
        <w:numPr>
          <w:ilvl w:val="0"/>
          <w:numId w:val="52"/>
        </w:numPr>
      </w:pPr>
      <w:r w:rsidRPr="005805F2">
        <w:t xml:space="preserve">the extent to which </w:t>
      </w:r>
      <w:r w:rsidR="0045634C" w:rsidRPr="005805F2">
        <w:t>regulatees</w:t>
      </w:r>
      <w:r w:rsidR="003303DC" w:rsidRPr="005805F2">
        <w:t xml:space="preserve"> involve regulators in their planning processes and/or </w:t>
      </w:r>
      <w:r w:rsidR="00AD195B" w:rsidRPr="005805F2">
        <w:t xml:space="preserve">meet </w:t>
      </w:r>
      <w:r w:rsidR="00233A5C" w:rsidRPr="005805F2">
        <w:t xml:space="preserve">with them </w:t>
      </w:r>
      <w:r w:rsidR="00097BCB" w:rsidRPr="005805F2">
        <w:t xml:space="preserve">to discuss </w:t>
      </w:r>
      <w:r w:rsidR="00AD195B" w:rsidRPr="005805F2">
        <w:t xml:space="preserve">other </w:t>
      </w:r>
      <w:r w:rsidR="00A70E86" w:rsidRPr="005805F2">
        <w:t xml:space="preserve">necessary </w:t>
      </w:r>
      <w:r w:rsidR="00AD195B" w:rsidRPr="005805F2">
        <w:t>changes</w:t>
      </w:r>
      <w:r w:rsidR="00A70E86" w:rsidRPr="005805F2">
        <w:t xml:space="preserve"> to their behaviour</w:t>
      </w:r>
      <w:r w:rsidR="00532C30" w:rsidRPr="005805F2">
        <w:t>; and</w:t>
      </w:r>
    </w:p>
    <w:p w14:paraId="767BFA39" w14:textId="6F76E970" w:rsidR="00890AD3" w:rsidRPr="005805F2" w:rsidRDefault="00FF07AC" w:rsidP="001019BA">
      <w:pPr>
        <w:pStyle w:val="ListParagraph"/>
        <w:numPr>
          <w:ilvl w:val="0"/>
          <w:numId w:val="52"/>
        </w:numPr>
      </w:pPr>
      <w:r w:rsidRPr="005805F2">
        <w:t>the regulators</w:t>
      </w:r>
      <w:r w:rsidR="00321E97" w:rsidRPr="005805F2">
        <w:t>’</w:t>
      </w:r>
      <w:r w:rsidRPr="005805F2">
        <w:t xml:space="preserve"> overall </w:t>
      </w:r>
      <w:r w:rsidR="009B0DB4" w:rsidRPr="005805F2">
        <w:t>opinion of regulatees’ compliance</w:t>
      </w:r>
      <w:r w:rsidR="00A86D24">
        <w:t>.</w:t>
      </w:r>
    </w:p>
    <w:p w14:paraId="0D3B562B" w14:textId="77777777" w:rsidR="00532C30" w:rsidRPr="005805F2" w:rsidRDefault="00B91B5D" w:rsidP="005805F2">
      <w:r w:rsidRPr="005805F2">
        <w:t xml:space="preserve">Nielsen describes </w:t>
      </w:r>
      <w:r w:rsidR="00C17EE5" w:rsidRPr="005805F2">
        <w:t>r</w:t>
      </w:r>
      <w:r w:rsidR="00890AD3" w:rsidRPr="005805F2">
        <w:t xml:space="preserve">egulators who take into account the type, number and gravity of breaches committed by regulatees </w:t>
      </w:r>
      <w:r w:rsidR="003074E8" w:rsidRPr="005805F2">
        <w:t>as</w:t>
      </w:r>
      <w:r w:rsidR="00122549" w:rsidRPr="005805F2">
        <w:t xml:space="preserve"> </w:t>
      </w:r>
      <w:r w:rsidR="00C17EE5" w:rsidRPr="005805F2">
        <w:t xml:space="preserve">‘legalistic’ </w:t>
      </w:r>
      <w:r w:rsidR="003C4FF5" w:rsidRPr="005805F2">
        <w:t xml:space="preserve">or ‘short memory’ </w:t>
      </w:r>
      <w:r w:rsidR="00C17EE5" w:rsidRPr="005805F2">
        <w:t>responsive</w:t>
      </w:r>
      <w:r w:rsidR="003C4FF5" w:rsidRPr="005805F2">
        <w:t>. Regulators who focus on the historical performance of regulatees over time are ‘long-memory’ responsive</w:t>
      </w:r>
      <w:r w:rsidR="0040693F" w:rsidRPr="005805F2">
        <w:t xml:space="preserve">. Regulators who consider </w:t>
      </w:r>
      <w:r w:rsidR="00A01CDD" w:rsidRPr="005805F2">
        <w:t>the desire of regulatees to improve their behaviour are ‘attitudinally’ responsive</w:t>
      </w:r>
      <w:r w:rsidR="00532C30" w:rsidRPr="005805F2">
        <w:t xml:space="preserve">. Regulators who </w:t>
      </w:r>
      <w:r w:rsidR="00077DC4" w:rsidRPr="005805F2">
        <w:t xml:space="preserve">respond to </w:t>
      </w:r>
      <w:r w:rsidR="00532C30" w:rsidRPr="005805F2">
        <w:t xml:space="preserve">the </w:t>
      </w:r>
      <w:r w:rsidR="00077DC4" w:rsidRPr="005805F2">
        <w:t xml:space="preserve">number of times </w:t>
      </w:r>
      <w:r w:rsidR="00532C30" w:rsidRPr="005805F2">
        <w:t>regulatees involve regulators in their planning processes and/or meet with them to discuss other necessary changes to their behaviour</w:t>
      </w:r>
      <w:r w:rsidR="00077DC4" w:rsidRPr="005805F2">
        <w:t xml:space="preserve"> are </w:t>
      </w:r>
      <w:r w:rsidR="00F96290" w:rsidRPr="005805F2">
        <w:t>‘dialogically</w:t>
      </w:r>
      <w:r w:rsidR="00A66BD1" w:rsidRPr="005805F2">
        <w:t>’</w:t>
      </w:r>
      <w:r w:rsidR="00F96290" w:rsidRPr="005805F2">
        <w:t xml:space="preserve"> responsive.</w:t>
      </w:r>
      <w:r w:rsidR="00A66BD1" w:rsidRPr="005805F2">
        <w:t xml:space="preserve"> </w:t>
      </w:r>
      <w:r w:rsidR="00F96290" w:rsidRPr="005805F2">
        <w:t xml:space="preserve"> </w:t>
      </w:r>
      <w:r w:rsidR="00A66BD1" w:rsidRPr="005805F2">
        <w:t>Regulators who factor in the</w:t>
      </w:r>
      <w:r w:rsidR="00B8657C" w:rsidRPr="005805F2">
        <w:t xml:space="preserve">ir </w:t>
      </w:r>
      <w:r w:rsidR="00A66BD1" w:rsidRPr="005805F2">
        <w:t xml:space="preserve">overall </w:t>
      </w:r>
      <w:r w:rsidR="0016361F" w:rsidRPr="005805F2">
        <w:t xml:space="preserve">assessment </w:t>
      </w:r>
      <w:r w:rsidR="00A66BD1" w:rsidRPr="005805F2">
        <w:t>of regulatees’ compliance</w:t>
      </w:r>
      <w:r w:rsidR="00B8657C" w:rsidRPr="005805F2">
        <w:t xml:space="preserve"> before taking or when deciding enforcement action</w:t>
      </w:r>
      <w:r w:rsidR="009A46A4" w:rsidRPr="005805F2">
        <w:t xml:space="preserve"> are ‘subjective performance</w:t>
      </w:r>
      <w:r w:rsidR="002F2DA7" w:rsidRPr="005805F2">
        <w:t>’ responsive.</w:t>
      </w:r>
      <w:bookmarkStart w:id="36" w:name="_Ref161679507"/>
      <w:r w:rsidR="008B3B70" w:rsidRPr="005805F2">
        <w:rPr>
          <w:rStyle w:val="FootnoteReference"/>
        </w:rPr>
        <w:footnoteReference w:id="32"/>
      </w:r>
      <w:bookmarkEnd w:id="36"/>
    </w:p>
    <w:p w14:paraId="38657408" w14:textId="328BAC07" w:rsidR="00A228F5" w:rsidRPr="005805F2" w:rsidRDefault="00052478" w:rsidP="00A228F5">
      <w:r w:rsidRPr="005805F2">
        <w:t xml:space="preserve">However, </w:t>
      </w:r>
      <w:r w:rsidR="00F1265C" w:rsidRPr="005805F2">
        <w:t xml:space="preserve">as </w:t>
      </w:r>
      <w:r w:rsidR="00AF466D" w:rsidRPr="005805F2">
        <w:t xml:space="preserve">Nielsen </w:t>
      </w:r>
      <w:r w:rsidR="00FA54E5" w:rsidRPr="005805F2">
        <w:t>points out</w:t>
      </w:r>
      <w:r w:rsidR="00EE4E01" w:rsidRPr="005805F2">
        <w:t xml:space="preserve">, </w:t>
      </w:r>
      <w:r w:rsidR="00DF2783" w:rsidRPr="005805F2">
        <w:t>Ayres and Braithwaite</w:t>
      </w:r>
      <w:r w:rsidR="00BA7ED4" w:rsidRPr="005805F2">
        <w:t xml:space="preserve">’s </w:t>
      </w:r>
      <w:r w:rsidR="006F2FFE" w:rsidRPr="005805F2">
        <w:t xml:space="preserve">understanding </w:t>
      </w:r>
      <w:r w:rsidR="00BA7ED4" w:rsidRPr="005805F2">
        <w:t>of responsive regulation</w:t>
      </w:r>
      <w:r w:rsidR="00B003E4" w:rsidRPr="005805F2">
        <w:t xml:space="preserve"> </w:t>
      </w:r>
      <w:r w:rsidR="00080BF4" w:rsidRPr="005805F2">
        <w:t xml:space="preserve">places great weight on </w:t>
      </w:r>
      <w:r w:rsidR="003A0D41" w:rsidRPr="005805F2">
        <w:t>the desire of regulatees to improve their behaviour</w:t>
      </w:r>
      <w:r w:rsidR="00900CEE" w:rsidRPr="005805F2">
        <w:t xml:space="preserve">; </w:t>
      </w:r>
      <w:r w:rsidR="003A0D41" w:rsidRPr="005805F2">
        <w:t xml:space="preserve">the extent to which </w:t>
      </w:r>
      <w:r w:rsidR="003A0D41" w:rsidRPr="005805F2">
        <w:lastRenderedPageBreak/>
        <w:t xml:space="preserve">regulatees </w:t>
      </w:r>
      <w:r w:rsidR="0075599F" w:rsidRPr="005805F2">
        <w:t xml:space="preserve">engage in dialogue </w:t>
      </w:r>
      <w:r w:rsidR="00C06DBA" w:rsidRPr="005805F2">
        <w:t xml:space="preserve">with regulators </w:t>
      </w:r>
      <w:r w:rsidR="0075599F" w:rsidRPr="005805F2">
        <w:t xml:space="preserve">(eg, by involving </w:t>
      </w:r>
      <w:r w:rsidR="003A0D41" w:rsidRPr="005805F2">
        <w:t>regulators in their planning processes and/or meet</w:t>
      </w:r>
      <w:r w:rsidR="0075599F" w:rsidRPr="005805F2">
        <w:t>ing</w:t>
      </w:r>
      <w:r w:rsidR="003A0D41" w:rsidRPr="005805F2">
        <w:t xml:space="preserve"> with them to discuss other necessary changes to their behaviour</w:t>
      </w:r>
      <w:r w:rsidR="0075599F" w:rsidRPr="005805F2">
        <w:t>)</w:t>
      </w:r>
      <w:r w:rsidR="00900CEE" w:rsidRPr="005805F2">
        <w:t>; and their overall opinion of regulatees’ compliance</w:t>
      </w:r>
      <w:r w:rsidR="00080BF4" w:rsidRPr="005805F2">
        <w:t xml:space="preserve">. </w:t>
      </w:r>
      <w:r w:rsidR="008B3B70" w:rsidRPr="005805F2">
        <w:t>This is because</w:t>
      </w:r>
      <w:r w:rsidR="00AC0540" w:rsidRPr="005805F2">
        <w:t>, f</w:t>
      </w:r>
      <w:r w:rsidR="00F35398" w:rsidRPr="005805F2">
        <w:t xml:space="preserve">or Ayres and Braithwaite, regulators must </w:t>
      </w:r>
      <w:r w:rsidR="008B05FB" w:rsidRPr="005805F2">
        <w:t xml:space="preserve">be able to ‘forgive </w:t>
      </w:r>
      <w:r w:rsidR="001609A7" w:rsidRPr="005805F2">
        <w:t>th</w:t>
      </w:r>
      <w:r w:rsidR="00FE2801" w:rsidRPr="005805F2">
        <w:t>e</w:t>
      </w:r>
      <w:r w:rsidR="001609A7" w:rsidRPr="005805F2">
        <w:t xml:space="preserve"> bad guy’s history of wrongdoing’</w:t>
      </w:r>
      <w:r w:rsidR="005F2B8A" w:rsidRPr="005805F2">
        <w:rPr>
          <w:rStyle w:val="FootnoteReference"/>
        </w:rPr>
        <w:footnoteReference w:id="33"/>
      </w:r>
      <w:r w:rsidR="00C8240C" w:rsidRPr="005805F2">
        <w:t xml:space="preserve"> and cooperate </w:t>
      </w:r>
      <w:r w:rsidR="00A57263" w:rsidRPr="005805F2">
        <w:t>with regulatees</w:t>
      </w:r>
      <w:r w:rsidR="008F5FD0" w:rsidRPr="005805F2">
        <w:t xml:space="preserve"> from the beginning</w:t>
      </w:r>
      <w:r w:rsidR="007E6D85" w:rsidRPr="005805F2">
        <w:t xml:space="preserve"> if they are to drive improvements within regulatees.</w:t>
      </w:r>
      <w:r w:rsidR="0054023E">
        <w:t xml:space="preserve"> </w:t>
      </w:r>
      <w:r w:rsidR="007C3627">
        <w:t xml:space="preserve">In other words, </w:t>
      </w:r>
      <w:r w:rsidR="00A86D24">
        <w:t>Ayres and Braithwaite’s approach</w:t>
      </w:r>
      <w:r w:rsidR="00B660DB" w:rsidRPr="005805F2">
        <w:t xml:space="preserve"> </w:t>
      </w:r>
      <w:r w:rsidR="00A228F5" w:rsidRPr="005805F2">
        <w:t xml:space="preserve">means that </w:t>
      </w:r>
      <w:r w:rsidR="00F03AAB" w:rsidRPr="005805F2">
        <w:t>‘</w:t>
      </w:r>
      <w:r w:rsidR="00A228F5" w:rsidRPr="005805F2">
        <w:t>responsive</w:t>
      </w:r>
      <w:r w:rsidR="00F03AAB" w:rsidRPr="005805F2">
        <w:t>’</w:t>
      </w:r>
      <w:r w:rsidR="00A228F5" w:rsidRPr="005805F2">
        <w:t xml:space="preserve"> regulators should </w:t>
      </w:r>
      <w:r w:rsidR="009E391A" w:rsidRPr="005805F2">
        <w:t>gi</w:t>
      </w:r>
      <w:r w:rsidR="00304F6A" w:rsidRPr="005805F2">
        <w:t xml:space="preserve">ve </w:t>
      </w:r>
      <w:r w:rsidR="00926FC6" w:rsidRPr="005805F2">
        <w:t xml:space="preserve">relatively </w:t>
      </w:r>
      <w:r w:rsidR="00304F6A" w:rsidRPr="005805F2">
        <w:t xml:space="preserve">little </w:t>
      </w:r>
      <w:r w:rsidR="00A7780C" w:rsidRPr="005805F2">
        <w:t>consideration to</w:t>
      </w:r>
      <w:r w:rsidR="00A228F5" w:rsidRPr="005805F2">
        <w:t>:</w:t>
      </w:r>
    </w:p>
    <w:p w14:paraId="27212A87" w14:textId="77777777" w:rsidR="00A228F5" w:rsidRPr="005805F2" w:rsidRDefault="00A228F5" w:rsidP="001019BA">
      <w:pPr>
        <w:pStyle w:val="ListParagraph"/>
        <w:numPr>
          <w:ilvl w:val="0"/>
          <w:numId w:val="48"/>
        </w:numPr>
      </w:pPr>
      <w:r w:rsidRPr="005805F2">
        <w:t xml:space="preserve">the types, seriousness and number of breaches involved; </w:t>
      </w:r>
    </w:p>
    <w:p w14:paraId="3E694BCB" w14:textId="43FBE8C1" w:rsidR="0054023E" w:rsidRDefault="00A228F5" w:rsidP="001019BA">
      <w:pPr>
        <w:pStyle w:val="ListParagraph"/>
        <w:numPr>
          <w:ilvl w:val="0"/>
          <w:numId w:val="46"/>
        </w:numPr>
      </w:pPr>
      <w:r w:rsidRPr="005805F2">
        <w:t>the historical performance of regulatees over time (ie, regulators should not categorise regulatees as ‘good apples’ or ‘bad apples’ and should not respond in light of these categorisations when confronted by new breaches committed by regulatees)</w:t>
      </w:r>
      <w:r w:rsidR="001B66A3">
        <w:t>.</w:t>
      </w:r>
      <w:r w:rsidRPr="005805F2">
        <w:rPr>
          <w:rStyle w:val="FootnoteReference"/>
        </w:rPr>
        <w:footnoteReference w:id="34"/>
      </w:r>
    </w:p>
    <w:p w14:paraId="688D80E9" w14:textId="5935D613" w:rsidR="009A776F" w:rsidRPr="005805F2" w:rsidRDefault="005D5EE5" w:rsidP="0054023E">
      <w:r w:rsidRPr="005805F2">
        <w:t xml:space="preserve">Indeed, </w:t>
      </w:r>
      <w:r w:rsidR="00516666">
        <w:t>according to Nielsen, for Ayres and Braithwaite</w:t>
      </w:r>
      <w:r w:rsidR="0048017D">
        <w:t>,</w:t>
      </w:r>
      <w:r w:rsidR="00516666">
        <w:t xml:space="preserve"> </w:t>
      </w:r>
      <w:r w:rsidRPr="005805F2">
        <w:t xml:space="preserve">consideration of </w:t>
      </w:r>
      <w:r w:rsidR="00B61A0B" w:rsidRPr="005805F2">
        <w:t>these factors mean</w:t>
      </w:r>
      <w:r w:rsidR="007D7AEF" w:rsidRPr="005805F2">
        <w:t>s</w:t>
      </w:r>
      <w:r w:rsidR="00B61A0B" w:rsidRPr="005805F2">
        <w:t xml:space="preserve"> regulators are </w:t>
      </w:r>
      <w:r w:rsidR="007D7AEF" w:rsidRPr="005805F2">
        <w:t>ad</w:t>
      </w:r>
      <w:r w:rsidR="0049686C" w:rsidRPr="005805F2">
        <w:t xml:space="preserve">opting a </w:t>
      </w:r>
      <w:r w:rsidR="00A32D64" w:rsidRPr="005805F2">
        <w:t>less than</w:t>
      </w:r>
      <w:r w:rsidR="00A5793A" w:rsidRPr="005805F2">
        <w:t xml:space="preserve"> </w:t>
      </w:r>
      <w:r w:rsidR="00A32D64" w:rsidRPr="005805F2">
        <w:t>ideal</w:t>
      </w:r>
      <w:r w:rsidR="009241A1" w:rsidRPr="005805F2">
        <w:t xml:space="preserve"> form of responsiveness</w:t>
      </w:r>
      <w:r w:rsidR="00B660DB" w:rsidRPr="005805F2">
        <w:t xml:space="preserve"> (ie, a form of responsiveness</w:t>
      </w:r>
      <w:r w:rsidR="003B55E9" w:rsidRPr="005805F2">
        <w:t xml:space="preserve"> that is less cost</w:t>
      </w:r>
      <w:r w:rsidR="00A86D24">
        <w:t xml:space="preserve"> </w:t>
      </w:r>
      <w:r w:rsidR="003B55E9" w:rsidRPr="005805F2">
        <w:t>efficient</w:t>
      </w:r>
      <w:r w:rsidR="005F2B8A" w:rsidRPr="005805F2">
        <w:t>)</w:t>
      </w:r>
      <w:r w:rsidR="00A5793A" w:rsidRPr="005805F2">
        <w:t>.</w:t>
      </w:r>
      <w:r w:rsidR="00C27015" w:rsidRPr="005805F2">
        <w:rPr>
          <w:rStyle w:val="FootnoteReference"/>
        </w:rPr>
        <w:footnoteReference w:id="35"/>
      </w:r>
      <w:r w:rsidR="007D7AEF" w:rsidRPr="005805F2">
        <w:t xml:space="preserve"> </w:t>
      </w:r>
    </w:p>
    <w:p w14:paraId="17976681" w14:textId="51D5B60D" w:rsidR="00A228F5" w:rsidRPr="005805F2" w:rsidRDefault="00A114C7" w:rsidP="00A228F5">
      <w:r w:rsidRPr="005805F2">
        <w:t xml:space="preserve">In addition to </w:t>
      </w:r>
      <w:r w:rsidR="00297051" w:rsidRPr="005805F2">
        <w:t>affecting the precise conduct that regulators take into account, d</w:t>
      </w:r>
      <w:r w:rsidR="00845D90" w:rsidRPr="005805F2">
        <w:t xml:space="preserve">ifferent understandings of </w:t>
      </w:r>
      <w:r w:rsidR="001466C9" w:rsidRPr="005805F2">
        <w:t xml:space="preserve">responsive regulation also dictate </w:t>
      </w:r>
      <w:r w:rsidR="00D1663B" w:rsidRPr="005805F2">
        <w:t xml:space="preserve">whether and the extent to which regulators </w:t>
      </w:r>
      <w:r w:rsidR="00297051" w:rsidRPr="005805F2">
        <w:t xml:space="preserve">must </w:t>
      </w:r>
      <w:r w:rsidRPr="005805F2">
        <w:t>consider their own enforcement behaviours or ‘enforcement styles’ (ie, how they ‘relate to those they are regulating’</w:t>
      </w:r>
      <w:r w:rsidRPr="005805F2">
        <w:rPr>
          <w:rStyle w:val="FootnoteReference"/>
        </w:rPr>
        <w:footnoteReference w:id="36"/>
      </w:r>
      <w:r w:rsidRPr="005805F2">
        <w:t>)</w:t>
      </w:r>
      <w:r w:rsidR="00B9713D" w:rsidRPr="005805F2">
        <w:t>.</w:t>
      </w:r>
      <w:r w:rsidRPr="005805F2">
        <w:t xml:space="preserve"> </w:t>
      </w:r>
      <w:r w:rsidR="00EA1E1B" w:rsidRPr="005805F2">
        <w:t>I</w:t>
      </w:r>
      <w:r w:rsidR="004A14BB" w:rsidRPr="005805F2">
        <w:t>f regulators adopt a ‘tit</w:t>
      </w:r>
      <w:r w:rsidR="000923F6">
        <w:t xml:space="preserve"> </w:t>
      </w:r>
      <w:r w:rsidR="004A14BB" w:rsidRPr="005805F2">
        <w:t>for</w:t>
      </w:r>
      <w:r w:rsidR="000923F6">
        <w:t xml:space="preserve"> </w:t>
      </w:r>
      <w:r w:rsidR="004A14BB" w:rsidRPr="005805F2">
        <w:t xml:space="preserve">tat’ understanding of responsive regulation </w:t>
      </w:r>
      <w:r w:rsidR="00A228F5" w:rsidRPr="005805F2">
        <w:t xml:space="preserve">(the approach most commonly associated with the enforcement pyramid), </w:t>
      </w:r>
      <w:r w:rsidR="0054023E">
        <w:t>t</w:t>
      </w:r>
      <w:r w:rsidR="00D42F73" w:rsidRPr="005805F2">
        <w:t xml:space="preserve">hey </w:t>
      </w:r>
      <w:r w:rsidR="00A228F5" w:rsidRPr="005805F2">
        <w:t>must be sensitive to the ways in which they interpret and apply the rules in question (eg, formally or liberally) and the extent to which they seek to help or punish regulatees in breach of the rules.</w:t>
      </w:r>
      <w:bookmarkStart w:id="37" w:name="_Ref161677651"/>
      <w:r w:rsidR="00A228F5" w:rsidRPr="005805F2">
        <w:rPr>
          <w:rStyle w:val="FootnoteReference"/>
        </w:rPr>
        <w:footnoteReference w:id="37"/>
      </w:r>
      <w:bookmarkEnd w:id="37"/>
      <w:r w:rsidR="00A228F5" w:rsidRPr="005805F2">
        <w:t xml:space="preserve"> In other words, the job of regulators is to ‘match’ their enforcement behaviour to the demonstrated attitudes and behaviour of regulatees.</w:t>
      </w:r>
      <w:r w:rsidR="00A228F5" w:rsidRPr="005805F2">
        <w:rPr>
          <w:rStyle w:val="FootnoteReference"/>
        </w:rPr>
        <w:footnoteReference w:id="38"/>
      </w:r>
      <w:r w:rsidR="00A228F5" w:rsidRPr="005805F2">
        <w:t xml:space="preserve"> </w:t>
      </w:r>
    </w:p>
    <w:p w14:paraId="26442002" w14:textId="41B25608" w:rsidR="00A228F5" w:rsidRPr="005805F2" w:rsidRDefault="00A228F5" w:rsidP="00A228F5">
      <w:r w:rsidRPr="005805F2">
        <w:t>If regulators adopt a ‘restorative justice’ approach to responsive regulation (as Braithwaite did in his later work</w:t>
      </w:r>
      <w:r w:rsidRPr="005805F2">
        <w:rPr>
          <w:rStyle w:val="FootnoteReference"/>
        </w:rPr>
        <w:footnoteReference w:id="39"/>
      </w:r>
      <w:r w:rsidRPr="005805F2">
        <w:t xml:space="preserve">), however, regulators are not required to match their enforcement behaviour to the demonstrated attitudes of regulatees. Rather, regulators must never explicitly threaten regulatees when they interact </w:t>
      </w:r>
      <w:r w:rsidR="00A86D24">
        <w:t xml:space="preserve">with </w:t>
      </w:r>
      <w:r w:rsidRPr="005805F2">
        <w:t>them. Regardless of the attitudes regulatees display throughout the enforcement process, regulators should continue to engage in open dialogue with them. Regulators can continue to escalate up the enforcement pyramid if regulatees fail to comply, but the ‘threat’ of escalation comes from the legislation empowering regulators, not direct threats regulators make.</w:t>
      </w:r>
      <w:r w:rsidRPr="005805F2">
        <w:rPr>
          <w:rStyle w:val="FootnoteReference"/>
        </w:rPr>
        <w:footnoteReference w:id="40"/>
      </w:r>
      <w:r w:rsidRPr="005805F2">
        <w:t xml:space="preserve"> </w:t>
      </w:r>
    </w:p>
    <w:p w14:paraId="1E8CA899" w14:textId="77777777" w:rsidR="00A228F5" w:rsidRPr="005805F2" w:rsidRDefault="00A228F5" w:rsidP="00A228F5">
      <w:r w:rsidRPr="005805F2">
        <w:t>A non-exhaustive list of other matters that scholars have argued and/or identified that responsive</w:t>
      </w:r>
      <w:r w:rsidR="00D56C19" w:rsidRPr="005805F2">
        <w:t xml:space="preserve"> and ‘really responsive’</w:t>
      </w:r>
      <w:r w:rsidRPr="005805F2">
        <w:t xml:space="preserve"> regulators should take into account includes: </w:t>
      </w:r>
    </w:p>
    <w:p w14:paraId="152CAE15" w14:textId="77777777" w:rsidR="00A228F5" w:rsidRPr="005805F2" w:rsidRDefault="00A228F5" w:rsidP="001019BA">
      <w:pPr>
        <w:pStyle w:val="ListParagraph"/>
        <w:numPr>
          <w:ilvl w:val="0"/>
          <w:numId w:val="46"/>
        </w:numPr>
      </w:pPr>
      <w:r w:rsidRPr="005805F2">
        <w:lastRenderedPageBreak/>
        <w:t xml:space="preserve">‘motivational postures’ – the ‘signals that people send to authorities … to indicate their liking for that authority and their willingness to defer to the authority’s rules and </w:t>
      </w:r>
      <w:r w:rsidR="00627EFD">
        <w:t>processes’</w:t>
      </w:r>
      <w:r w:rsidR="007900B8" w:rsidRPr="005805F2">
        <w:t>;</w:t>
      </w:r>
      <w:r w:rsidRPr="005805F2">
        <w:rPr>
          <w:rStyle w:val="FootnoteReference"/>
        </w:rPr>
        <w:footnoteReference w:id="41"/>
      </w:r>
    </w:p>
    <w:p w14:paraId="6E1F0D74" w14:textId="77777777" w:rsidR="00A228F5" w:rsidRPr="005805F2" w:rsidRDefault="00A228F5" w:rsidP="001019BA">
      <w:pPr>
        <w:pStyle w:val="ListParagraph"/>
        <w:numPr>
          <w:ilvl w:val="0"/>
          <w:numId w:val="46"/>
        </w:numPr>
      </w:pPr>
      <w:r w:rsidRPr="005805F2">
        <w:t>the factors that influence the organisational cultures of regulatees (eg, the internal and external pressures on companies, the extent to which internal objectives depart from regulatory goals, and how regulatory rules and norms are embedded in those organisations)</w:t>
      </w:r>
      <w:r w:rsidR="007900B8" w:rsidRPr="005805F2">
        <w:t>;</w:t>
      </w:r>
      <w:r w:rsidRPr="005805F2">
        <w:rPr>
          <w:rStyle w:val="FootnoteReference"/>
        </w:rPr>
        <w:footnoteReference w:id="42"/>
      </w:r>
      <w:r w:rsidRPr="005805F2">
        <w:t xml:space="preserve"> </w:t>
      </w:r>
    </w:p>
    <w:p w14:paraId="38541354" w14:textId="77777777" w:rsidR="00A228F5" w:rsidRPr="005805F2" w:rsidRDefault="00A228F5" w:rsidP="001019BA">
      <w:pPr>
        <w:pStyle w:val="ListParagraph"/>
        <w:numPr>
          <w:ilvl w:val="0"/>
          <w:numId w:val="47"/>
        </w:numPr>
      </w:pPr>
      <w:r w:rsidRPr="005805F2">
        <w:t>the factors that shape the institutional environment in which regulators act (eg, the norms that regulate their conduct, their resourcing, and the extent to which regulators with overlapping jurisdiction ‘coordinate’ their enforcement strategies)</w:t>
      </w:r>
      <w:r w:rsidR="007900B8" w:rsidRPr="005805F2">
        <w:t>;</w:t>
      </w:r>
      <w:r w:rsidRPr="005805F2">
        <w:rPr>
          <w:rStyle w:val="FootnoteReference"/>
        </w:rPr>
        <w:footnoteReference w:id="43"/>
      </w:r>
      <w:r w:rsidRPr="005805F2">
        <w:t xml:space="preserve"> </w:t>
      </w:r>
    </w:p>
    <w:p w14:paraId="0C763E7B" w14:textId="77777777" w:rsidR="00A228F5" w:rsidRDefault="00A228F5" w:rsidP="001019BA">
      <w:pPr>
        <w:pStyle w:val="ListParagraph"/>
        <w:numPr>
          <w:ilvl w:val="0"/>
          <w:numId w:val="47"/>
        </w:numPr>
      </w:pPr>
      <w:r w:rsidRPr="005805F2">
        <w:t>‘those upon whom the [regulatory] institution depends; and … the community whose well-being it affects’</w:t>
      </w:r>
      <w:r w:rsidRPr="005805F2">
        <w:rPr>
          <w:rStyle w:val="FootnoteReference"/>
        </w:rPr>
        <w:footnoteReference w:id="44"/>
      </w:r>
      <w:r w:rsidRPr="005805F2">
        <w:t xml:space="preserve"> and/or the ‘public interest’.</w:t>
      </w:r>
      <w:r w:rsidRPr="005805F2">
        <w:rPr>
          <w:rStyle w:val="FootnoteReference"/>
        </w:rPr>
        <w:footnoteReference w:id="45"/>
      </w:r>
      <w:r w:rsidRPr="005805F2">
        <w:t xml:space="preserve"> </w:t>
      </w:r>
    </w:p>
    <w:p w14:paraId="42FB1369" w14:textId="77777777" w:rsidR="00C044A5" w:rsidRPr="005805F2" w:rsidRDefault="00C044A5" w:rsidP="00C044A5">
      <w:pPr>
        <w:pStyle w:val="ListParagraph"/>
      </w:pPr>
    </w:p>
    <w:p w14:paraId="2F47BAAB" w14:textId="77777777" w:rsidR="006632EB" w:rsidRPr="005623A6" w:rsidRDefault="00A228F5" w:rsidP="00D238F5">
      <w:pPr>
        <w:pStyle w:val="Heading3"/>
      </w:pPr>
      <w:bookmarkStart w:id="38" w:name="_Toc146201023"/>
      <w:bookmarkStart w:id="39" w:name="_Toc161836151"/>
      <w:bookmarkStart w:id="40" w:name="TheStrengthsBasedPyramid"/>
      <w:r>
        <w:t>3</w:t>
      </w:r>
      <w:r w:rsidR="00D21F13" w:rsidRPr="005623A6">
        <w:tab/>
        <w:t xml:space="preserve">The </w:t>
      </w:r>
      <w:r w:rsidR="00B575EC">
        <w:t>S</w:t>
      </w:r>
      <w:r w:rsidR="00D21F13" w:rsidRPr="005623A6">
        <w:t>trengths-</w:t>
      </w:r>
      <w:r w:rsidR="004D5064">
        <w:t>b</w:t>
      </w:r>
      <w:r w:rsidR="00D21F13" w:rsidRPr="005623A6">
        <w:t xml:space="preserve">ased </w:t>
      </w:r>
      <w:r w:rsidR="00B575EC">
        <w:t>P</w:t>
      </w:r>
      <w:r w:rsidR="00D21F13" w:rsidRPr="005623A6">
        <w:t>yramid</w:t>
      </w:r>
      <w:bookmarkEnd w:id="38"/>
      <w:bookmarkEnd w:id="39"/>
    </w:p>
    <w:bookmarkEnd w:id="40"/>
    <w:p w14:paraId="172EF217" w14:textId="77777777" w:rsidR="00D82591" w:rsidRDefault="097490A3" w:rsidP="000669C9">
      <w:r w:rsidRPr="005623A6">
        <w:t xml:space="preserve">Unlike the enforcement pyramid, which is concerned with ensuring regulatees </w:t>
      </w:r>
      <w:r w:rsidR="1B22EDC7" w:rsidRPr="005623A6">
        <w:t xml:space="preserve">comply with </w:t>
      </w:r>
      <w:r w:rsidR="578E9F1F" w:rsidRPr="005623A6">
        <w:t>minimum standards (ie</w:t>
      </w:r>
      <w:r w:rsidR="006529FB" w:rsidRPr="005623A6">
        <w:t>,</w:t>
      </w:r>
      <w:r w:rsidR="578E9F1F" w:rsidRPr="005623A6">
        <w:t xml:space="preserve"> </w:t>
      </w:r>
      <w:r w:rsidR="00B8605C" w:rsidRPr="005623A6">
        <w:t xml:space="preserve">they </w:t>
      </w:r>
      <w:r w:rsidR="578E9F1F" w:rsidRPr="005623A6">
        <w:t>confor</w:t>
      </w:r>
      <w:r w:rsidR="00B8605C" w:rsidRPr="005623A6">
        <w:t>m</w:t>
      </w:r>
      <w:r w:rsidR="578E9F1F" w:rsidRPr="005623A6">
        <w:t xml:space="preserve"> to </w:t>
      </w:r>
      <w:r w:rsidR="05349CD0" w:rsidRPr="005623A6">
        <w:t>set rules</w:t>
      </w:r>
      <w:r w:rsidR="64C9D25E" w:rsidRPr="005623A6">
        <w:t>)</w:t>
      </w:r>
      <w:r w:rsidR="05349CD0" w:rsidRPr="005623A6">
        <w:t xml:space="preserve">, </w:t>
      </w:r>
      <w:r w:rsidR="00545763" w:rsidRPr="005623A6">
        <w:t xml:space="preserve">the goal of a strengths-based pyramid </w:t>
      </w:r>
      <w:r w:rsidR="63378A08" w:rsidRPr="005623A6">
        <w:t xml:space="preserve">is to encourage regulatees </w:t>
      </w:r>
      <w:r w:rsidR="7DE0C077" w:rsidRPr="005623A6">
        <w:t>to engage in continuous improvement</w:t>
      </w:r>
      <w:r w:rsidR="67A89DCA" w:rsidRPr="005623A6">
        <w:t xml:space="preserve">. Like the enforcement pyramid, it is grounded in </w:t>
      </w:r>
      <w:r w:rsidR="28F57F7F" w:rsidRPr="005623A6">
        <w:t>dialogue and persuasion. However, instead of</w:t>
      </w:r>
      <w:r w:rsidR="15151EE0" w:rsidRPr="005623A6">
        <w:t xml:space="preserve"> </w:t>
      </w:r>
      <w:r w:rsidR="54543760" w:rsidRPr="005623A6">
        <w:t xml:space="preserve">using threats and punishments to secure compliance, the strengths-based pyramid is built around </w:t>
      </w:r>
      <w:r w:rsidR="2BDF0975" w:rsidRPr="005623A6">
        <w:t xml:space="preserve">the use of </w:t>
      </w:r>
      <w:r w:rsidR="54543760" w:rsidRPr="005623A6">
        <w:t>rewards.</w:t>
      </w:r>
      <w:r w:rsidR="00527D20" w:rsidRPr="005623A6">
        <w:rPr>
          <w:rStyle w:val="FootnoteReference"/>
        </w:rPr>
        <w:footnoteReference w:id="46"/>
      </w:r>
      <w:r w:rsidR="00545763" w:rsidRPr="005623A6">
        <w:t xml:space="preserve"> </w:t>
      </w:r>
      <w:r w:rsidR="008C39B9" w:rsidRPr="005623A6">
        <w:t>Under this approach, r</w:t>
      </w:r>
      <w:r w:rsidR="0040795F" w:rsidRPr="005623A6">
        <w:t xml:space="preserve">egulators </w:t>
      </w:r>
      <w:r w:rsidR="00D575DF" w:rsidRPr="005623A6">
        <w:t xml:space="preserve">are meant to identify the strengths of </w:t>
      </w:r>
      <w:r w:rsidR="00562815" w:rsidRPr="005623A6">
        <w:t xml:space="preserve">regulated organisations </w:t>
      </w:r>
      <w:r w:rsidR="00CC5399" w:rsidRPr="005623A6">
        <w:t xml:space="preserve">and </w:t>
      </w:r>
      <w:r w:rsidR="00213CF2" w:rsidRPr="005623A6">
        <w:t xml:space="preserve">encourage regulated organisations to </w:t>
      </w:r>
      <w:r w:rsidR="00562815" w:rsidRPr="005623A6">
        <w:t>‘build’ on th</w:t>
      </w:r>
      <w:r w:rsidR="00213CF2" w:rsidRPr="005623A6">
        <w:t xml:space="preserve">ose strengths by </w:t>
      </w:r>
      <w:r w:rsidR="001E43F6" w:rsidRPr="005623A6">
        <w:t>rewarding positive behaviour and other activities that improve outcomes.</w:t>
      </w:r>
      <w:r w:rsidR="008C39B9" w:rsidRPr="005623A6">
        <w:t xml:space="preserve"> </w:t>
      </w:r>
      <w:r w:rsidR="00006433" w:rsidRPr="005623A6">
        <w:t xml:space="preserve">The </w:t>
      </w:r>
      <w:r w:rsidR="00286E40" w:rsidRPr="005623A6">
        <w:t xml:space="preserve">strengths-based pyramid </w:t>
      </w:r>
      <w:r w:rsidR="002A227F" w:rsidRPr="005623A6">
        <w:t xml:space="preserve">assumes regulators have access to </w:t>
      </w:r>
      <w:r w:rsidR="00286E40" w:rsidRPr="005623A6">
        <w:t>a range of rewards</w:t>
      </w:r>
      <w:r w:rsidR="002A227F" w:rsidRPr="005623A6">
        <w:t xml:space="preserve"> (eg, positive feedback, prizes, grants, public praise) with varying degrees of appeal </w:t>
      </w:r>
      <w:r w:rsidR="008800D2" w:rsidRPr="005623A6">
        <w:t>to regulatees</w:t>
      </w:r>
      <w:r w:rsidR="00A56A89" w:rsidRPr="005623A6">
        <w:t xml:space="preserve">, which </w:t>
      </w:r>
      <w:r w:rsidR="005B1E34" w:rsidRPr="005623A6">
        <w:t xml:space="preserve">they </w:t>
      </w:r>
      <w:r w:rsidR="00334976" w:rsidRPr="005623A6">
        <w:t xml:space="preserve">can </w:t>
      </w:r>
      <w:r w:rsidR="00A56A89" w:rsidRPr="005623A6">
        <w:t xml:space="preserve">bestow as and when the circumstances </w:t>
      </w:r>
      <w:r w:rsidR="005B1E34" w:rsidRPr="005623A6">
        <w:t>warrant</w:t>
      </w:r>
      <w:r w:rsidR="00855622" w:rsidRPr="005623A6">
        <w:t xml:space="preserve"> and in proportion to the </w:t>
      </w:r>
      <w:r w:rsidR="005B3380" w:rsidRPr="005623A6">
        <w:t>degree to which regulatees make improvements and build their compliance capacity</w:t>
      </w:r>
      <w:r w:rsidR="002A227F" w:rsidRPr="005623A6">
        <w:t>.</w:t>
      </w:r>
      <w:r w:rsidR="008800D2" w:rsidRPr="005623A6">
        <w:t xml:space="preserve"> </w:t>
      </w:r>
      <w:r w:rsidR="005B1E34" w:rsidRPr="005623A6">
        <w:t>Braithwaite</w:t>
      </w:r>
      <w:r w:rsidR="008C2EC5">
        <w:t xml:space="preserve">, </w:t>
      </w:r>
      <w:r w:rsidR="005B1E34" w:rsidRPr="005623A6">
        <w:t>Makkai</w:t>
      </w:r>
      <w:r w:rsidR="008C2EC5">
        <w:t xml:space="preserve"> and Braithwaite</w:t>
      </w:r>
      <w:r w:rsidR="005B1E34" w:rsidRPr="005623A6">
        <w:t xml:space="preserve"> emphasise that a strength-based pyramid offers alternative, not complementary, compliance strategies</w:t>
      </w:r>
      <w:r w:rsidR="008D738C" w:rsidRPr="005623A6">
        <w:t xml:space="preserve"> to an enforcement pyramid.</w:t>
      </w:r>
      <w:r w:rsidR="00782044" w:rsidRPr="00782044">
        <w:rPr>
          <w:rStyle w:val="FootnoteReference"/>
        </w:rPr>
        <w:t xml:space="preserve"> </w:t>
      </w:r>
      <w:r w:rsidR="00782044" w:rsidRPr="005623A6">
        <w:rPr>
          <w:rStyle w:val="FootnoteReference"/>
        </w:rPr>
        <w:footnoteReference w:id="47"/>
      </w:r>
      <w:r w:rsidR="003362EE">
        <w:rPr>
          <w:rStyle w:val="FootnoteReference"/>
        </w:rPr>
        <w:t xml:space="preserve"> </w:t>
      </w:r>
    </w:p>
    <w:p w14:paraId="307A5765" w14:textId="616C6A17" w:rsidR="000669C9" w:rsidRPr="005623A6" w:rsidRDefault="000669C9" w:rsidP="000669C9">
      <w:r w:rsidRPr="005623A6">
        <w:t>This means that after assessing the different compliance motivations of regulatees and other compliance-related factors, including context and culture,</w:t>
      </w:r>
      <w:r w:rsidRPr="005623A6">
        <w:rPr>
          <w:rStyle w:val="FootnoteReference"/>
        </w:rPr>
        <w:footnoteReference w:id="48"/>
      </w:r>
      <w:r w:rsidRPr="005623A6">
        <w:t xml:space="preserve"> regulators choose between deploying supports or sanctions as is appropriate in the particular circumstances. As with the enforcement pyramid, there is a preference in the strengths-based pyramid for dialogue in the first instance; however, when dialogue and encouragement fail and standards are (or continue </w:t>
      </w:r>
      <w:r w:rsidRPr="005623A6">
        <w:lastRenderedPageBreak/>
        <w:t>to be) below the minimum expected of a regulated entity, then enforcement action needs to be taken.</w:t>
      </w:r>
      <w:r w:rsidRPr="005623A6">
        <w:rPr>
          <w:rStyle w:val="FootnoteReference"/>
        </w:rPr>
        <w:footnoteReference w:id="49"/>
      </w:r>
      <w:r w:rsidRPr="005623A6">
        <w:t xml:space="preserve">  </w:t>
      </w:r>
    </w:p>
    <w:p w14:paraId="3ABB551D" w14:textId="54DD2984" w:rsidR="00D82591" w:rsidRPr="005623A6" w:rsidRDefault="00D82591" w:rsidP="00D82591">
      <w:pPr>
        <w:rPr>
          <w:rFonts w:cstheme="minorHAnsi"/>
          <w:sz w:val="16"/>
          <w:szCs w:val="16"/>
        </w:rPr>
      </w:pPr>
      <w:r w:rsidRPr="005623A6">
        <w:rPr>
          <w:rFonts w:cstheme="minorHAnsi"/>
        </w:rPr>
        <w:t xml:space="preserve">An example of a strengths-based pyramid and an accompanying enforcement pyramid is provided </w:t>
      </w:r>
      <w:r>
        <w:rPr>
          <w:rFonts w:cstheme="minorHAnsi"/>
        </w:rPr>
        <w:t>in Figure 2 below</w:t>
      </w:r>
      <w:r w:rsidRPr="005623A6">
        <w:rPr>
          <w:rFonts w:cstheme="minorHAnsi"/>
        </w:rPr>
        <w:t>.</w:t>
      </w:r>
    </w:p>
    <w:p w14:paraId="6DD0FE9F" w14:textId="60778266" w:rsidR="003362EE" w:rsidRDefault="003362EE" w:rsidP="005B1E34"/>
    <w:p w14:paraId="05C50510" w14:textId="77777777" w:rsidR="003362EE" w:rsidRDefault="003362EE" w:rsidP="005B1E34">
      <w:r w:rsidRPr="005623A6">
        <w:rPr>
          <w:noProof/>
          <w:lang w:eastAsia="en-AU"/>
        </w:rPr>
        <w:drawing>
          <wp:inline distT="0" distB="0" distL="0" distR="0" wp14:anchorId="3F683285" wp14:editId="1B66E246">
            <wp:extent cx="5566410" cy="3663950"/>
            <wp:effectExtent l="0" t="0" r="0" b="6350"/>
            <wp:docPr id="1721565611" name="Picture 1721565611" descr="The regulatory pyramid is situated on the left and has five tiers. On the bottom and largest tier is Education and persuasion about a problem. The next tier has shame for inaction. The third tier has sanctions to deter. The second tier says Escalated sanctions and the first tier says capital punishment. &#10;&#10;There is an arrow connecting the bottom tier of the Regulatory pyramid to the Strengths-based pyramid. The bottom and largest tier of the Strengths based pyramid says Education and persuasion about a strength. The next tier is Informal praise for progress. The third tier is Prize or grant to resource/encourage/facilitate strength-building, the second tier is Escalated prizes or grants to resource/encourage/facilitate strength-building and the first tier is Academy Award." title="Regulatory Pyramid Accompanied by a Strengths Based Pyram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65611" name="Picture 1721565611"/>
                    <pic:cNvPicPr/>
                  </pic:nvPicPr>
                  <pic:blipFill>
                    <a:blip r:embed="rId16">
                      <a:extLst>
                        <a:ext uri="{28A0092B-C50C-407E-A947-70E740481C1C}">
                          <a14:useLocalDpi xmlns:a14="http://schemas.microsoft.com/office/drawing/2010/main" val="0"/>
                        </a:ext>
                      </a:extLst>
                    </a:blip>
                    <a:stretch>
                      <a:fillRect/>
                    </a:stretch>
                  </pic:blipFill>
                  <pic:spPr>
                    <a:xfrm>
                      <a:off x="0" y="0"/>
                      <a:ext cx="5566410" cy="3663950"/>
                    </a:xfrm>
                    <a:prstGeom prst="rect">
                      <a:avLst/>
                    </a:prstGeom>
                  </pic:spPr>
                </pic:pic>
              </a:graphicData>
            </a:graphic>
          </wp:inline>
        </w:drawing>
      </w:r>
    </w:p>
    <w:p w14:paraId="654CE34F" w14:textId="425F59A9" w:rsidR="003362EE" w:rsidRDefault="003362EE" w:rsidP="004C04C8">
      <w:pPr>
        <w:jc w:val="center"/>
        <w:rPr>
          <w:sz w:val="16"/>
          <w:szCs w:val="16"/>
        </w:rPr>
      </w:pPr>
      <w:r w:rsidRPr="12EC14AA">
        <w:rPr>
          <w:sz w:val="16"/>
          <w:szCs w:val="16"/>
        </w:rPr>
        <w:t>Figure 2</w:t>
      </w:r>
      <w:r w:rsidR="00272E69" w:rsidRPr="12EC14AA">
        <w:rPr>
          <w:sz w:val="16"/>
          <w:szCs w:val="16"/>
        </w:rPr>
        <w:t xml:space="preserve"> Strengths-based Pyramid</w:t>
      </w:r>
      <w:r w:rsidR="004B2A08" w:rsidRPr="12EC14AA">
        <w:rPr>
          <w:sz w:val="16"/>
          <w:szCs w:val="16"/>
        </w:rPr>
        <w:t xml:space="preserve"> </w:t>
      </w:r>
      <w:r w:rsidR="00272E69" w:rsidRPr="002B3296">
        <w:rPr>
          <w:rStyle w:val="FootnoteReference"/>
          <w:sz w:val="16"/>
          <w:szCs w:val="16"/>
        </w:rPr>
        <w:footnoteReference w:id="50"/>
      </w:r>
    </w:p>
    <w:p w14:paraId="4DECEA62" w14:textId="77777777" w:rsidR="00D82591" w:rsidRPr="005623A6" w:rsidRDefault="00D82591" w:rsidP="004C04C8">
      <w:pPr>
        <w:jc w:val="center"/>
      </w:pPr>
    </w:p>
    <w:p w14:paraId="157976AE" w14:textId="77777777" w:rsidR="00206FFF" w:rsidRPr="006B607E" w:rsidRDefault="00206FFF" w:rsidP="00BC0D7E">
      <w:pPr>
        <w:pStyle w:val="Heading2"/>
      </w:pPr>
      <w:bookmarkStart w:id="41" w:name="_Toc139024381"/>
      <w:bookmarkStart w:id="42" w:name="_Toc139024704"/>
      <w:bookmarkStart w:id="43" w:name="_Toc139031347"/>
      <w:bookmarkStart w:id="44" w:name="_Toc146201024"/>
      <w:bookmarkStart w:id="45" w:name="_Toc161836152"/>
      <w:bookmarkStart w:id="46" w:name="BRiskBasedRegulation"/>
      <w:r w:rsidRPr="006B607E">
        <w:t xml:space="preserve">B </w:t>
      </w:r>
      <w:r w:rsidRPr="006B607E">
        <w:tab/>
        <w:t xml:space="preserve">Risk-based </w:t>
      </w:r>
      <w:r w:rsidR="00B575EC" w:rsidRPr="006B607E">
        <w:t>R</w:t>
      </w:r>
      <w:r w:rsidRPr="006B607E">
        <w:t>egulation</w:t>
      </w:r>
      <w:bookmarkEnd w:id="41"/>
      <w:bookmarkEnd w:id="42"/>
      <w:bookmarkEnd w:id="43"/>
      <w:bookmarkEnd w:id="44"/>
      <w:bookmarkEnd w:id="45"/>
    </w:p>
    <w:bookmarkEnd w:id="46"/>
    <w:p w14:paraId="6FCAC0DB" w14:textId="77777777" w:rsidR="00B130E4" w:rsidRPr="005623A6" w:rsidRDefault="007F57AC" w:rsidP="00B130E4">
      <w:r w:rsidRPr="005623A6">
        <w:t>Risk-based regulation emerged in the early 2000s in the UK under the label of ‘better regulation’</w:t>
      </w:r>
      <w:bookmarkStart w:id="47" w:name="_Ref161678214"/>
      <w:r w:rsidR="008D728F" w:rsidRPr="005623A6">
        <w:rPr>
          <w:rStyle w:val="FootnoteReference"/>
        </w:rPr>
        <w:footnoteReference w:id="51"/>
      </w:r>
      <w:bookmarkEnd w:id="47"/>
      <w:r w:rsidR="008D728F" w:rsidRPr="005623A6">
        <w:t xml:space="preserve"> </w:t>
      </w:r>
      <w:r w:rsidRPr="005623A6">
        <w:t xml:space="preserve">but has since been embraced </w:t>
      </w:r>
      <w:r w:rsidR="00050BD2" w:rsidRPr="005623A6">
        <w:t xml:space="preserve">elsewhere </w:t>
      </w:r>
      <w:r w:rsidR="006C308C" w:rsidRPr="005623A6">
        <w:t xml:space="preserve">including </w:t>
      </w:r>
      <w:r w:rsidRPr="005623A6">
        <w:t>in Australia.</w:t>
      </w:r>
      <w:r w:rsidR="00B130E4" w:rsidRPr="005623A6">
        <w:t xml:space="preserve"> For example, the </w:t>
      </w:r>
      <w:r w:rsidR="00B130E4" w:rsidRPr="12EC14AA">
        <w:rPr>
          <w:i/>
          <w:iCs/>
        </w:rPr>
        <w:t>Public Governance, Performance and Accountability Act 2013</w:t>
      </w:r>
      <w:r w:rsidR="00B130E4" w:rsidRPr="005623A6">
        <w:t xml:space="preserve"> (Cth) requires all ‘accountable authorities’ of ‘Commonwealth entities’ ‘to establish and maintain … an appropriate system of risk oversight and management for the entity’.</w:t>
      </w:r>
      <w:r w:rsidR="00B130E4" w:rsidRPr="005623A6">
        <w:rPr>
          <w:rStyle w:val="FootnoteReference"/>
        </w:rPr>
        <w:footnoteReference w:id="52"/>
      </w:r>
      <w:r w:rsidR="00B130E4" w:rsidRPr="005623A6">
        <w:t xml:space="preserve"> </w:t>
      </w:r>
    </w:p>
    <w:p w14:paraId="505594FB" w14:textId="77777777" w:rsidR="00D30206" w:rsidRPr="005623A6" w:rsidRDefault="000B1C77" w:rsidP="00DC348A">
      <w:r w:rsidRPr="005623A6">
        <w:t xml:space="preserve">Risk-based regulation </w:t>
      </w:r>
      <w:r w:rsidR="00612045" w:rsidRPr="005623A6">
        <w:t>recognises that a regulator’s enforcement resources are finite</w:t>
      </w:r>
      <w:r w:rsidR="00D56533" w:rsidRPr="005623A6">
        <w:t>. It</w:t>
      </w:r>
      <w:r w:rsidR="00612045" w:rsidRPr="005623A6">
        <w:t xml:space="preserve"> is </w:t>
      </w:r>
      <w:r w:rsidR="00604021" w:rsidRPr="005623A6">
        <w:t xml:space="preserve">premised on the assumption that </w:t>
      </w:r>
      <w:r w:rsidR="0010673F" w:rsidRPr="005623A6">
        <w:t xml:space="preserve">risks to the achievement of regulatory objectives ‘can be </w:t>
      </w:r>
      <w:r w:rsidR="0010673F" w:rsidRPr="005623A6">
        <w:lastRenderedPageBreak/>
        <w:t>reduced or managed but not eliminated’.</w:t>
      </w:r>
      <w:r w:rsidR="0010673F" w:rsidRPr="005623A6">
        <w:rPr>
          <w:rStyle w:val="FootnoteReference"/>
        </w:rPr>
        <w:footnoteReference w:id="53"/>
      </w:r>
      <w:r w:rsidR="0010673F" w:rsidRPr="005623A6">
        <w:t xml:space="preserve"> </w:t>
      </w:r>
      <w:r w:rsidR="00D30206" w:rsidRPr="005623A6">
        <w:t xml:space="preserve">Elimination of all risk is </w:t>
      </w:r>
      <w:r w:rsidR="007F57AC" w:rsidRPr="005623A6">
        <w:t xml:space="preserve">seen </w:t>
      </w:r>
      <w:r w:rsidR="00D80C11" w:rsidRPr="005623A6">
        <w:t xml:space="preserve">as </w:t>
      </w:r>
      <w:r w:rsidR="007F57AC" w:rsidRPr="005623A6">
        <w:t xml:space="preserve">too </w:t>
      </w:r>
      <w:r w:rsidR="006C308C" w:rsidRPr="005623A6">
        <w:t>expensive</w:t>
      </w:r>
      <w:r w:rsidR="00663609" w:rsidRPr="005623A6">
        <w:t xml:space="preserve"> for government to achieve in practice</w:t>
      </w:r>
      <w:r w:rsidR="007F57AC" w:rsidRPr="005623A6">
        <w:t>, a hindrance to innovation</w:t>
      </w:r>
      <w:r w:rsidR="00663609" w:rsidRPr="005623A6">
        <w:t xml:space="preserve"> because it imposes additional (and unnecessary) costs on business</w:t>
      </w:r>
      <w:r w:rsidR="007F57AC" w:rsidRPr="005623A6">
        <w:t xml:space="preserve">, and likely </w:t>
      </w:r>
      <w:r w:rsidR="008D728F" w:rsidRPr="005623A6">
        <w:t xml:space="preserve">to </w:t>
      </w:r>
      <w:r w:rsidR="007F57AC" w:rsidRPr="005623A6">
        <w:t>lead only to higher costs for consumers in the long-term.</w:t>
      </w:r>
      <w:bookmarkStart w:id="48" w:name="_Ref161677919"/>
      <w:r w:rsidR="00E96F05" w:rsidRPr="005623A6">
        <w:rPr>
          <w:rStyle w:val="FootnoteReference"/>
        </w:rPr>
        <w:footnoteReference w:id="54"/>
      </w:r>
      <w:bookmarkEnd w:id="48"/>
      <w:r w:rsidR="007F57AC" w:rsidRPr="005623A6">
        <w:t xml:space="preserve"> </w:t>
      </w:r>
      <w:r w:rsidR="00DC348A" w:rsidRPr="005623A6">
        <w:t>Different regulators have different regulatory objectives</w:t>
      </w:r>
      <w:r w:rsidR="004A62A3" w:rsidRPr="005623A6">
        <w:t xml:space="preserve"> and </w:t>
      </w:r>
      <w:r w:rsidR="00116799" w:rsidRPr="005623A6">
        <w:t xml:space="preserve">confront different </w:t>
      </w:r>
      <w:r w:rsidR="004A62A3" w:rsidRPr="005623A6">
        <w:t>risks</w:t>
      </w:r>
      <w:r w:rsidR="00DC348A" w:rsidRPr="005623A6">
        <w:t xml:space="preserve">. However, risk-based regulation </w:t>
      </w:r>
      <w:r w:rsidR="0010673F" w:rsidRPr="005623A6">
        <w:t xml:space="preserve">is intended </w:t>
      </w:r>
      <w:r w:rsidR="00612045" w:rsidRPr="005623A6">
        <w:t xml:space="preserve">to provide a </w:t>
      </w:r>
      <w:r w:rsidR="00783D24" w:rsidRPr="005623A6">
        <w:t>‘transparent, systematic, and defensible’</w:t>
      </w:r>
      <w:bookmarkStart w:id="49" w:name="_Ref161677872"/>
      <w:r w:rsidR="00783D24" w:rsidRPr="005623A6">
        <w:rPr>
          <w:rStyle w:val="FootnoteReference"/>
        </w:rPr>
        <w:footnoteReference w:id="55"/>
      </w:r>
      <w:bookmarkEnd w:id="49"/>
      <w:r w:rsidR="00783D24" w:rsidRPr="005623A6">
        <w:t xml:space="preserve"> </w:t>
      </w:r>
      <w:r w:rsidR="00612045" w:rsidRPr="005623A6">
        <w:t>way for regulators</w:t>
      </w:r>
      <w:r w:rsidR="00DC348A" w:rsidRPr="005623A6">
        <w:t xml:space="preserve">, utilising </w:t>
      </w:r>
      <w:r w:rsidR="008C6BFF" w:rsidRPr="005623A6">
        <w:t xml:space="preserve">available evidence and </w:t>
      </w:r>
      <w:r w:rsidR="00DC348A" w:rsidRPr="005623A6">
        <w:t>economic and scientific decision-making tools,</w:t>
      </w:r>
      <w:r w:rsidR="00663609" w:rsidRPr="005623A6">
        <w:t xml:space="preserve"> such as risk matrices and decision-trees,</w:t>
      </w:r>
      <w:r w:rsidR="00DC348A" w:rsidRPr="005623A6">
        <w:rPr>
          <w:rStyle w:val="FootnoteReference"/>
        </w:rPr>
        <w:footnoteReference w:id="56"/>
      </w:r>
      <w:r w:rsidR="00612045" w:rsidRPr="005623A6">
        <w:t xml:space="preserve"> to</w:t>
      </w:r>
      <w:r w:rsidR="007D3136" w:rsidRPr="005623A6">
        <w:t xml:space="preserve"> identify risks</w:t>
      </w:r>
      <w:r w:rsidR="00DC348A" w:rsidRPr="005623A6">
        <w:t xml:space="preserve"> </w:t>
      </w:r>
      <w:r w:rsidR="0010673F" w:rsidRPr="005623A6">
        <w:t>and</w:t>
      </w:r>
      <w:r w:rsidR="007D3136" w:rsidRPr="005623A6">
        <w:t xml:space="preserve"> prioritise </w:t>
      </w:r>
      <w:r w:rsidR="0010673F" w:rsidRPr="005623A6">
        <w:t xml:space="preserve">them, </w:t>
      </w:r>
      <w:r w:rsidR="00FB3F69" w:rsidRPr="005623A6">
        <w:t xml:space="preserve">and </w:t>
      </w:r>
      <w:r w:rsidR="0010673F" w:rsidRPr="005623A6">
        <w:t xml:space="preserve">to </w:t>
      </w:r>
      <w:r w:rsidR="00FB3F69" w:rsidRPr="005623A6">
        <w:t xml:space="preserve">allocate their </w:t>
      </w:r>
      <w:r w:rsidR="00604021" w:rsidRPr="005623A6">
        <w:t>limited resources</w:t>
      </w:r>
      <w:r w:rsidR="00AB6F01" w:rsidRPr="005623A6">
        <w:t xml:space="preserve"> accordingly</w:t>
      </w:r>
      <w:r w:rsidR="00604021" w:rsidRPr="005623A6">
        <w:t>.</w:t>
      </w:r>
      <w:r w:rsidR="00612045" w:rsidRPr="005623A6">
        <w:t xml:space="preserve"> </w:t>
      </w:r>
    </w:p>
    <w:p w14:paraId="7E415219" w14:textId="77777777" w:rsidR="00DC348A" w:rsidRPr="005623A6" w:rsidRDefault="0010673F" w:rsidP="0016114F">
      <w:r w:rsidRPr="005623A6">
        <w:t xml:space="preserve">Risk-based </w:t>
      </w:r>
      <w:r w:rsidR="008D728F" w:rsidRPr="005623A6">
        <w:t xml:space="preserve">regulation </w:t>
      </w:r>
      <w:r w:rsidR="00DC348A" w:rsidRPr="005623A6">
        <w:t xml:space="preserve">is meant to be </w:t>
      </w:r>
      <w:r w:rsidR="008D728F" w:rsidRPr="005623A6">
        <w:t>an ongoing and continuous process</w:t>
      </w:r>
      <w:r w:rsidR="00C36362" w:rsidRPr="005623A6">
        <w:t xml:space="preserve"> and </w:t>
      </w:r>
      <w:r w:rsidR="000F0CBA" w:rsidRPr="005623A6">
        <w:t xml:space="preserve">one </w:t>
      </w:r>
      <w:r w:rsidR="00C36362" w:rsidRPr="005623A6">
        <w:t xml:space="preserve">specific to the regulatory context </w:t>
      </w:r>
      <w:r w:rsidR="0016114F" w:rsidRPr="005623A6">
        <w:t xml:space="preserve">and industry </w:t>
      </w:r>
      <w:r w:rsidR="00C36362" w:rsidRPr="005623A6">
        <w:t>concerned</w:t>
      </w:r>
      <w:r w:rsidR="00DC348A" w:rsidRPr="005623A6">
        <w:t xml:space="preserve">, but </w:t>
      </w:r>
      <w:r w:rsidR="0016114F" w:rsidRPr="005623A6">
        <w:t xml:space="preserve">it </w:t>
      </w:r>
      <w:r w:rsidR="00690209" w:rsidRPr="005623A6">
        <w:t xml:space="preserve">has been described as having </w:t>
      </w:r>
      <w:r w:rsidR="003107C1" w:rsidRPr="005623A6">
        <w:t xml:space="preserve">up to six </w:t>
      </w:r>
      <w:r w:rsidR="00C36362" w:rsidRPr="005623A6">
        <w:t>‘</w:t>
      </w:r>
      <w:r w:rsidR="00783D24" w:rsidRPr="005623A6">
        <w:t xml:space="preserve">common’ </w:t>
      </w:r>
      <w:r w:rsidR="00DC348A" w:rsidRPr="005623A6">
        <w:t>stages</w:t>
      </w:r>
      <w:r w:rsidR="00AB6F01" w:rsidRPr="005623A6">
        <w:t xml:space="preserve"> or ‘core’ elements</w:t>
      </w:r>
      <w:r w:rsidR="00C32302" w:rsidRPr="005623A6">
        <w:t>.</w:t>
      </w:r>
      <w:r w:rsidR="00663609" w:rsidRPr="005623A6">
        <w:rPr>
          <w:rStyle w:val="FootnoteReference"/>
        </w:rPr>
        <w:footnoteReference w:id="57"/>
      </w:r>
      <w:r w:rsidR="00C32302" w:rsidRPr="005623A6">
        <w:t xml:space="preserve"> These elements include:</w:t>
      </w:r>
    </w:p>
    <w:p w14:paraId="2AF77F05" w14:textId="77777777" w:rsidR="00DC348A" w:rsidRPr="002B147B" w:rsidRDefault="00194E30" w:rsidP="001019BA">
      <w:pPr>
        <w:pStyle w:val="FootnoteText"/>
        <w:numPr>
          <w:ilvl w:val="0"/>
          <w:numId w:val="30"/>
        </w:numPr>
        <w:spacing w:after="120" w:line="276" w:lineRule="auto"/>
        <w:ind w:left="714" w:hanging="357"/>
        <w:rPr>
          <w:sz w:val="21"/>
          <w:szCs w:val="21"/>
        </w:rPr>
      </w:pPr>
      <w:r w:rsidRPr="002B147B">
        <w:rPr>
          <w:sz w:val="21"/>
          <w:szCs w:val="21"/>
        </w:rPr>
        <w:t xml:space="preserve">Identification of </w:t>
      </w:r>
      <w:r w:rsidR="004553D9" w:rsidRPr="002B147B">
        <w:rPr>
          <w:sz w:val="21"/>
          <w:szCs w:val="21"/>
        </w:rPr>
        <w:t xml:space="preserve">the </w:t>
      </w:r>
      <w:r w:rsidR="00C32302" w:rsidRPr="002B147B">
        <w:rPr>
          <w:sz w:val="21"/>
          <w:szCs w:val="21"/>
        </w:rPr>
        <w:t xml:space="preserve">regulator’s </w:t>
      </w:r>
      <w:r w:rsidR="004741CF" w:rsidRPr="002B147B">
        <w:rPr>
          <w:sz w:val="21"/>
          <w:szCs w:val="21"/>
        </w:rPr>
        <w:t>regulator</w:t>
      </w:r>
      <w:r w:rsidR="00C32302" w:rsidRPr="002B147B">
        <w:rPr>
          <w:sz w:val="21"/>
          <w:szCs w:val="21"/>
        </w:rPr>
        <w:t>y</w:t>
      </w:r>
      <w:r w:rsidR="004741CF" w:rsidRPr="002B147B">
        <w:rPr>
          <w:sz w:val="21"/>
          <w:szCs w:val="21"/>
        </w:rPr>
        <w:t xml:space="preserve"> objectives</w:t>
      </w:r>
      <w:r w:rsidR="00AB6F01" w:rsidRPr="002B147B">
        <w:rPr>
          <w:sz w:val="21"/>
          <w:szCs w:val="21"/>
        </w:rPr>
        <w:t xml:space="preserve"> and </w:t>
      </w:r>
      <w:r w:rsidR="00C32302" w:rsidRPr="002B147B">
        <w:rPr>
          <w:sz w:val="21"/>
          <w:szCs w:val="21"/>
        </w:rPr>
        <w:t xml:space="preserve">the </w:t>
      </w:r>
      <w:r w:rsidR="004741CF" w:rsidRPr="002B147B">
        <w:rPr>
          <w:sz w:val="21"/>
          <w:szCs w:val="21"/>
        </w:rPr>
        <w:t>risks</w:t>
      </w:r>
      <w:r w:rsidR="00C32302" w:rsidRPr="002B147B">
        <w:rPr>
          <w:sz w:val="21"/>
          <w:szCs w:val="21"/>
        </w:rPr>
        <w:t xml:space="preserve"> it must control</w:t>
      </w:r>
      <w:r w:rsidR="00C4333A" w:rsidRPr="002B147B">
        <w:rPr>
          <w:sz w:val="21"/>
          <w:szCs w:val="21"/>
        </w:rPr>
        <w:t>.</w:t>
      </w:r>
      <w:r w:rsidR="00C32302" w:rsidRPr="002B147B">
        <w:rPr>
          <w:rStyle w:val="FootnoteReference"/>
          <w:sz w:val="21"/>
          <w:szCs w:val="21"/>
        </w:rPr>
        <w:footnoteReference w:id="58"/>
      </w:r>
    </w:p>
    <w:p w14:paraId="73D0B90E" w14:textId="77777777" w:rsidR="004741CF" w:rsidRPr="002B147B" w:rsidRDefault="004741CF" w:rsidP="001019BA">
      <w:pPr>
        <w:pStyle w:val="FootnoteText"/>
        <w:numPr>
          <w:ilvl w:val="0"/>
          <w:numId w:val="30"/>
        </w:numPr>
        <w:spacing w:after="120" w:line="276" w:lineRule="auto"/>
        <w:ind w:left="714" w:hanging="357"/>
        <w:rPr>
          <w:sz w:val="21"/>
          <w:szCs w:val="21"/>
        </w:rPr>
      </w:pPr>
      <w:r w:rsidRPr="002B147B">
        <w:rPr>
          <w:sz w:val="21"/>
          <w:szCs w:val="21"/>
        </w:rPr>
        <w:t xml:space="preserve">Determination of the </w:t>
      </w:r>
      <w:r w:rsidR="00E864F6" w:rsidRPr="002B147B">
        <w:rPr>
          <w:sz w:val="21"/>
          <w:szCs w:val="21"/>
        </w:rPr>
        <w:t xml:space="preserve">regulator’s ‘risk appetite’ (eg, </w:t>
      </w:r>
      <w:r w:rsidR="00783D24" w:rsidRPr="002B147B">
        <w:rPr>
          <w:sz w:val="21"/>
          <w:szCs w:val="21"/>
        </w:rPr>
        <w:t xml:space="preserve">identification of </w:t>
      </w:r>
      <w:r w:rsidR="00E864F6" w:rsidRPr="002B147B">
        <w:rPr>
          <w:sz w:val="21"/>
          <w:szCs w:val="21"/>
        </w:rPr>
        <w:t xml:space="preserve">the types </w:t>
      </w:r>
      <w:r w:rsidR="00C32302" w:rsidRPr="002B147B">
        <w:rPr>
          <w:sz w:val="21"/>
          <w:szCs w:val="21"/>
        </w:rPr>
        <w:t xml:space="preserve">of risk </w:t>
      </w:r>
      <w:r w:rsidR="00E864F6" w:rsidRPr="002B147B">
        <w:rPr>
          <w:sz w:val="21"/>
          <w:szCs w:val="21"/>
        </w:rPr>
        <w:t>and amount of risk</w:t>
      </w:r>
      <w:r w:rsidR="00F817AF" w:rsidRPr="002B147B">
        <w:rPr>
          <w:sz w:val="21"/>
          <w:szCs w:val="21"/>
        </w:rPr>
        <w:t>, including political risk,</w:t>
      </w:r>
      <w:r w:rsidR="00E864F6" w:rsidRPr="002B147B">
        <w:rPr>
          <w:sz w:val="21"/>
          <w:szCs w:val="21"/>
        </w:rPr>
        <w:t xml:space="preserve"> it will tolerate</w:t>
      </w:r>
      <w:r w:rsidR="00D24106" w:rsidRPr="002B147B">
        <w:rPr>
          <w:sz w:val="21"/>
          <w:szCs w:val="21"/>
        </w:rPr>
        <w:t>,</w:t>
      </w:r>
      <w:r w:rsidR="00C32302" w:rsidRPr="002B147B">
        <w:rPr>
          <w:rStyle w:val="FootnoteReference"/>
          <w:sz w:val="21"/>
          <w:szCs w:val="21"/>
        </w:rPr>
        <w:footnoteReference w:id="59"/>
      </w:r>
      <w:r w:rsidR="00C32302" w:rsidRPr="002B147B">
        <w:rPr>
          <w:sz w:val="21"/>
          <w:szCs w:val="21"/>
        </w:rPr>
        <w:t xml:space="preserve"> </w:t>
      </w:r>
      <w:r w:rsidR="00D24106" w:rsidRPr="002B147B">
        <w:rPr>
          <w:sz w:val="21"/>
          <w:szCs w:val="21"/>
        </w:rPr>
        <w:t xml:space="preserve">given </w:t>
      </w:r>
      <w:r w:rsidR="00C32302" w:rsidRPr="002B147B">
        <w:rPr>
          <w:sz w:val="21"/>
          <w:szCs w:val="21"/>
        </w:rPr>
        <w:t xml:space="preserve">its statutory obligations, guidance provided by government, </w:t>
      </w:r>
      <w:r w:rsidR="00D24106" w:rsidRPr="002B147B">
        <w:rPr>
          <w:sz w:val="21"/>
          <w:szCs w:val="21"/>
        </w:rPr>
        <w:t xml:space="preserve">resources, and </w:t>
      </w:r>
      <w:r w:rsidR="00C32302" w:rsidRPr="002B147B">
        <w:rPr>
          <w:sz w:val="21"/>
          <w:szCs w:val="21"/>
        </w:rPr>
        <w:t>stakeholder feedback</w:t>
      </w:r>
      <w:r w:rsidR="00C32302" w:rsidRPr="002B147B">
        <w:rPr>
          <w:rStyle w:val="FootnoteReference"/>
          <w:sz w:val="21"/>
          <w:szCs w:val="21"/>
        </w:rPr>
        <w:footnoteReference w:id="60"/>
      </w:r>
      <w:r w:rsidR="00E864F6" w:rsidRPr="002B147B">
        <w:rPr>
          <w:sz w:val="21"/>
          <w:szCs w:val="21"/>
        </w:rPr>
        <w:t>)</w:t>
      </w:r>
      <w:r w:rsidR="00C4333A" w:rsidRPr="002B147B">
        <w:rPr>
          <w:sz w:val="21"/>
          <w:szCs w:val="21"/>
        </w:rPr>
        <w:t>.</w:t>
      </w:r>
    </w:p>
    <w:p w14:paraId="295850EA" w14:textId="77777777" w:rsidR="00F817AF" w:rsidRPr="002B147B" w:rsidRDefault="00E864F6" w:rsidP="001019BA">
      <w:pPr>
        <w:pStyle w:val="FootnoteText"/>
        <w:numPr>
          <w:ilvl w:val="0"/>
          <w:numId w:val="30"/>
        </w:numPr>
        <w:spacing w:after="120" w:line="276" w:lineRule="auto"/>
        <w:ind w:left="714" w:hanging="357"/>
        <w:rPr>
          <w:sz w:val="21"/>
          <w:szCs w:val="21"/>
        </w:rPr>
      </w:pPr>
      <w:r w:rsidRPr="002B147B">
        <w:rPr>
          <w:sz w:val="21"/>
          <w:szCs w:val="21"/>
        </w:rPr>
        <w:t>Risk assessment</w:t>
      </w:r>
      <w:r w:rsidR="00E34FC9" w:rsidRPr="002B147B">
        <w:rPr>
          <w:sz w:val="21"/>
          <w:szCs w:val="21"/>
        </w:rPr>
        <w:t xml:space="preserve">. This </w:t>
      </w:r>
      <w:r w:rsidR="00D24106" w:rsidRPr="002B147B">
        <w:rPr>
          <w:sz w:val="21"/>
          <w:szCs w:val="21"/>
        </w:rPr>
        <w:t xml:space="preserve">involves identification and evaluation of </w:t>
      </w:r>
      <w:r w:rsidR="00783D24" w:rsidRPr="002B147B">
        <w:rPr>
          <w:sz w:val="21"/>
          <w:szCs w:val="21"/>
        </w:rPr>
        <w:t xml:space="preserve">the </w:t>
      </w:r>
      <w:r w:rsidR="00F817AF" w:rsidRPr="002B147B">
        <w:rPr>
          <w:sz w:val="21"/>
          <w:szCs w:val="21"/>
        </w:rPr>
        <w:t xml:space="preserve">potential </w:t>
      </w:r>
      <w:r w:rsidR="00213285" w:rsidRPr="002B147B">
        <w:rPr>
          <w:sz w:val="21"/>
          <w:szCs w:val="21"/>
        </w:rPr>
        <w:t>harm</w:t>
      </w:r>
      <w:r w:rsidR="00F817AF" w:rsidRPr="002B147B">
        <w:rPr>
          <w:sz w:val="21"/>
          <w:szCs w:val="21"/>
        </w:rPr>
        <w:t xml:space="preserve">s </w:t>
      </w:r>
      <w:r w:rsidR="001C2CFD" w:rsidRPr="002B147B">
        <w:rPr>
          <w:sz w:val="21"/>
          <w:szCs w:val="21"/>
        </w:rPr>
        <w:t xml:space="preserve">or adverse impacts </w:t>
      </w:r>
      <w:r w:rsidR="00F817AF" w:rsidRPr="002B147B">
        <w:rPr>
          <w:sz w:val="21"/>
          <w:szCs w:val="21"/>
        </w:rPr>
        <w:t>that regulated businesses might</w:t>
      </w:r>
      <w:r w:rsidR="00D24106" w:rsidRPr="002B147B">
        <w:rPr>
          <w:sz w:val="21"/>
          <w:szCs w:val="21"/>
        </w:rPr>
        <w:t xml:space="preserve"> ca</w:t>
      </w:r>
      <w:r w:rsidR="00735580" w:rsidRPr="002B147B">
        <w:rPr>
          <w:sz w:val="21"/>
          <w:szCs w:val="21"/>
        </w:rPr>
        <w:t>use</w:t>
      </w:r>
      <w:r w:rsidR="005A79C7" w:rsidRPr="002B147B">
        <w:rPr>
          <w:sz w:val="21"/>
          <w:szCs w:val="21"/>
        </w:rPr>
        <w:t xml:space="preserve">, and the </w:t>
      </w:r>
      <w:r w:rsidR="00735580" w:rsidRPr="002B147B">
        <w:rPr>
          <w:sz w:val="21"/>
          <w:szCs w:val="21"/>
        </w:rPr>
        <w:t xml:space="preserve">costs and benefits of regulatory intervention. </w:t>
      </w:r>
      <w:r w:rsidR="006972EF" w:rsidRPr="002B147B">
        <w:rPr>
          <w:sz w:val="21"/>
          <w:szCs w:val="21"/>
        </w:rPr>
        <w:t xml:space="preserve">It also involves an assessment of the </w:t>
      </w:r>
      <w:r w:rsidR="00FD4200" w:rsidRPr="002B147B">
        <w:rPr>
          <w:sz w:val="21"/>
          <w:szCs w:val="21"/>
        </w:rPr>
        <w:t xml:space="preserve">types of </w:t>
      </w:r>
      <w:r w:rsidR="006972EF" w:rsidRPr="002B147B">
        <w:rPr>
          <w:sz w:val="21"/>
          <w:szCs w:val="21"/>
        </w:rPr>
        <w:t xml:space="preserve">businesses that generate the greatest risks and the ability of </w:t>
      </w:r>
      <w:r w:rsidR="00073239" w:rsidRPr="002B147B">
        <w:rPr>
          <w:sz w:val="21"/>
          <w:szCs w:val="21"/>
        </w:rPr>
        <w:t>market participants to manage those risks without regulatory intervention.</w:t>
      </w:r>
      <w:r w:rsidR="00073239" w:rsidRPr="002B147B">
        <w:rPr>
          <w:rStyle w:val="FootnoteReference"/>
          <w:sz w:val="21"/>
          <w:szCs w:val="21"/>
        </w:rPr>
        <w:footnoteReference w:id="61"/>
      </w:r>
    </w:p>
    <w:p w14:paraId="3C24DA2E" w14:textId="77777777" w:rsidR="00F817AF" w:rsidRPr="002B147B" w:rsidRDefault="00F817AF" w:rsidP="001019BA">
      <w:pPr>
        <w:pStyle w:val="FootnoteText"/>
        <w:numPr>
          <w:ilvl w:val="0"/>
          <w:numId w:val="30"/>
        </w:numPr>
        <w:spacing w:after="120" w:line="276" w:lineRule="auto"/>
        <w:ind w:left="714" w:hanging="357"/>
        <w:rPr>
          <w:sz w:val="21"/>
          <w:szCs w:val="21"/>
        </w:rPr>
      </w:pPr>
      <w:r w:rsidRPr="002B147B">
        <w:rPr>
          <w:sz w:val="21"/>
          <w:szCs w:val="21"/>
        </w:rPr>
        <w:t>Prioritisation of risks</w:t>
      </w:r>
      <w:r w:rsidR="00E34FC9" w:rsidRPr="002B147B">
        <w:rPr>
          <w:sz w:val="21"/>
          <w:szCs w:val="21"/>
        </w:rPr>
        <w:t xml:space="preserve">. This </w:t>
      </w:r>
      <w:r w:rsidR="001C2CFD" w:rsidRPr="002B147B">
        <w:rPr>
          <w:sz w:val="21"/>
          <w:szCs w:val="21"/>
        </w:rPr>
        <w:t xml:space="preserve">involves </w:t>
      </w:r>
      <w:r w:rsidR="00073239" w:rsidRPr="002B147B">
        <w:rPr>
          <w:sz w:val="21"/>
          <w:szCs w:val="21"/>
        </w:rPr>
        <w:t xml:space="preserve">regulators </w:t>
      </w:r>
      <w:r w:rsidR="00CD3634" w:rsidRPr="002B147B">
        <w:rPr>
          <w:sz w:val="21"/>
          <w:szCs w:val="21"/>
        </w:rPr>
        <w:t>scor</w:t>
      </w:r>
      <w:r w:rsidR="001C2CFD" w:rsidRPr="002B147B">
        <w:rPr>
          <w:sz w:val="21"/>
          <w:szCs w:val="21"/>
        </w:rPr>
        <w:t xml:space="preserve">ing and </w:t>
      </w:r>
      <w:r w:rsidR="00115CE6" w:rsidRPr="002B147B">
        <w:rPr>
          <w:sz w:val="21"/>
          <w:szCs w:val="21"/>
        </w:rPr>
        <w:t>rank</w:t>
      </w:r>
      <w:r w:rsidR="001C2CFD" w:rsidRPr="002B147B">
        <w:rPr>
          <w:sz w:val="21"/>
          <w:szCs w:val="21"/>
        </w:rPr>
        <w:t>ing</w:t>
      </w:r>
      <w:r w:rsidR="00115CE6" w:rsidRPr="002B147B">
        <w:rPr>
          <w:sz w:val="21"/>
          <w:szCs w:val="21"/>
        </w:rPr>
        <w:t xml:space="preserve"> regulated </w:t>
      </w:r>
      <w:r w:rsidR="003C529A" w:rsidRPr="002B147B">
        <w:rPr>
          <w:sz w:val="21"/>
          <w:szCs w:val="21"/>
        </w:rPr>
        <w:t>businesses to determine which ones pose the most risk</w:t>
      </w:r>
      <w:r w:rsidR="00D80C11" w:rsidRPr="002B147B">
        <w:rPr>
          <w:sz w:val="21"/>
          <w:szCs w:val="21"/>
        </w:rPr>
        <w:t xml:space="preserve"> in light of the information gathered in stage 3</w:t>
      </w:r>
      <w:r w:rsidR="003C529A" w:rsidRPr="002B147B">
        <w:rPr>
          <w:sz w:val="21"/>
          <w:szCs w:val="21"/>
        </w:rPr>
        <w:t xml:space="preserve">. Different systems for scoring and ranking may be used depending on the regulated industry involved. </w:t>
      </w:r>
      <w:r w:rsidR="00D80C11" w:rsidRPr="002B147B">
        <w:rPr>
          <w:sz w:val="21"/>
          <w:szCs w:val="21"/>
        </w:rPr>
        <w:t>They may</w:t>
      </w:r>
      <w:r w:rsidR="00116799" w:rsidRPr="002B147B">
        <w:rPr>
          <w:sz w:val="21"/>
          <w:szCs w:val="21"/>
        </w:rPr>
        <w:t xml:space="preserve"> </w:t>
      </w:r>
      <w:r w:rsidR="00C9135A" w:rsidRPr="002B147B">
        <w:rPr>
          <w:sz w:val="21"/>
          <w:szCs w:val="21"/>
        </w:rPr>
        <w:t xml:space="preserve">include, for example, </w:t>
      </w:r>
      <w:r w:rsidR="00D80C11" w:rsidRPr="002B147B">
        <w:rPr>
          <w:sz w:val="21"/>
          <w:szCs w:val="21"/>
        </w:rPr>
        <w:t xml:space="preserve">the use of </w:t>
      </w:r>
      <w:r w:rsidR="00C9135A" w:rsidRPr="002B147B">
        <w:rPr>
          <w:sz w:val="21"/>
          <w:szCs w:val="21"/>
        </w:rPr>
        <w:t xml:space="preserve">‘traffic light models’ (eg, green, yellow or red), </w:t>
      </w:r>
      <w:r w:rsidR="00D80C11" w:rsidRPr="002B147B">
        <w:rPr>
          <w:sz w:val="21"/>
          <w:szCs w:val="21"/>
        </w:rPr>
        <w:t>or</w:t>
      </w:r>
      <w:r w:rsidR="00E34FC9" w:rsidRPr="002B147B">
        <w:rPr>
          <w:sz w:val="21"/>
          <w:szCs w:val="21"/>
        </w:rPr>
        <w:t xml:space="preserve"> more detailed lists of assessment criteria</w:t>
      </w:r>
      <w:r w:rsidR="00FE0E2A" w:rsidRPr="002B147B">
        <w:rPr>
          <w:sz w:val="21"/>
          <w:szCs w:val="21"/>
        </w:rPr>
        <w:t>.</w:t>
      </w:r>
      <w:r w:rsidR="00E34FC9" w:rsidRPr="002B147B">
        <w:rPr>
          <w:rStyle w:val="FootnoteReference"/>
          <w:sz w:val="21"/>
          <w:szCs w:val="21"/>
        </w:rPr>
        <w:footnoteReference w:id="62"/>
      </w:r>
      <w:r w:rsidR="00FE0E2A" w:rsidRPr="002B147B">
        <w:rPr>
          <w:sz w:val="21"/>
          <w:szCs w:val="21"/>
        </w:rPr>
        <w:t xml:space="preserve"> Factors </w:t>
      </w:r>
      <w:r w:rsidR="00FD4200" w:rsidRPr="002B147B">
        <w:rPr>
          <w:sz w:val="21"/>
          <w:szCs w:val="21"/>
        </w:rPr>
        <w:t xml:space="preserve">taken into account </w:t>
      </w:r>
      <w:r w:rsidR="00D56533" w:rsidRPr="002B147B">
        <w:rPr>
          <w:sz w:val="21"/>
          <w:szCs w:val="21"/>
        </w:rPr>
        <w:t xml:space="preserve">in assessments </w:t>
      </w:r>
      <w:r w:rsidR="00FD4200" w:rsidRPr="002B147B">
        <w:rPr>
          <w:sz w:val="21"/>
          <w:szCs w:val="21"/>
        </w:rPr>
        <w:t>include business size and compliance history.</w:t>
      </w:r>
    </w:p>
    <w:p w14:paraId="6CD2E0E3" w14:textId="77777777" w:rsidR="00B11E94" w:rsidRPr="002B147B" w:rsidRDefault="00F817AF" w:rsidP="001019BA">
      <w:pPr>
        <w:pStyle w:val="FootnoteText"/>
        <w:numPr>
          <w:ilvl w:val="0"/>
          <w:numId w:val="30"/>
        </w:numPr>
        <w:spacing w:after="120" w:line="276" w:lineRule="auto"/>
        <w:ind w:left="714" w:hanging="357"/>
        <w:rPr>
          <w:sz w:val="21"/>
          <w:szCs w:val="21"/>
        </w:rPr>
      </w:pPr>
      <w:r w:rsidRPr="002B147B">
        <w:rPr>
          <w:sz w:val="21"/>
          <w:szCs w:val="21"/>
        </w:rPr>
        <w:t>Resource allocation</w:t>
      </w:r>
      <w:r w:rsidR="00E34FC9" w:rsidRPr="002B147B">
        <w:rPr>
          <w:sz w:val="21"/>
          <w:szCs w:val="21"/>
        </w:rPr>
        <w:t xml:space="preserve">. The regulator determines how it will allocate its finite </w:t>
      </w:r>
      <w:r w:rsidR="000F0CBA" w:rsidRPr="002B147B">
        <w:rPr>
          <w:sz w:val="21"/>
          <w:szCs w:val="21"/>
        </w:rPr>
        <w:t xml:space="preserve">compliance and enforcement </w:t>
      </w:r>
      <w:r w:rsidR="00E34FC9" w:rsidRPr="002B147B">
        <w:rPr>
          <w:sz w:val="21"/>
          <w:szCs w:val="21"/>
        </w:rPr>
        <w:t xml:space="preserve">resources </w:t>
      </w:r>
      <w:r w:rsidR="000F0CBA" w:rsidRPr="002B147B">
        <w:rPr>
          <w:sz w:val="21"/>
          <w:szCs w:val="21"/>
        </w:rPr>
        <w:t xml:space="preserve">given </w:t>
      </w:r>
      <w:r w:rsidR="00E34FC9" w:rsidRPr="002B147B">
        <w:rPr>
          <w:sz w:val="21"/>
          <w:szCs w:val="21"/>
        </w:rPr>
        <w:t>the</w:t>
      </w:r>
      <w:r w:rsidR="000F0CBA" w:rsidRPr="002B147B">
        <w:rPr>
          <w:sz w:val="21"/>
          <w:szCs w:val="21"/>
        </w:rPr>
        <w:t xml:space="preserve"> assessments it has undertaken.</w:t>
      </w:r>
    </w:p>
    <w:p w14:paraId="710A5DEC" w14:textId="77777777" w:rsidR="00E864F6" w:rsidRPr="002B147B" w:rsidRDefault="00AB6F01" w:rsidP="001019BA">
      <w:pPr>
        <w:pStyle w:val="FootnoteText"/>
        <w:numPr>
          <w:ilvl w:val="0"/>
          <w:numId w:val="30"/>
        </w:numPr>
        <w:spacing w:after="120" w:line="276" w:lineRule="auto"/>
        <w:ind w:left="714" w:hanging="357"/>
        <w:rPr>
          <w:sz w:val="21"/>
          <w:szCs w:val="21"/>
        </w:rPr>
      </w:pPr>
      <w:r w:rsidRPr="56C73059">
        <w:rPr>
          <w:sz w:val="21"/>
          <w:szCs w:val="21"/>
        </w:rPr>
        <w:t>Evaluation</w:t>
      </w:r>
      <w:r w:rsidR="000F0CBA" w:rsidRPr="56C73059">
        <w:rPr>
          <w:sz w:val="21"/>
          <w:szCs w:val="21"/>
        </w:rPr>
        <w:t xml:space="preserve">. The regulator determines whether it has been successful </w:t>
      </w:r>
      <w:r w:rsidR="00B130E4" w:rsidRPr="56C73059">
        <w:rPr>
          <w:sz w:val="21"/>
          <w:szCs w:val="21"/>
        </w:rPr>
        <w:t xml:space="preserve">or otherwise </w:t>
      </w:r>
      <w:r w:rsidR="000F0CBA" w:rsidRPr="56C73059">
        <w:rPr>
          <w:sz w:val="21"/>
          <w:szCs w:val="21"/>
        </w:rPr>
        <w:t>in reducing risk</w:t>
      </w:r>
      <w:r w:rsidR="00B130E4" w:rsidRPr="56C73059">
        <w:rPr>
          <w:sz w:val="21"/>
          <w:szCs w:val="21"/>
        </w:rPr>
        <w:t xml:space="preserve"> and </w:t>
      </w:r>
      <w:r w:rsidR="000F0CBA" w:rsidRPr="56C73059">
        <w:rPr>
          <w:sz w:val="21"/>
          <w:szCs w:val="21"/>
        </w:rPr>
        <w:t>adjust</w:t>
      </w:r>
      <w:r w:rsidR="00B130E4" w:rsidRPr="56C73059">
        <w:rPr>
          <w:sz w:val="21"/>
          <w:szCs w:val="21"/>
        </w:rPr>
        <w:t xml:space="preserve">s </w:t>
      </w:r>
      <w:r w:rsidR="000F0CBA" w:rsidRPr="56C73059">
        <w:rPr>
          <w:sz w:val="21"/>
          <w:szCs w:val="21"/>
        </w:rPr>
        <w:t xml:space="preserve">its </w:t>
      </w:r>
      <w:r w:rsidR="00B130E4" w:rsidRPr="56C73059">
        <w:rPr>
          <w:sz w:val="21"/>
          <w:szCs w:val="21"/>
        </w:rPr>
        <w:t>resource allocation a</w:t>
      </w:r>
      <w:r w:rsidR="00B11E94" w:rsidRPr="56C73059">
        <w:rPr>
          <w:sz w:val="21"/>
          <w:szCs w:val="21"/>
        </w:rPr>
        <w:t>ccordingly</w:t>
      </w:r>
      <w:r w:rsidR="007E01C9" w:rsidRPr="56C73059">
        <w:rPr>
          <w:sz w:val="21"/>
          <w:szCs w:val="21"/>
        </w:rPr>
        <w:t xml:space="preserve"> after </w:t>
      </w:r>
      <w:r w:rsidR="0003309F" w:rsidRPr="56C73059">
        <w:rPr>
          <w:sz w:val="21"/>
          <w:szCs w:val="21"/>
        </w:rPr>
        <w:t xml:space="preserve">again completing the analyses required </w:t>
      </w:r>
      <w:r w:rsidR="007E01C9" w:rsidRPr="56C73059">
        <w:rPr>
          <w:sz w:val="21"/>
          <w:szCs w:val="21"/>
        </w:rPr>
        <w:t>in stages 1-4</w:t>
      </w:r>
      <w:r w:rsidR="00B11E94" w:rsidRPr="56C73059">
        <w:rPr>
          <w:sz w:val="21"/>
          <w:szCs w:val="21"/>
        </w:rPr>
        <w:t xml:space="preserve">. </w:t>
      </w:r>
    </w:p>
    <w:p w14:paraId="35C21182" w14:textId="6A0718C9" w:rsidR="000956C4" w:rsidRDefault="000956C4" w:rsidP="000956C4">
      <w:pPr>
        <w:rPr>
          <w:rFonts w:asciiTheme="majorHAnsi" w:eastAsiaTheme="majorEastAsia" w:hAnsiTheme="majorHAnsi" w:cstheme="majorBidi"/>
          <w:color w:val="0F4BEB"/>
          <w:sz w:val="32"/>
          <w:szCs w:val="32"/>
        </w:rPr>
      </w:pPr>
      <w:r>
        <w:br/>
      </w:r>
      <w:r w:rsidR="00B130E4" w:rsidRPr="005623A6">
        <w:t>Risk-based regulation has been defined in multiple ways;</w:t>
      </w:r>
      <w:r w:rsidR="00B130E4" w:rsidRPr="005623A6">
        <w:rPr>
          <w:rStyle w:val="FootnoteReference"/>
        </w:rPr>
        <w:footnoteReference w:id="63"/>
      </w:r>
      <w:r w:rsidR="00B130E4" w:rsidRPr="005623A6">
        <w:t xml:space="preserve"> however, in this report, we define </w:t>
      </w:r>
      <w:r w:rsidR="00B130E4" w:rsidRPr="005623A6">
        <w:lastRenderedPageBreak/>
        <w:t>risk-based regulation as ‘the targeting of enforcement resources on the basis of assessments of the risks that a regulated person or firm poses to the regulator’s objectives.’</w:t>
      </w:r>
      <w:bookmarkStart w:id="50" w:name="_Ref138435642"/>
      <w:r w:rsidR="00B130E4" w:rsidRPr="005623A6">
        <w:rPr>
          <w:rStyle w:val="FootnoteReference"/>
        </w:rPr>
        <w:footnoteReference w:id="64"/>
      </w:r>
      <w:bookmarkEnd w:id="50"/>
      <w:r w:rsidR="00B130E4" w:rsidRPr="005623A6">
        <w:t xml:space="preserve"> </w:t>
      </w:r>
      <w:r>
        <w:t xml:space="preserve">In </w:t>
      </w:r>
      <w:r w:rsidR="00581991">
        <w:t>Chapter</w:t>
      </w:r>
      <w:r>
        <w:t xml:space="preserve"> 3, we explain how risk-based regulation has been embedded in </w:t>
      </w:r>
      <w:r w:rsidR="00D11F2F">
        <w:t>the ACMA</w:t>
      </w:r>
      <w:r>
        <w:t>’s compliance and enforcement policies.</w:t>
      </w:r>
      <w:bookmarkStart w:id="51" w:name="_Toc139024382"/>
      <w:bookmarkStart w:id="52" w:name="_Toc139024705"/>
      <w:bookmarkStart w:id="53" w:name="_Toc139031348"/>
      <w:r>
        <w:br w:type="page"/>
      </w:r>
    </w:p>
    <w:p w14:paraId="71267BEB" w14:textId="09A0A1AA" w:rsidR="00AB115D" w:rsidRPr="005623A6" w:rsidRDefault="008D5757" w:rsidP="00983162">
      <w:pPr>
        <w:pStyle w:val="Heading1"/>
      </w:pPr>
      <w:bookmarkStart w:id="54" w:name="_Toc146201025"/>
      <w:bookmarkStart w:id="55" w:name="_Toc161836153"/>
      <w:r w:rsidRPr="005623A6">
        <w:lastRenderedPageBreak/>
        <w:t>2</w:t>
      </w:r>
      <w:r w:rsidR="00744F65" w:rsidRPr="005623A6">
        <w:tab/>
      </w:r>
      <w:r w:rsidR="0099239E" w:rsidRPr="005623A6">
        <w:t>Enforcement Mechanisms</w:t>
      </w:r>
      <w:bookmarkEnd w:id="51"/>
      <w:bookmarkEnd w:id="52"/>
      <w:bookmarkEnd w:id="53"/>
      <w:bookmarkEnd w:id="54"/>
      <w:bookmarkEnd w:id="55"/>
    </w:p>
    <w:p w14:paraId="6C6CE273" w14:textId="77777777" w:rsidR="0023383B" w:rsidRPr="005623A6" w:rsidRDefault="0023383B" w:rsidP="0023383B"/>
    <w:p w14:paraId="28384E30" w14:textId="0E95C32D" w:rsidR="00D44C71" w:rsidRPr="005623A6" w:rsidRDefault="00EC55BC" w:rsidP="00B76236">
      <w:r w:rsidRPr="005623A6">
        <w:t>Below</w:t>
      </w:r>
      <w:r w:rsidR="009F2BC4" w:rsidRPr="005623A6">
        <w:t xml:space="preserve"> we explain</w:t>
      </w:r>
      <w:r w:rsidRPr="005623A6">
        <w:t xml:space="preserve"> the </w:t>
      </w:r>
      <w:r w:rsidR="009F2BC4" w:rsidRPr="005623A6">
        <w:t xml:space="preserve">differences </w:t>
      </w:r>
      <w:r w:rsidRPr="005623A6">
        <w:t>between administrative, civil and criminal sanctions</w:t>
      </w:r>
      <w:r w:rsidR="009F2BC4" w:rsidRPr="005623A6">
        <w:t>. Next</w:t>
      </w:r>
      <w:r w:rsidR="003D37B7" w:rsidRPr="005623A6">
        <w:t>,</w:t>
      </w:r>
      <w:r w:rsidR="009F2BC4" w:rsidRPr="005623A6">
        <w:t xml:space="preserve"> we </w:t>
      </w:r>
      <w:r w:rsidR="005378AD" w:rsidRPr="005623A6">
        <w:t xml:space="preserve">briefly explain </w:t>
      </w:r>
      <w:r w:rsidR="00877BF2" w:rsidRPr="005623A6">
        <w:t xml:space="preserve">and categorise </w:t>
      </w:r>
      <w:r w:rsidR="00045E3A" w:rsidRPr="005623A6">
        <w:t xml:space="preserve">the </w:t>
      </w:r>
      <w:r w:rsidR="00980420">
        <w:t xml:space="preserve">seven </w:t>
      </w:r>
      <w:r w:rsidR="004219CE" w:rsidRPr="005623A6">
        <w:t xml:space="preserve">discretionary </w:t>
      </w:r>
      <w:r w:rsidR="00045E3A" w:rsidRPr="005623A6">
        <w:t>mechanisms</w:t>
      </w:r>
      <w:r w:rsidR="00CD2936" w:rsidRPr="005623A6">
        <w:t xml:space="preserve"> </w:t>
      </w:r>
      <w:r w:rsidR="00D11F2F">
        <w:t>the ACMA</w:t>
      </w:r>
      <w:r w:rsidR="00E12626" w:rsidRPr="005623A6">
        <w:t xml:space="preserve"> may use</w:t>
      </w:r>
      <w:r w:rsidR="004E1283" w:rsidRPr="005623A6">
        <w:t xml:space="preserve"> to enforce the </w:t>
      </w:r>
      <w:r w:rsidR="00D56533" w:rsidRPr="005623A6">
        <w:t xml:space="preserve">relevant </w:t>
      </w:r>
      <w:r w:rsidR="00AA7AED">
        <w:t>Tel Act</w:t>
      </w:r>
      <w:r w:rsidR="000956C4">
        <w:t xml:space="preserve"> </w:t>
      </w:r>
      <w:r w:rsidR="008521EB" w:rsidRPr="005623A6">
        <w:t>and TCPSS Act provisions</w:t>
      </w:r>
      <w:r w:rsidR="00045E3A" w:rsidRPr="005623A6">
        <w:t xml:space="preserve">. </w:t>
      </w:r>
      <w:r w:rsidR="009433B3" w:rsidRPr="005623A6">
        <w:t xml:space="preserve">We </w:t>
      </w:r>
      <w:r w:rsidR="007B53DC" w:rsidRPr="005623A6">
        <w:t xml:space="preserve">also </w:t>
      </w:r>
      <w:r w:rsidR="009433B3" w:rsidRPr="005623A6">
        <w:t xml:space="preserve">set out the mechanisms in </w:t>
      </w:r>
      <w:r w:rsidR="00176B34" w:rsidRPr="005623A6">
        <w:t xml:space="preserve">their </w:t>
      </w:r>
      <w:r w:rsidR="00E55D5F" w:rsidRPr="005623A6">
        <w:t xml:space="preserve">order </w:t>
      </w:r>
      <w:r w:rsidR="00C94F8F" w:rsidRPr="005623A6">
        <w:t>of severity</w:t>
      </w:r>
      <w:r w:rsidR="00B34A3B" w:rsidRPr="005623A6">
        <w:t xml:space="preserve"> (ie, we </w:t>
      </w:r>
      <w:r w:rsidR="00916965" w:rsidRPr="005623A6">
        <w:t xml:space="preserve">begin with </w:t>
      </w:r>
      <w:r w:rsidR="00E12626" w:rsidRPr="005623A6">
        <w:t xml:space="preserve">the </w:t>
      </w:r>
      <w:r w:rsidR="003507B0" w:rsidRPr="005623A6">
        <w:t xml:space="preserve">least </w:t>
      </w:r>
      <w:r w:rsidR="008A6555" w:rsidRPr="005623A6">
        <w:t xml:space="preserve">severe </w:t>
      </w:r>
      <w:r w:rsidR="007D5DF9" w:rsidRPr="005623A6">
        <w:t>mechanism</w:t>
      </w:r>
      <w:r w:rsidR="003C3336" w:rsidRPr="005623A6">
        <w:t>, gradually moving to the mo</w:t>
      </w:r>
      <w:r w:rsidR="009B28C8" w:rsidRPr="005623A6">
        <w:t>re</w:t>
      </w:r>
      <w:r w:rsidR="003C3336" w:rsidRPr="005623A6">
        <w:t xml:space="preserve"> severe</w:t>
      </w:r>
      <w:r w:rsidR="0010517F" w:rsidRPr="005623A6">
        <w:t xml:space="preserve">). </w:t>
      </w:r>
      <w:r w:rsidR="007B53DC" w:rsidRPr="005623A6">
        <w:t xml:space="preserve">In addition, we explain </w:t>
      </w:r>
      <w:r w:rsidR="004F63BA" w:rsidRPr="005623A6">
        <w:t xml:space="preserve">an </w:t>
      </w:r>
      <w:r w:rsidR="007B53DC" w:rsidRPr="005623A6">
        <w:t xml:space="preserve">enforceable undertaking </w:t>
      </w:r>
      <w:r w:rsidR="008D161D" w:rsidRPr="005623A6">
        <w:t xml:space="preserve">– a mechanism </w:t>
      </w:r>
      <w:r w:rsidR="003C4342" w:rsidRPr="005623A6">
        <w:t xml:space="preserve">which does not fall neatly into the </w:t>
      </w:r>
      <w:r w:rsidR="00AC2E5D" w:rsidRPr="005623A6">
        <w:t>administrative</w:t>
      </w:r>
      <w:r w:rsidR="00BF4F6F" w:rsidRPr="005623A6">
        <w:t xml:space="preserve">, </w:t>
      </w:r>
      <w:r w:rsidR="002E6CD0" w:rsidRPr="005623A6">
        <w:t>civi</w:t>
      </w:r>
      <w:r w:rsidR="003016BE" w:rsidRPr="005623A6">
        <w:t>l</w:t>
      </w:r>
      <w:r w:rsidR="00BF4F6F" w:rsidRPr="005623A6">
        <w:t>,</w:t>
      </w:r>
      <w:r w:rsidR="003016BE" w:rsidRPr="005623A6">
        <w:t xml:space="preserve"> </w:t>
      </w:r>
      <w:r w:rsidR="00BF4F6F" w:rsidRPr="005623A6">
        <w:t xml:space="preserve">or criminal </w:t>
      </w:r>
      <w:r w:rsidR="001E0581" w:rsidRPr="005623A6">
        <w:t xml:space="preserve">sanction </w:t>
      </w:r>
      <w:r w:rsidR="00562459" w:rsidRPr="005623A6">
        <w:t>categor</w:t>
      </w:r>
      <w:r w:rsidR="00891A1E" w:rsidRPr="005623A6">
        <w:t>ies</w:t>
      </w:r>
      <w:r w:rsidR="00562459" w:rsidRPr="005623A6">
        <w:t xml:space="preserve"> but </w:t>
      </w:r>
      <w:r w:rsidR="00D70F99" w:rsidRPr="005623A6">
        <w:t xml:space="preserve">is </w:t>
      </w:r>
      <w:r w:rsidR="00683606" w:rsidRPr="005623A6">
        <w:t xml:space="preserve">nevertheless </w:t>
      </w:r>
      <w:r w:rsidR="00D70F99" w:rsidRPr="005623A6">
        <w:t xml:space="preserve">an important tool </w:t>
      </w:r>
      <w:r w:rsidR="00F30901" w:rsidRPr="005623A6">
        <w:t xml:space="preserve">used by </w:t>
      </w:r>
      <w:r w:rsidR="00D11F2F">
        <w:t>the ACMA</w:t>
      </w:r>
      <w:r w:rsidR="00F30901" w:rsidRPr="005623A6">
        <w:t xml:space="preserve"> </w:t>
      </w:r>
      <w:r w:rsidR="00683606" w:rsidRPr="005623A6">
        <w:t xml:space="preserve">for securing compliance. </w:t>
      </w:r>
      <w:r w:rsidR="0010517F" w:rsidRPr="005623A6">
        <w:t xml:space="preserve">We </w:t>
      </w:r>
      <w:r w:rsidR="003D499C" w:rsidRPr="005623A6">
        <w:t xml:space="preserve">then </w:t>
      </w:r>
      <w:r w:rsidR="006A52C7" w:rsidRPr="005623A6">
        <w:t>summar</w:t>
      </w:r>
      <w:r w:rsidR="003D499C" w:rsidRPr="005623A6">
        <w:t>ise</w:t>
      </w:r>
      <w:r w:rsidR="006A52C7" w:rsidRPr="005623A6">
        <w:t xml:space="preserve"> </w:t>
      </w:r>
      <w:r w:rsidR="00066F01" w:rsidRPr="005623A6">
        <w:t xml:space="preserve">when the seven </w:t>
      </w:r>
      <w:r w:rsidR="008D5C83" w:rsidRPr="005623A6">
        <w:t>mechanisms</w:t>
      </w:r>
      <w:r w:rsidR="008E5031" w:rsidRPr="005623A6">
        <w:t xml:space="preserve"> </w:t>
      </w:r>
      <w:r w:rsidR="00066F01" w:rsidRPr="005623A6">
        <w:t xml:space="preserve">are </w:t>
      </w:r>
      <w:r w:rsidR="00C60AD0" w:rsidRPr="005623A6">
        <w:t xml:space="preserve">available to </w:t>
      </w:r>
      <w:r w:rsidR="00D11F2F">
        <w:t>the ACMA</w:t>
      </w:r>
      <w:r w:rsidR="00C60AD0" w:rsidRPr="005623A6">
        <w:t xml:space="preserve"> </w:t>
      </w:r>
      <w:r w:rsidR="008D5C83" w:rsidRPr="005623A6">
        <w:t xml:space="preserve">for </w:t>
      </w:r>
      <w:r w:rsidR="00BD3023" w:rsidRPr="005623A6">
        <w:t xml:space="preserve">breaches of </w:t>
      </w:r>
      <w:r w:rsidR="00290AB3" w:rsidRPr="005623A6">
        <w:t xml:space="preserve">industry codes, </w:t>
      </w:r>
      <w:r w:rsidR="00411C6D" w:rsidRPr="005623A6">
        <w:t xml:space="preserve">industry standards, </w:t>
      </w:r>
      <w:r w:rsidR="00D56533" w:rsidRPr="005623A6">
        <w:t xml:space="preserve">the </w:t>
      </w:r>
      <w:r w:rsidR="00C60542" w:rsidRPr="005623A6">
        <w:t xml:space="preserve">select </w:t>
      </w:r>
      <w:r w:rsidR="00411C6D" w:rsidRPr="005623A6">
        <w:t>service provider rules</w:t>
      </w:r>
      <w:r w:rsidR="00EC0828" w:rsidRPr="005623A6">
        <w:t xml:space="preserve">, </w:t>
      </w:r>
      <w:r w:rsidR="00411C6D" w:rsidRPr="005623A6">
        <w:t xml:space="preserve">and </w:t>
      </w:r>
      <w:r w:rsidR="00D56533" w:rsidRPr="005623A6">
        <w:t xml:space="preserve">the </w:t>
      </w:r>
      <w:r w:rsidR="00C60542" w:rsidRPr="005623A6">
        <w:t xml:space="preserve">select </w:t>
      </w:r>
      <w:r w:rsidR="005A1B63" w:rsidRPr="005623A6">
        <w:t xml:space="preserve">carrier licence </w:t>
      </w:r>
      <w:r w:rsidR="00571BAC" w:rsidRPr="005623A6">
        <w:t>conditions</w:t>
      </w:r>
      <w:r w:rsidR="008822B3" w:rsidRPr="005623A6">
        <w:t>.</w:t>
      </w:r>
      <w:r w:rsidR="00AE5618" w:rsidRPr="005623A6">
        <w:t xml:space="preserve"> </w:t>
      </w:r>
      <w:r w:rsidR="00AC0263" w:rsidRPr="005623A6">
        <w:t xml:space="preserve"> </w:t>
      </w:r>
    </w:p>
    <w:p w14:paraId="131C5D62" w14:textId="77777777" w:rsidR="008C2374" w:rsidRPr="005623A6" w:rsidRDefault="00744F65" w:rsidP="00515C60">
      <w:pPr>
        <w:pStyle w:val="Heading2"/>
      </w:pPr>
      <w:bookmarkStart w:id="56" w:name="_Toc139024383"/>
      <w:bookmarkStart w:id="57" w:name="_Toc139024706"/>
      <w:bookmarkStart w:id="58" w:name="_Toc139031349"/>
      <w:bookmarkStart w:id="59" w:name="_Toc146201026"/>
      <w:bookmarkStart w:id="60" w:name="_Toc161836154"/>
      <w:r w:rsidRPr="005623A6">
        <w:t>A</w:t>
      </w:r>
      <w:r w:rsidRPr="005623A6">
        <w:tab/>
      </w:r>
      <w:bookmarkStart w:id="61" w:name="CategorisingPenalties"/>
      <w:r w:rsidRPr="005623A6">
        <w:t>C</w:t>
      </w:r>
      <w:r w:rsidR="00FE6F9A" w:rsidRPr="005623A6">
        <w:t>ategori</w:t>
      </w:r>
      <w:r w:rsidR="00F716E2" w:rsidRPr="005623A6">
        <w:t xml:space="preserve">sing </w:t>
      </w:r>
      <w:r w:rsidR="00B575EC">
        <w:t>P</w:t>
      </w:r>
      <w:r w:rsidR="00263EEF" w:rsidRPr="005623A6">
        <w:t>enalties</w:t>
      </w:r>
      <w:bookmarkEnd w:id="56"/>
      <w:bookmarkEnd w:id="57"/>
      <w:bookmarkEnd w:id="58"/>
      <w:bookmarkEnd w:id="59"/>
      <w:bookmarkEnd w:id="60"/>
      <w:bookmarkEnd w:id="61"/>
    </w:p>
    <w:p w14:paraId="614E92DA" w14:textId="195E721C" w:rsidR="001271AE" w:rsidRDefault="006F47E1" w:rsidP="00F51D23">
      <w:r w:rsidRPr="005623A6">
        <w:t xml:space="preserve">Sanctions for non-compliance </w:t>
      </w:r>
      <w:r w:rsidR="00B62669" w:rsidRPr="005623A6">
        <w:t xml:space="preserve">have traditionally been </w:t>
      </w:r>
      <w:r w:rsidRPr="005623A6">
        <w:t xml:space="preserve">classified into three </w:t>
      </w:r>
      <w:r w:rsidR="00D9658E" w:rsidRPr="005623A6">
        <w:t xml:space="preserve">different </w:t>
      </w:r>
      <w:r w:rsidRPr="005623A6">
        <w:t>categories: administrative</w:t>
      </w:r>
      <w:r w:rsidR="00797A8D" w:rsidRPr="005623A6">
        <w:t xml:space="preserve"> sanctions</w:t>
      </w:r>
      <w:r w:rsidRPr="005623A6">
        <w:t>, civil</w:t>
      </w:r>
      <w:r w:rsidR="00797A8D" w:rsidRPr="005623A6">
        <w:t xml:space="preserve"> sanctions</w:t>
      </w:r>
      <w:r w:rsidRPr="005623A6">
        <w:t>, and criminal</w:t>
      </w:r>
      <w:r w:rsidR="00797A8D" w:rsidRPr="005623A6">
        <w:t xml:space="preserve"> sanctions</w:t>
      </w:r>
      <w:r w:rsidRPr="005623A6">
        <w:t>.</w:t>
      </w:r>
      <w:bookmarkStart w:id="62" w:name="_Ref161678312"/>
      <w:r w:rsidR="00E57E17" w:rsidRPr="005623A6">
        <w:rPr>
          <w:rStyle w:val="FootnoteReference"/>
        </w:rPr>
        <w:footnoteReference w:id="65"/>
      </w:r>
      <w:bookmarkEnd w:id="62"/>
      <w:r w:rsidRPr="005623A6">
        <w:t xml:space="preserve"> </w:t>
      </w:r>
      <w:r w:rsidR="001271AE">
        <w:t>These are represented in Figure 3.</w:t>
      </w:r>
    </w:p>
    <w:p w14:paraId="574C4B3A" w14:textId="24EECC9C" w:rsidR="001271AE" w:rsidRDefault="001271AE" w:rsidP="001271AE">
      <w:pPr>
        <w:jc w:val="center"/>
      </w:pPr>
      <w:r>
        <w:rPr>
          <w:noProof/>
          <w:lang w:eastAsia="en-AU"/>
        </w:rPr>
        <w:drawing>
          <wp:inline distT="0" distB="0" distL="0" distR="0" wp14:anchorId="782C3CA8" wp14:editId="541FFDE1">
            <wp:extent cx="2952000" cy="2898000"/>
            <wp:effectExtent l="0" t="0" r="1270" b="0"/>
            <wp:docPr id="2124662119" name="Picture 2124662119" descr="The pyramid has three tiers. The bottom and largest tier is blue and says &quot;Administrative.&quot; The second tier is yellow and says &quot;civil.&quot; The top tier is red and says &quot;criminal&quot;. " title="Figure 3: Penalty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62119" name="Picture 21246621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52000" cy="2898000"/>
                    </a:xfrm>
                    <a:prstGeom prst="rect">
                      <a:avLst/>
                    </a:prstGeom>
                  </pic:spPr>
                </pic:pic>
              </a:graphicData>
            </a:graphic>
          </wp:inline>
        </w:drawing>
      </w:r>
    </w:p>
    <w:p w14:paraId="42373931" w14:textId="1E649F85" w:rsidR="001B1BFE" w:rsidRPr="005623A6" w:rsidRDefault="006F47E1" w:rsidP="00F51D23">
      <w:r w:rsidRPr="12EC14AA">
        <w:rPr>
          <w:i/>
          <w:iCs/>
        </w:rPr>
        <w:t>Administrative sanctions</w:t>
      </w:r>
      <w:r w:rsidR="00EB1D72" w:rsidRPr="005623A6">
        <w:t xml:space="preserve"> </w:t>
      </w:r>
      <w:r w:rsidRPr="005623A6">
        <w:t>are sanctions ‘imposed by a regulatory authority or directly by the legislature without the intervention of a court or tribunal.’</w:t>
      </w:r>
      <w:r w:rsidRPr="005623A6">
        <w:rPr>
          <w:rStyle w:val="FootnoteReference"/>
        </w:rPr>
        <w:footnoteReference w:id="66"/>
      </w:r>
      <w:r w:rsidRPr="005623A6">
        <w:t xml:space="preserve"> </w:t>
      </w:r>
      <w:r w:rsidRPr="12EC14AA">
        <w:rPr>
          <w:i/>
          <w:iCs/>
        </w:rPr>
        <w:t>Civil sanctions</w:t>
      </w:r>
      <w:r w:rsidRPr="005623A6">
        <w:t xml:space="preserve"> </w:t>
      </w:r>
      <w:r w:rsidR="00C662F3" w:rsidRPr="005623A6">
        <w:t xml:space="preserve">are sanctions imposed by a court of law </w:t>
      </w:r>
      <w:r w:rsidR="00B529AC" w:rsidRPr="005623A6">
        <w:t xml:space="preserve">at the conclusion of civil </w:t>
      </w:r>
      <w:r w:rsidR="001B4483">
        <w:t>(</w:t>
      </w:r>
      <w:r w:rsidR="00B529AC" w:rsidRPr="005623A6">
        <w:t>ie, non-criminal</w:t>
      </w:r>
      <w:r w:rsidR="001B4483">
        <w:t>)</w:t>
      </w:r>
      <w:r w:rsidR="00B529AC" w:rsidRPr="005623A6">
        <w:t xml:space="preserve"> proceedings</w:t>
      </w:r>
      <w:r w:rsidR="00797002" w:rsidRPr="005623A6">
        <w:t>.</w:t>
      </w:r>
      <w:r w:rsidR="00797002" w:rsidRPr="005623A6">
        <w:rPr>
          <w:rStyle w:val="FootnoteReference"/>
        </w:rPr>
        <w:footnoteReference w:id="67"/>
      </w:r>
      <w:r w:rsidR="00797002" w:rsidRPr="005623A6">
        <w:t xml:space="preserve"> The civil proceedings</w:t>
      </w:r>
      <w:r w:rsidR="00B529AC" w:rsidRPr="005623A6">
        <w:t xml:space="preserve"> </w:t>
      </w:r>
      <w:r w:rsidR="00797002" w:rsidRPr="005623A6">
        <w:t xml:space="preserve">are </w:t>
      </w:r>
      <w:r w:rsidR="002769FE" w:rsidRPr="005623A6">
        <w:t>initiat</w:t>
      </w:r>
      <w:r w:rsidR="00797002" w:rsidRPr="005623A6">
        <w:t xml:space="preserve">ed by </w:t>
      </w:r>
      <w:r w:rsidR="001A47DE" w:rsidRPr="005623A6">
        <w:t xml:space="preserve">a person </w:t>
      </w:r>
      <w:r w:rsidRPr="005623A6">
        <w:t xml:space="preserve">against </w:t>
      </w:r>
      <w:r w:rsidR="005B1C64" w:rsidRPr="005623A6">
        <w:t>an</w:t>
      </w:r>
      <w:r w:rsidR="001A47DE" w:rsidRPr="005623A6">
        <w:t xml:space="preserve">other person </w:t>
      </w:r>
      <w:r w:rsidR="00A75DDD" w:rsidRPr="005623A6">
        <w:t xml:space="preserve">usually with the intention of </w:t>
      </w:r>
      <w:r w:rsidR="004D238E" w:rsidRPr="005623A6">
        <w:t xml:space="preserve">obtaining </w:t>
      </w:r>
      <w:r w:rsidR="004A5C1C" w:rsidRPr="005623A6">
        <w:t xml:space="preserve">damages (ie, </w:t>
      </w:r>
      <w:r w:rsidR="004D238E" w:rsidRPr="005623A6">
        <w:t>compensation</w:t>
      </w:r>
      <w:r w:rsidR="004A5C1C" w:rsidRPr="005623A6">
        <w:t>) as a result of harm</w:t>
      </w:r>
      <w:r w:rsidRPr="005623A6">
        <w:t>.</w:t>
      </w:r>
      <w:r w:rsidR="00FF3D06" w:rsidRPr="005623A6">
        <w:t xml:space="preserve"> </w:t>
      </w:r>
      <w:r w:rsidRPr="12EC14AA">
        <w:rPr>
          <w:i/>
          <w:iCs/>
        </w:rPr>
        <w:t>Criminal sanctions</w:t>
      </w:r>
      <w:r w:rsidR="00EE0CAA" w:rsidRPr="005623A6">
        <w:t xml:space="preserve"> </w:t>
      </w:r>
      <w:r w:rsidR="00E769BD" w:rsidRPr="005623A6">
        <w:t xml:space="preserve">are sanctions imposed by a court of law at the conclusion of criminal proceedings. </w:t>
      </w:r>
      <w:r w:rsidR="00426E11" w:rsidRPr="005623A6">
        <w:t>Their aim</w:t>
      </w:r>
      <w:r w:rsidR="0064603C">
        <w:t>s</w:t>
      </w:r>
      <w:r w:rsidR="00426E11" w:rsidRPr="005623A6">
        <w:t xml:space="preserve"> </w:t>
      </w:r>
      <w:r w:rsidR="0064603C">
        <w:t>are</w:t>
      </w:r>
      <w:r w:rsidR="00426E11" w:rsidRPr="005623A6">
        <w:t xml:space="preserve"> to punish </w:t>
      </w:r>
      <w:r w:rsidR="0064603C">
        <w:t xml:space="preserve">and rehabilitate </w:t>
      </w:r>
      <w:r w:rsidR="00426E11" w:rsidRPr="005623A6">
        <w:t>the wrongdoer</w:t>
      </w:r>
      <w:r w:rsidR="0064603C">
        <w:t xml:space="preserve"> and to deter and ‘denounce undesirable conduct and generally to protect society’</w:t>
      </w:r>
      <w:r w:rsidR="00426E11" w:rsidRPr="005623A6">
        <w:t>.</w:t>
      </w:r>
      <w:r w:rsidR="0064603C">
        <w:rPr>
          <w:rStyle w:val="FootnoteReference"/>
        </w:rPr>
        <w:footnoteReference w:id="68"/>
      </w:r>
    </w:p>
    <w:p w14:paraId="5B99D64E" w14:textId="77777777" w:rsidR="006E5759" w:rsidRPr="005623A6" w:rsidRDefault="001910D6" w:rsidP="00F51D23">
      <w:r w:rsidRPr="005623A6">
        <w:lastRenderedPageBreak/>
        <w:t xml:space="preserve">In this classification scheme, </w:t>
      </w:r>
      <w:r w:rsidR="00AA0B24" w:rsidRPr="005623A6">
        <w:t>a</w:t>
      </w:r>
      <w:r w:rsidR="00174DBE" w:rsidRPr="005623A6">
        <w:t xml:space="preserve">dministrative sanctions are </w:t>
      </w:r>
      <w:r w:rsidR="006B2DA5" w:rsidRPr="005623A6">
        <w:t xml:space="preserve">seen as </w:t>
      </w:r>
      <w:r w:rsidR="00C97981" w:rsidRPr="005623A6">
        <w:t xml:space="preserve">less severe than civil and </w:t>
      </w:r>
      <w:r w:rsidR="00AF23C2" w:rsidRPr="005623A6">
        <w:t xml:space="preserve">criminal </w:t>
      </w:r>
      <w:r w:rsidR="00C97981" w:rsidRPr="005623A6">
        <w:t xml:space="preserve">sanctions. Civil sanctions are </w:t>
      </w:r>
      <w:r w:rsidR="00131D8B" w:rsidRPr="005623A6">
        <w:t xml:space="preserve">seen as </w:t>
      </w:r>
      <w:r w:rsidR="00C97981" w:rsidRPr="005623A6">
        <w:t xml:space="preserve">more severe than </w:t>
      </w:r>
      <w:r w:rsidR="0063538D" w:rsidRPr="005623A6">
        <w:t xml:space="preserve">administrative </w:t>
      </w:r>
      <w:r w:rsidR="00C97981" w:rsidRPr="005623A6">
        <w:t>sanctions. Criminal</w:t>
      </w:r>
      <w:r w:rsidR="00AF23C2" w:rsidRPr="005623A6">
        <w:t xml:space="preserve"> sanctions are </w:t>
      </w:r>
      <w:r w:rsidR="00131D8B" w:rsidRPr="005623A6">
        <w:t xml:space="preserve">seen as </w:t>
      </w:r>
      <w:r w:rsidR="00AF23C2" w:rsidRPr="005623A6">
        <w:t>the most severe sanctions.</w:t>
      </w:r>
      <w:r w:rsidR="0058268E" w:rsidRPr="005623A6">
        <w:t xml:space="preserve"> </w:t>
      </w:r>
    </w:p>
    <w:p w14:paraId="37BF4F72" w14:textId="55F433CC" w:rsidR="00D51112" w:rsidRPr="005623A6" w:rsidRDefault="006E5759" w:rsidP="00F51D23">
      <w:r w:rsidRPr="005623A6">
        <w:t>A</w:t>
      </w:r>
      <w:r w:rsidR="0029126C" w:rsidRPr="005623A6">
        <w:t xml:space="preserve">s </w:t>
      </w:r>
      <w:r w:rsidR="005107F7" w:rsidRPr="005623A6">
        <w:t xml:space="preserve">Freiberg and others </w:t>
      </w:r>
      <w:r w:rsidR="00F76901" w:rsidRPr="005623A6">
        <w:t>have highlighted</w:t>
      </w:r>
      <w:r w:rsidR="00246E96" w:rsidRPr="005623A6">
        <w:t xml:space="preserve">, </w:t>
      </w:r>
      <w:r w:rsidR="00B63131" w:rsidRPr="005623A6">
        <w:t xml:space="preserve">it can often be difficult to </w:t>
      </w:r>
      <w:r w:rsidR="000D37F1" w:rsidRPr="005623A6">
        <w:t xml:space="preserve">reliably </w:t>
      </w:r>
      <w:r w:rsidR="00B63131" w:rsidRPr="005623A6">
        <w:t xml:space="preserve">classify the severity of penalties </w:t>
      </w:r>
      <w:r w:rsidR="00E62885" w:rsidRPr="005623A6">
        <w:t xml:space="preserve">using the </w:t>
      </w:r>
      <w:r w:rsidR="00152506" w:rsidRPr="005623A6">
        <w:t xml:space="preserve">administrative, civil and criminal </w:t>
      </w:r>
      <w:r w:rsidR="000D37F1" w:rsidRPr="005623A6">
        <w:t xml:space="preserve">sanction </w:t>
      </w:r>
      <w:r w:rsidR="001A1280" w:rsidRPr="005623A6">
        <w:t>‘continu</w:t>
      </w:r>
      <w:r w:rsidR="00DA707F" w:rsidRPr="005623A6">
        <w:t>um’</w:t>
      </w:r>
      <w:r w:rsidR="00F73A25" w:rsidRPr="005623A6">
        <w:t>. This is</w:t>
      </w:r>
      <w:r w:rsidR="0080141D" w:rsidRPr="005623A6">
        <w:t xml:space="preserve">, in part, </w:t>
      </w:r>
      <w:r w:rsidR="00341A09" w:rsidRPr="005623A6">
        <w:t xml:space="preserve">because </w:t>
      </w:r>
      <w:r w:rsidR="003F360D" w:rsidRPr="005623A6">
        <w:t xml:space="preserve">different </w:t>
      </w:r>
      <w:r w:rsidR="0080141D" w:rsidRPr="005623A6">
        <w:t xml:space="preserve">sanctions </w:t>
      </w:r>
      <w:r w:rsidR="000D37F1" w:rsidRPr="005623A6">
        <w:t xml:space="preserve">can </w:t>
      </w:r>
      <w:r w:rsidR="00427663" w:rsidRPr="005623A6">
        <w:t xml:space="preserve">be used to achieve </w:t>
      </w:r>
      <w:r w:rsidR="00341A09" w:rsidRPr="005623A6">
        <w:t xml:space="preserve">the same or </w:t>
      </w:r>
      <w:r w:rsidR="00427663" w:rsidRPr="005623A6">
        <w:t xml:space="preserve">similar </w:t>
      </w:r>
      <w:r w:rsidR="008D2754" w:rsidRPr="005623A6">
        <w:t>purposes</w:t>
      </w:r>
      <w:r w:rsidR="00427663" w:rsidRPr="005623A6">
        <w:t xml:space="preserve"> – purposes such as </w:t>
      </w:r>
      <w:r w:rsidR="00B81A3C" w:rsidRPr="005623A6">
        <w:t xml:space="preserve">punishment, </w:t>
      </w:r>
      <w:r w:rsidR="00E2575B" w:rsidRPr="005623A6">
        <w:t>condemnation</w:t>
      </w:r>
      <w:r w:rsidR="00A55751" w:rsidRPr="005623A6">
        <w:t>,</w:t>
      </w:r>
      <w:r w:rsidR="00F41AAF" w:rsidRPr="005623A6">
        <w:t xml:space="preserve"> </w:t>
      </w:r>
      <w:r w:rsidR="00287976" w:rsidRPr="005623A6">
        <w:t>deterrence,</w:t>
      </w:r>
      <w:r w:rsidR="00467C40" w:rsidRPr="005623A6">
        <w:t xml:space="preserve"> </w:t>
      </w:r>
      <w:r w:rsidR="00A55751" w:rsidRPr="005623A6">
        <w:t xml:space="preserve">and </w:t>
      </w:r>
      <w:r w:rsidR="00467C40" w:rsidRPr="005623A6">
        <w:t>retribution</w:t>
      </w:r>
      <w:r w:rsidR="00A55751" w:rsidRPr="005623A6">
        <w:t>.</w:t>
      </w:r>
      <w:r w:rsidR="008D2754" w:rsidRPr="005623A6">
        <w:t xml:space="preserve"> </w:t>
      </w:r>
      <w:r w:rsidR="006805E6" w:rsidRPr="005623A6">
        <w:t>Nevertheless, in this report,</w:t>
      </w:r>
      <w:r w:rsidR="006E2C41" w:rsidRPr="005623A6">
        <w:t xml:space="preserve"> we adopt and apply the</w:t>
      </w:r>
      <w:r w:rsidR="004F1C13" w:rsidRPr="005623A6">
        <w:t xml:space="preserve"> continuum</w:t>
      </w:r>
      <w:r w:rsidR="00186DAF">
        <w:t xml:space="preserve"> for two reasons</w:t>
      </w:r>
      <w:r w:rsidR="007B7AD6">
        <w:t xml:space="preserve">. </w:t>
      </w:r>
      <w:r w:rsidR="00186DAF">
        <w:t xml:space="preserve">First, the continuum </w:t>
      </w:r>
      <w:r w:rsidR="00186DAF" w:rsidRPr="005623A6">
        <w:t xml:space="preserve">provides a way to categorise and illustrate the severity of the sanctions </w:t>
      </w:r>
      <w:r w:rsidR="00D11F2F">
        <w:t>the ACMA</w:t>
      </w:r>
      <w:r w:rsidR="00186DAF" w:rsidRPr="005623A6">
        <w:t xml:space="preserve"> may use to enforce the </w:t>
      </w:r>
      <w:r w:rsidR="00AA7AED">
        <w:t>Tel Act</w:t>
      </w:r>
      <w:r w:rsidR="00186DAF" w:rsidRPr="005623A6">
        <w:t xml:space="preserve"> and TCPSS Act. </w:t>
      </w:r>
      <w:r w:rsidR="00186DAF">
        <w:t>Second</w:t>
      </w:r>
      <w:r w:rsidR="00A66D57" w:rsidRPr="005623A6">
        <w:t xml:space="preserve"> </w:t>
      </w:r>
      <w:r w:rsidR="00D11F2F">
        <w:t>the ACMA</w:t>
      </w:r>
      <w:r w:rsidR="004455FA" w:rsidRPr="005623A6">
        <w:t xml:space="preserve"> adopts </w:t>
      </w:r>
      <w:r w:rsidR="0038471B">
        <w:t xml:space="preserve">a similar </w:t>
      </w:r>
      <w:r w:rsidR="00186DAF">
        <w:t xml:space="preserve">continuum </w:t>
      </w:r>
      <w:r w:rsidR="004455FA" w:rsidRPr="005623A6">
        <w:t xml:space="preserve">in its </w:t>
      </w:r>
      <w:r w:rsidR="00301BB2" w:rsidRPr="005623A6">
        <w:t>compliance and enforcement policy documentation</w:t>
      </w:r>
      <w:r w:rsidR="004E66B4" w:rsidRPr="005623A6">
        <w:t>,</w:t>
      </w:r>
      <w:bookmarkStart w:id="63" w:name="_Ref137556912"/>
      <w:r w:rsidR="00FE08F7" w:rsidRPr="005623A6">
        <w:rPr>
          <w:rStyle w:val="FootnoteReference"/>
        </w:rPr>
        <w:footnoteReference w:id="69"/>
      </w:r>
      <w:bookmarkEnd w:id="63"/>
      <w:r w:rsidR="00430262">
        <w:t xml:space="preserve"> even </w:t>
      </w:r>
      <w:r w:rsidR="00186DAF">
        <w:t xml:space="preserve">though </w:t>
      </w:r>
      <w:r w:rsidR="00430262">
        <w:t>it</w:t>
      </w:r>
      <w:r w:rsidR="007B7AD6">
        <w:t xml:space="preserve"> disagrees with Freiberg’s conclusion that an enforceable undertaking </w:t>
      </w:r>
      <w:r w:rsidR="00186DAF">
        <w:t xml:space="preserve">is not an administrative sanction as we explain in section </w:t>
      </w:r>
      <w:r w:rsidR="00A45E9A">
        <w:t>B</w:t>
      </w:r>
      <w:r w:rsidR="00186DAF">
        <w:t xml:space="preserve">(3) </w:t>
      </w:r>
      <w:r w:rsidR="008F627B">
        <w:t xml:space="preserve">of Chapter 2 </w:t>
      </w:r>
      <w:r w:rsidR="00186DAF">
        <w:t>below.</w:t>
      </w:r>
      <w:r w:rsidR="0070221A" w:rsidRPr="005623A6">
        <w:t xml:space="preserve"> </w:t>
      </w:r>
    </w:p>
    <w:p w14:paraId="41578B7A" w14:textId="127E7BC2" w:rsidR="001D33E9" w:rsidRPr="001D33E9" w:rsidRDefault="001D33E9">
      <w:pPr>
        <w:jc w:val="center"/>
      </w:pPr>
    </w:p>
    <w:p w14:paraId="364E3026" w14:textId="79F46DE8" w:rsidR="00263EEF" w:rsidRPr="005623A6" w:rsidRDefault="00744F65" w:rsidP="00E22B33">
      <w:pPr>
        <w:pStyle w:val="Heading2"/>
      </w:pPr>
      <w:bookmarkStart w:id="64" w:name="_Toc139024384"/>
      <w:bookmarkStart w:id="65" w:name="_Toc139024707"/>
      <w:bookmarkStart w:id="66" w:name="_Toc139031350"/>
      <w:bookmarkStart w:id="67" w:name="_Toc146201027"/>
      <w:bookmarkStart w:id="68" w:name="_Toc161836155"/>
      <w:r w:rsidRPr="005623A6">
        <w:t>B</w:t>
      </w:r>
      <w:r w:rsidRPr="005623A6">
        <w:tab/>
      </w:r>
      <w:bookmarkStart w:id="69" w:name="ACMAsEnforcementMechanisms"/>
      <w:r w:rsidR="00485ECE">
        <w:t>T</w:t>
      </w:r>
      <w:r w:rsidR="00D11F2F">
        <w:t>he ACMA</w:t>
      </w:r>
      <w:r w:rsidR="00263EEF" w:rsidRPr="005623A6">
        <w:t>’s Enforcement Mechanisms</w:t>
      </w:r>
      <w:bookmarkEnd w:id="64"/>
      <w:bookmarkEnd w:id="65"/>
      <w:bookmarkEnd w:id="66"/>
      <w:bookmarkEnd w:id="67"/>
      <w:bookmarkEnd w:id="68"/>
    </w:p>
    <w:p w14:paraId="7099F13A" w14:textId="77777777" w:rsidR="007C72BC" w:rsidRPr="005623A6" w:rsidRDefault="00744F65" w:rsidP="007C72BC">
      <w:pPr>
        <w:pStyle w:val="Heading3"/>
      </w:pPr>
      <w:bookmarkStart w:id="70" w:name="_Toc139024385"/>
      <w:bookmarkStart w:id="71" w:name="_Toc139024708"/>
      <w:bookmarkStart w:id="72" w:name="_Toc139031351"/>
      <w:bookmarkStart w:id="73" w:name="_Toc146201028"/>
      <w:bookmarkStart w:id="74" w:name="_Toc161836156"/>
      <w:bookmarkEnd w:id="69"/>
      <w:r w:rsidRPr="005623A6">
        <w:t>1</w:t>
      </w:r>
      <w:r w:rsidR="007C72BC" w:rsidRPr="005623A6">
        <w:tab/>
      </w:r>
      <w:r w:rsidR="00773940" w:rsidRPr="005623A6">
        <w:t xml:space="preserve">Administrative </w:t>
      </w:r>
      <w:r w:rsidR="00B575EC">
        <w:t>M</w:t>
      </w:r>
      <w:r w:rsidR="00773940" w:rsidRPr="005623A6">
        <w:t>echanisms</w:t>
      </w:r>
      <w:bookmarkEnd w:id="70"/>
      <w:bookmarkEnd w:id="71"/>
      <w:bookmarkEnd w:id="72"/>
      <w:bookmarkEnd w:id="73"/>
      <w:bookmarkEnd w:id="74"/>
    </w:p>
    <w:p w14:paraId="5CC82C97" w14:textId="6263EA44" w:rsidR="00B00512" w:rsidRPr="005623A6" w:rsidRDefault="00B00512" w:rsidP="006653E6">
      <w:r w:rsidRPr="005623A6">
        <w:t xml:space="preserve">The </w:t>
      </w:r>
      <w:r w:rsidR="00AA7AED">
        <w:t>Tel Act</w:t>
      </w:r>
      <w:r w:rsidR="00871237">
        <w:t xml:space="preserve"> </w:t>
      </w:r>
      <w:r w:rsidRPr="005623A6">
        <w:t xml:space="preserve">and TCPSS Act provide </w:t>
      </w:r>
      <w:r w:rsidR="00D11F2F">
        <w:t>the ACMA</w:t>
      </w:r>
      <w:r w:rsidRPr="005623A6">
        <w:t xml:space="preserve"> with </w:t>
      </w:r>
      <w:r w:rsidR="00B50C32" w:rsidRPr="005623A6">
        <w:t xml:space="preserve">up to </w:t>
      </w:r>
      <w:r w:rsidRPr="005623A6">
        <w:t xml:space="preserve">four administrative mechanisms to enforce the </w:t>
      </w:r>
      <w:r w:rsidR="00180610" w:rsidRPr="005623A6">
        <w:t xml:space="preserve">different </w:t>
      </w:r>
      <w:r w:rsidR="00621BD8" w:rsidRPr="005623A6">
        <w:t>provisions of interest</w:t>
      </w:r>
      <w:r w:rsidRPr="005623A6">
        <w:t>: formal warnings, directions</w:t>
      </w:r>
      <w:r w:rsidR="00956435">
        <w:t xml:space="preserve"> to comply</w:t>
      </w:r>
      <w:r w:rsidRPr="005623A6">
        <w:t>, infringement notices</w:t>
      </w:r>
      <w:r w:rsidR="00974223" w:rsidRPr="005623A6">
        <w:t>,</w:t>
      </w:r>
      <w:r w:rsidRPr="005623A6">
        <w:t xml:space="preserve"> and remedial directions.</w:t>
      </w:r>
      <w:r w:rsidR="00EE6A93" w:rsidRPr="005623A6">
        <w:t xml:space="preserve"> </w:t>
      </w:r>
      <w:r w:rsidR="001271AE">
        <w:t>These are represented in Figure 4.</w:t>
      </w:r>
    </w:p>
    <w:p w14:paraId="6A8BA939" w14:textId="77777777" w:rsidR="001271AE" w:rsidRDefault="001271AE" w:rsidP="001271AE">
      <w:pPr>
        <w:jc w:val="center"/>
      </w:pPr>
      <w:r>
        <w:rPr>
          <w:noProof/>
          <w:lang w:eastAsia="en-AU"/>
        </w:rPr>
        <w:drawing>
          <wp:inline distT="0" distB="0" distL="0" distR="0" wp14:anchorId="0B6C8B4B" wp14:editId="5E287890">
            <wp:extent cx="4500385" cy="3143250"/>
            <wp:effectExtent l="0" t="0" r="0" b="0"/>
            <wp:docPr id="1731744670" name="Picture 1731744670" descr="Figure 4: ACMA Administrative Penalties &#10;&#10;A pyramid with three tiers. The largest and bottom tier is blue and says &quot;Administrative.&quot;  There are four blue ribbons protruding out of this tier. Each ribbon lists an Administrative enforcement action. These are Remedial directions, infringement notices, directions and formal warnings. The second tier is yellow and says &quot;Civil.&quot; The top tier is red and says &quot;crimin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744670" name="Picture 1731744670" descr="Figure 4: ACMA Administrative Penalties &#10;&#10;A pyramid with three tiers. The largest and bottom tier is blue and says &quot;Administrative.&quot;  There are four blue ribbons protruding out of this tier. Each ribbon lists an Administrative enforcement action. These are Remedial directions, infringement notices, directions and formal warnings. The second tier is yellow and says &quot;Civil.&quot; The top tier is red and says &quot;criminal.&quot; "/>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02657" cy="3144837"/>
                    </a:xfrm>
                    <a:prstGeom prst="rect">
                      <a:avLst/>
                    </a:prstGeom>
                  </pic:spPr>
                </pic:pic>
              </a:graphicData>
            </a:graphic>
          </wp:inline>
        </w:drawing>
      </w:r>
    </w:p>
    <w:p w14:paraId="066373B4" w14:textId="51A60E9E" w:rsidR="006653E6" w:rsidRPr="005623A6" w:rsidRDefault="00BB6073" w:rsidP="006653E6">
      <w:r w:rsidRPr="005623A6">
        <w:lastRenderedPageBreak/>
        <w:t xml:space="preserve">A </w:t>
      </w:r>
      <w:r w:rsidRPr="005623A6">
        <w:rPr>
          <w:b/>
          <w:bCs/>
        </w:rPr>
        <w:t>formal warning</w:t>
      </w:r>
      <w:r w:rsidRPr="005623A6">
        <w:t xml:space="preserve"> </w:t>
      </w:r>
      <w:r w:rsidR="006653E6" w:rsidRPr="005623A6">
        <w:t>is a written warning that puts the recipient on notice that they are in breach of a rule (eg, a registered industry code of practice,</w:t>
      </w:r>
      <w:r w:rsidR="006653E6" w:rsidRPr="005623A6">
        <w:rPr>
          <w:rStyle w:val="FootnoteReference"/>
        </w:rPr>
        <w:footnoteReference w:id="70"/>
      </w:r>
      <w:r w:rsidR="006653E6" w:rsidRPr="005623A6">
        <w:t xml:space="preserve"> an industry standard,</w:t>
      </w:r>
      <w:r w:rsidR="006653E6" w:rsidRPr="005623A6">
        <w:rPr>
          <w:rStyle w:val="FootnoteReference"/>
        </w:rPr>
        <w:footnoteReference w:id="71"/>
      </w:r>
      <w:r w:rsidR="006653E6" w:rsidRPr="005623A6">
        <w:t xml:space="preserve"> a service provider rule</w:t>
      </w:r>
      <w:r w:rsidR="002F2982" w:rsidRPr="005623A6">
        <w:t>,</w:t>
      </w:r>
      <w:r w:rsidR="006653E6" w:rsidRPr="005623A6">
        <w:rPr>
          <w:rStyle w:val="FootnoteReference"/>
        </w:rPr>
        <w:footnoteReference w:id="72"/>
      </w:r>
      <w:r w:rsidR="002F2982" w:rsidRPr="005623A6">
        <w:t xml:space="preserve"> a licence condition</w:t>
      </w:r>
      <w:r w:rsidR="002F2982" w:rsidRPr="005623A6">
        <w:rPr>
          <w:rStyle w:val="FootnoteReference"/>
        </w:rPr>
        <w:footnoteReference w:id="73"/>
      </w:r>
      <w:r w:rsidR="006653E6" w:rsidRPr="005623A6">
        <w:t xml:space="preserve">) and </w:t>
      </w:r>
      <w:r w:rsidR="00D11F2F">
        <w:t>the ACMA</w:t>
      </w:r>
      <w:r w:rsidR="006653E6" w:rsidRPr="005623A6">
        <w:t xml:space="preserve"> may take further enforcement action if non-compliance is not rectified.</w:t>
      </w:r>
      <w:r w:rsidR="006653E6" w:rsidRPr="005623A6">
        <w:rPr>
          <w:rStyle w:val="FootnoteReference"/>
        </w:rPr>
        <w:footnoteReference w:id="74"/>
      </w:r>
    </w:p>
    <w:p w14:paraId="305A6183" w14:textId="597A3909" w:rsidR="00D3105C" w:rsidRPr="005623A6" w:rsidRDefault="00095B52" w:rsidP="00D3105C">
      <w:r w:rsidRPr="005623A6">
        <w:t xml:space="preserve">A </w:t>
      </w:r>
      <w:r w:rsidRPr="005623A6">
        <w:rPr>
          <w:b/>
          <w:bCs/>
        </w:rPr>
        <w:t>direction</w:t>
      </w:r>
      <w:r w:rsidR="00D3105C" w:rsidRPr="005623A6">
        <w:t xml:space="preserve"> </w:t>
      </w:r>
      <w:r w:rsidR="0038471B" w:rsidRPr="00CB74FC">
        <w:rPr>
          <w:b/>
          <w:bCs/>
        </w:rPr>
        <w:t>to comply</w:t>
      </w:r>
      <w:r w:rsidR="0038471B">
        <w:t xml:space="preserve"> </w:t>
      </w:r>
      <w:r w:rsidR="00D3105C" w:rsidRPr="005623A6">
        <w:t xml:space="preserve">is an order in writing that a person must comply with a rule (eg, </w:t>
      </w:r>
      <w:r w:rsidR="00312C53">
        <w:t xml:space="preserve">to comply with </w:t>
      </w:r>
      <w:r w:rsidR="00D3105C" w:rsidRPr="005623A6">
        <w:t>a registered industry code of practice</w:t>
      </w:r>
      <w:r w:rsidR="00D02F09" w:rsidRPr="005623A6">
        <w:t xml:space="preserve"> </w:t>
      </w:r>
      <w:r w:rsidR="00D3105C" w:rsidRPr="005623A6">
        <w:rPr>
          <w:rStyle w:val="FootnoteReference"/>
        </w:rPr>
        <w:footnoteReference w:id="75"/>
      </w:r>
      <w:r w:rsidR="00E76EB4" w:rsidRPr="005623A6">
        <w:t xml:space="preserve"> </w:t>
      </w:r>
      <w:r w:rsidR="00312C53">
        <w:t xml:space="preserve">or </w:t>
      </w:r>
      <w:r w:rsidR="00E76EB4" w:rsidRPr="005623A6">
        <w:t>the requirement to join the TIO</w:t>
      </w:r>
      <w:r w:rsidR="00E76EB4" w:rsidRPr="005623A6">
        <w:rPr>
          <w:rStyle w:val="FootnoteReference"/>
        </w:rPr>
        <w:footnoteReference w:id="76"/>
      </w:r>
      <w:r w:rsidR="00D3105C">
        <w:t xml:space="preserve">). </w:t>
      </w:r>
    </w:p>
    <w:p w14:paraId="165B9D02" w14:textId="76687A11" w:rsidR="007C159B" w:rsidRPr="005623A6" w:rsidRDefault="006653E6" w:rsidP="006653E6">
      <w:r w:rsidRPr="005623A6">
        <w:t xml:space="preserve">An </w:t>
      </w:r>
      <w:r w:rsidRPr="005623A6">
        <w:rPr>
          <w:b/>
          <w:bCs/>
        </w:rPr>
        <w:t>infringement notice</w:t>
      </w:r>
      <w:r w:rsidRPr="005623A6">
        <w:t xml:space="preserve"> is a notice issued to a recipient </w:t>
      </w:r>
      <w:r w:rsidR="00312C53">
        <w:t>where</w:t>
      </w:r>
      <w:r w:rsidR="00312C53" w:rsidRPr="005623A6">
        <w:t xml:space="preserve"> </w:t>
      </w:r>
      <w:r w:rsidR="00D11F2F">
        <w:t>the ACMA</w:t>
      </w:r>
      <w:r w:rsidRPr="005623A6">
        <w:t xml:space="preserve"> ‘has reasonable grounds to believe’ they have ‘contravened a particular civil penalty provision’ of the </w:t>
      </w:r>
      <w:r w:rsidR="00AA7AED">
        <w:t>Tel Act</w:t>
      </w:r>
      <w:r w:rsidRPr="005623A6">
        <w:t xml:space="preserve"> or the TCPSS Act;</w:t>
      </w:r>
      <w:r w:rsidRPr="005623A6">
        <w:rPr>
          <w:rStyle w:val="FootnoteReference"/>
        </w:rPr>
        <w:footnoteReference w:id="77"/>
      </w:r>
      <w:r w:rsidRPr="005623A6">
        <w:t xml:space="preserve"> and gives them the choice of ‘resolving the matter immediately’</w:t>
      </w:r>
      <w:bookmarkStart w:id="75" w:name="_Ref161679210"/>
      <w:r w:rsidRPr="005623A6">
        <w:rPr>
          <w:rStyle w:val="FootnoteReference"/>
        </w:rPr>
        <w:footnoteReference w:id="78"/>
      </w:r>
      <w:bookmarkEnd w:id="75"/>
      <w:r w:rsidRPr="005623A6">
        <w:t xml:space="preserve"> by paying a specified penalty or having </w:t>
      </w:r>
      <w:r w:rsidR="002C2AA0" w:rsidRPr="005623A6">
        <w:t>the</w:t>
      </w:r>
      <w:r w:rsidRPr="005623A6">
        <w:t xml:space="preserve"> Federal Court decide the matter. </w:t>
      </w:r>
      <w:r w:rsidR="00561572" w:rsidRPr="005623A6">
        <w:t xml:space="preserve">If the recipient pays the penalty specified in the infringement notice, the liability for the alleged contravention is discharged and no </w:t>
      </w:r>
      <w:r w:rsidR="00D90A90">
        <w:t xml:space="preserve">civil penalty </w:t>
      </w:r>
      <w:r w:rsidR="00561572" w:rsidRPr="005623A6">
        <w:t>proceedings can be brought against them.</w:t>
      </w:r>
      <w:r w:rsidR="00561572" w:rsidRPr="005623A6">
        <w:rPr>
          <w:rStyle w:val="FootnoteReference"/>
        </w:rPr>
        <w:footnoteReference w:id="79"/>
      </w:r>
      <w:r w:rsidR="00561572" w:rsidRPr="005623A6">
        <w:t xml:space="preserve"> If the recipient does not pay the penalty, then </w:t>
      </w:r>
      <w:r w:rsidR="00D11F2F">
        <w:t>the ACMA</w:t>
      </w:r>
      <w:r w:rsidR="00561572" w:rsidRPr="005623A6">
        <w:t xml:space="preserve"> may bring </w:t>
      </w:r>
      <w:r w:rsidR="00D90A90">
        <w:t>civil penalty</w:t>
      </w:r>
      <w:r w:rsidR="00561572" w:rsidRPr="005623A6">
        <w:t xml:space="preserve"> proceedings in the Federal Court. </w:t>
      </w:r>
    </w:p>
    <w:p w14:paraId="53A314F7" w14:textId="230F284B" w:rsidR="00B04A92" w:rsidRPr="005623A6" w:rsidRDefault="00B04A92" w:rsidP="006653E6">
      <w:r w:rsidRPr="005623A6">
        <w:t xml:space="preserve">If </w:t>
      </w:r>
      <w:r w:rsidR="00D11F2F">
        <w:t>the ACMA</w:t>
      </w:r>
      <w:r w:rsidRPr="005623A6">
        <w:t xml:space="preserve"> brings proceedings because the notice recipient has refused to pay the specified penalty, the Federal Court will determine if the recipient has breached the </w:t>
      </w:r>
      <w:r w:rsidR="00AA7AED">
        <w:t>Tel Act</w:t>
      </w:r>
      <w:r w:rsidR="00FC69A8">
        <w:t xml:space="preserve"> </w:t>
      </w:r>
      <w:r w:rsidRPr="005623A6">
        <w:t xml:space="preserve">or TCPSS Act. Where a breach has occurred, the court may impose a financial penalty. The maximum penalty the Federal Court can award is much higher than the maximum penalty </w:t>
      </w:r>
      <w:r w:rsidR="00D11F2F">
        <w:t>the ACMA</w:t>
      </w:r>
      <w:r w:rsidRPr="005623A6">
        <w:t xml:space="preserve"> can impose in an infringement notice.</w:t>
      </w:r>
      <w:r w:rsidRPr="005623A6">
        <w:rPr>
          <w:rStyle w:val="FootnoteReference"/>
        </w:rPr>
        <w:footnoteReference w:id="80"/>
      </w:r>
      <w:r w:rsidRPr="005623A6">
        <w:t xml:space="preserve"> Unless the Minister for Communications determines otherwise, the maximum penalty </w:t>
      </w:r>
      <w:r w:rsidR="00D11F2F">
        <w:t>the ACMA</w:t>
      </w:r>
      <w:r w:rsidRPr="005623A6">
        <w:t xml:space="preserve"> can impose for a breach of </w:t>
      </w:r>
      <w:r w:rsidR="00286CAA" w:rsidRPr="005623A6">
        <w:t xml:space="preserve">‘a particular civil penalty provision’ of </w:t>
      </w:r>
      <w:r w:rsidRPr="005623A6">
        <w:t xml:space="preserve">the </w:t>
      </w:r>
      <w:r w:rsidR="00AA7AED">
        <w:t>Tel Act</w:t>
      </w:r>
      <w:r w:rsidR="00FC69A8">
        <w:t xml:space="preserve"> </w:t>
      </w:r>
      <w:r w:rsidR="00312C53">
        <w:t>or</w:t>
      </w:r>
      <w:r w:rsidR="00312C53" w:rsidRPr="005623A6">
        <w:t xml:space="preserve"> </w:t>
      </w:r>
      <w:r w:rsidRPr="005623A6">
        <w:t>TCPSS Act is 60 penalty units.</w:t>
      </w:r>
      <w:r w:rsidRPr="005623A6">
        <w:rPr>
          <w:rStyle w:val="FootnoteReference"/>
        </w:rPr>
        <w:footnoteReference w:id="81"/>
      </w:r>
      <w:r w:rsidRPr="005623A6">
        <w:t xml:space="preserve"> The amount of a penalty unit is prescribed by the </w:t>
      </w:r>
      <w:r w:rsidRPr="56C73059">
        <w:rPr>
          <w:i/>
          <w:iCs/>
        </w:rPr>
        <w:t>Crimes Act 1914</w:t>
      </w:r>
      <w:r w:rsidRPr="005623A6">
        <w:t xml:space="preserve"> (Cth) and </w:t>
      </w:r>
      <w:r w:rsidR="00FD433C">
        <w:t xml:space="preserve">at the time of writing </w:t>
      </w:r>
      <w:r w:rsidRPr="005623A6">
        <w:t>is $</w:t>
      </w:r>
      <w:r w:rsidR="002A1C4C">
        <w:t>313</w:t>
      </w:r>
      <w:r w:rsidRPr="005623A6">
        <w:t xml:space="preserve"> for offences committed on or after 1 </w:t>
      </w:r>
      <w:r w:rsidR="00DA4B7C">
        <w:t xml:space="preserve">July </w:t>
      </w:r>
      <w:r w:rsidRPr="005623A6">
        <w:t>2023. 60 penalty units equates to $</w:t>
      </w:r>
      <w:r w:rsidR="00DA4B7C">
        <w:t>18,780</w:t>
      </w:r>
      <w:r w:rsidRPr="005623A6">
        <w:t>.</w:t>
      </w:r>
    </w:p>
    <w:p w14:paraId="2AC99B0A" w14:textId="282490D3" w:rsidR="00446E26" w:rsidRDefault="00E04616" w:rsidP="006653E6">
      <w:r w:rsidRPr="005623A6">
        <w:t xml:space="preserve">Infringement notices may be </w:t>
      </w:r>
      <w:r w:rsidR="007D66D8" w:rsidRPr="005623A6">
        <w:t xml:space="preserve">issued </w:t>
      </w:r>
      <w:r w:rsidRPr="005623A6">
        <w:t xml:space="preserve">when </w:t>
      </w:r>
      <w:r w:rsidR="000D2BDA" w:rsidRPr="005623A6">
        <w:t xml:space="preserve">a </w:t>
      </w:r>
      <w:r w:rsidR="00DC12AB" w:rsidRPr="005623A6">
        <w:t>carrier or service provider</w:t>
      </w:r>
      <w:r w:rsidR="000D2BDA" w:rsidRPr="005623A6">
        <w:t xml:space="preserve">’s conduct involves </w:t>
      </w:r>
      <w:r w:rsidR="00FE1179" w:rsidRPr="005623A6">
        <w:t xml:space="preserve">contravention of </w:t>
      </w:r>
      <w:r w:rsidR="00FD4E4A" w:rsidRPr="005623A6">
        <w:t>a civil penalty provision</w:t>
      </w:r>
      <w:r w:rsidR="00343E4A" w:rsidRPr="005623A6">
        <w:t xml:space="preserve"> of the </w:t>
      </w:r>
      <w:r w:rsidR="00AA7AED">
        <w:t>Tel Act</w:t>
      </w:r>
      <w:r w:rsidR="00D87712">
        <w:t xml:space="preserve"> </w:t>
      </w:r>
      <w:r w:rsidR="00312C53">
        <w:t>or</w:t>
      </w:r>
      <w:r w:rsidR="00312C53" w:rsidRPr="005623A6">
        <w:t xml:space="preserve"> </w:t>
      </w:r>
      <w:r w:rsidR="00343E4A" w:rsidRPr="005623A6">
        <w:t>TCPSS Act</w:t>
      </w:r>
      <w:r w:rsidR="0020448A" w:rsidRPr="005623A6">
        <w:t>.</w:t>
      </w:r>
      <w:r w:rsidR="00FA1E7C" w:rsidRPr="005623A6">
        <w:rPr>
          <w:rStyle w:val="FootnoteReference"/>
        </w:rPr>
        <w:footnoteReference w:id="82"/>
      </w:r>
      <w:r w:rsidR="00ED668C" w:rsidRPr="005623A6">
        <w:t xml:space="preserve"> </w:t>
      </w:r>
    </w:p>
    <w:p w14:paraId="32682D42" w14:textId="3FC5259C" w:rsidR="00CA0774" w:rsidRPr="005623A6" w:rsidRDefault="00D52A51" w:rsidP="006653E6">
      <w:r w:rsidRPr="005623A6">
        <w:t xml:space="preserve">However, </w:t>
      </w:r>
      <w:r w:rsidR="00D9553C" w:rsidRPr="005623A6">
        <w:t xml:space="preserve">if a person’s conduct involves breach of a carrier licence condition or a service provider rule (both civil penalty provisions) </w:t>
      </w:r>
      <w:r w:rsidR="00D9553C" w:rsidRPr="005623A6">
        <w:rPr>
          <w:u w:val="single"/>
        </w:rPr>
        <w:t>and</w:t>
      </w:r>
      <w:r w:rsidR="00D9553C" w:rsidRPr="005623A6">
        <w:t xml:space="preserve"> one or more other civil penalty provisions</w:t>
      </w:r>
      <w:r w:rsidR="00B41BDE" w:rsidRPr="005623A6">
        <w:t xml:space="preserve"> (eg, breach of a </w:t>
      </w:r>
      <w:r w:rsidR="00C86380" w:rsidRPr="00C86380">
        <w:t>direction to comply</w:t>
      </w:r>
      <w:r w:rsidR="00B41BDE" w:rsidRPr="005623A6">
        <w:t>,</w:t>
      </w:r>
      <w:r w:rsidR="008759CC" w:rsidRPr="005623A6">
        <w:rPr>
          <w:rStyle w:val="FootnoteReference"/>
        </w:rPr>
        <w:footnoteReference w:id="83"/>
      </w:r>
      <w:r w:rsidR="00B41BDE" w:rsidRPr="005623A6">
        <w:t xml:space="preserve"> breach of the emergency call services determination</w:t>
      </w:r>
      <w:r w:rsidR="001F75A0" w:rsidRPr="005623A6">
        <w:rPr>
          <w:rStyle w:val="FootnoteReference"/>
        </w:rPr>
        <w:footnoteReference w:id="84"/>
      </w:r>
      <w:r w:rsidR="00B41BDE" w:rsidRPr="005623A6">
        <w:t>)</w:t>
      </w:r>
      <w:r w:rsidR="00D9553C" w:rsidRPr="005623A6">
        <w:t>,</w:t>
      </w:r>
      <w:r w:rsidR="00B41BDE" w:rsidRPr="005623A6">
        <w:t xml:space="preserve"> </w:t>
      </w:r>
      <w:r w:rsidR="00D11F2F">
        <w:t>the ACMA</w:t>
      </w:r>
      <w:r w:rsidR="00D9553C" w:rsidRPr="005623A6">
        <w:t xml:space="preserve"> may issue an infringement notice </w:t>
      </w:r>
      <w:r w:rsidR="00D1133F" w:rsidRPr="005623A6">
        <w:t xml:space="preserve">only in relation to the </w:t>
      </w:r>
      <w:r w:rsidR="00DC12AB" w:rsidRPr="005623A6">
        <w:t xml:space="preserve">other civil penalty provision. </w:t>
      </w:r>
      <w:r w:rsidR="007C159B" w:rsidRPr="005623A6">
        <w:t xml:space="preserve">It </w:t>
      </w:r>
      <w:r w:rsidR="007C159B" w:rsidRPr="005623A6">
        <w:lastRenderedPageBreak/>
        <w:t xml:space="preserve">cannot issue an </w:t>
      </w:r>
      <w:r w:rsidR="008D6A75" w:rsidRPr="005623A6">
        <w:t xml:space="preserve">infringement notice </w:t>
      </w:r>
      <w:r w:rsidR="00B63761" w:rsidRPr="005623A6">
        <w:t xml:space="preserve">in relation to </w:t>
      </w:r>
      <w:r w:rsidR="007F521D" w:rsidRPr="005623A6">
        <w:t xml:space="preserve">the </w:t>
      </w:r>
      <w:r w:rsidR="008D6A75" w:rsidRPr="005623A6">
        <w:t xml:space="preserve">breach of a carrier licence condition or </w:t>
      </w:r>
      <w:r w:rsidR="007F521D" w:rsidRPr="005623A6">
        <w:t>s</w:t>
      </w:r>
      <w:r w:rsidR="008D6A75" w:rsidRPr="005623A6">
        <w:t>ervice provider rule</w:t>
      </w:r>
      <w:r w:rsidR="00DA36AE" w:rsidRPr="005623A6">
        <w:t>.</w:t>
      </w:r>
    </w:p>
    <w:p w14:paraId="619D1B89" w14:textId="525444A7" w:rsidR="006653E6" w:rsidRPr="005623A6" w:rsidRDefault="007F1AFE" w:rsidP="006653E6">
      <w:r>
        <w:t xml:space="preserve">For breaches of the </w:t>
      </w:r>
      <w:r w:rsidR="00AA7AED">
        <w:t>Tel Act</w:t>
      </w:r>
      <w:r>
        <w:t xml:space="preserve"> </w:t>
      </w:r>
      <w:r w:rsidR="00D53D53">
        <w:t xml:space="preserve">or TCPSS Acts </w:t>
      </w:r>
      <w:r w:rsidR="00D53D53" w:rsidRPr="005623A6">
        <w:t>involv</w:t>
      </w:r>
      <w:r w:rsidR="00D53D53">
        <w:t>ing</w:t>
      </w:r>
      <w:r w:rsidR="00D53D53" w:rsidRPr="005623A6">
        <w:t xml:space="preserve"> a breach of a carrier licence condition or a service provider rule</w:t>
      </w:r>
      <w:r w:rsidR="00D53D53">
        <w:t xml:space="preserve"> </w:t>
      </w:r>
      <w:r>
        <w:t xml:space="preserve">(other than </w:t>
      </w:r>
      <w:r w:rsidR="00D53D53">
        <w:t xml:space="preserve">breaches of Part 1 of Schedules 1 and 2 of the </w:t>
      </w:r>
      <w:r w:rsidR="00AA7AED">
        <w:t>Tel Act</w:t>
      </w:r>
      <w:r w:rsidR="00D53D53">
        <w:t xml:space="preserve">) </w:t>
      </w:r>
      <w:r>
        <w:t>i</w:t>
      </w:r>
      <w:r w:rsidR="00B41BDE" w:rsidRPr="005623A6">
        <w:t xml:space="preserve">nfringement notices </w:t>
      </w:r>
      <w:r w:rsidR="00561572" w:rsidRPr="005623A6">
        <w:t xml:space="preserve">can </w:t>
      </w:r>
      <w:r w:rsidR="00B41BDE" w:rsidRPr="005623A6">
        <w:t xml:space="preserve">be issued </w:t>
      </w:r>
      <w:r w:rsidR="00446E26">
        <w:t xml:space="preserve">when </w:t>
      </w:r>
      <w:r w:rsidR="00561572" w:rsidRPr="005623A6">
        <w:t xml:space="preserve">the same conduct also </w:t>
      </w:r>
      <w:r w:rsidR="00B41BDE" w:rsidRPr="005623A6">
        <w:t>breach</w:t>
      </w:r>
      <w:r w:rsidR="00561572" w:rsidRPr="005623A6">
        <w:t>es</w:t>
      </w:r>
      <w:r w:rsidR="00B41BDE" w:rsidRPr="005623A6">
        <w:t xml:space="preserve"> </w:t>
      </w:r>
      <w:r w:rsidR="00852065" w:rsidRPr="005623A6">
        <w:t>a</w:t>
      </w:r>
      <w:r w:rsidR="00C40B37" w:rsidRPr="005623A6">
        <w:t xml:space="preserve"> </w:t>
      </w:r>
      <w:r w:rsidR="00FB38AB" w:rsidRPr="005623A6">
        <w:t xml:space="preserve">provision </w:t>
      </w:r>
      <w:r w:rsidR="00C40B37" w:rsidRPr="005623A6">
        <w:t>that</w:t>
      </w:r>
      <w:r w:rsidR="0064695E">
        <w:t xml:space="preserve"> </w:t>
      </w:r>
      <w:r w:rsidR="00D11F2F">
        <w:t>the ACMA</w:t>
      </w:r>
      <w:r w:rsidR="00FB38AB" w:rsidRPr="005623A6">
        <w:t xml:space="preserve"> has </w:t>
      </w:r>
      <w:r w:rsidR="00ED668C" w:rsidRPr="005623A6">
        <w:t xml:space="preserve">declared </w:t>
      </w:r>
      <w:r w:rsidR="00020155" w:rsidRPr="005623A6">
        <w:t xml:space="preserve">to </w:t>
      </w:r>
      <w:r w:rsidR="00B90AB3" w:rsidRPr="005623A6">
        <w:t xml:space="preserve">be </w:t>
      </w:r>
      <w:r w:rsidR="00D66A09" w:rsidRPr="005623A6">
        <w:t xml:space="preserve">a ‘listed infringement notice </w:t>
      </w:r>
      <w:r w:rsidR="00172223" w:rsidRPr="005623A6">
        <w:t xml:space="preserve">provision’ </w:t>
      </w:r>
      <w:r w:rsidR="00DD1F0B" w:rsidRPr="00153C2E">
        <w:t>and</w:t>
      </w:r>
      <w:r w:rsidR="00DD1F0B" w:rsidRPr="005623A6">
        <w:t xml:space="preserve"> </w:t>
      </w:r>
      <w:r w:rsidR="00977891" w:rsidRPr="005623A6">
        <w:t>th</w:t>
      </w:r>
      <w:r w:rsidR="00A04DEA" w:rsidRPr="005623A6">
        <w:t>at</w:t>
      </w:r>
      <w:r w:rsidR="00977891" w:rsidRPr="005623A6">
        <w:t xml:space="preserve"> provision </w:t>
      </w:r>
      <w:r w:rsidR="00172223" w:rsidRPr="005623A6">
        <w:t>ha</w:t>
      </w:r>
      <w:r w:rsidR="004E5D75" w:rsidRPr="005623A6">
        <w:t>s</w:t>
      </w:r>
      <w:r w:rsidR="00172223" w:rsidRPr="005623A6">
        <w:t xml:space="preserve"> been listed </w:t>
      </w:r>
      <w:r w:rsidR="0064419C" w:rsidRPr="005623A6">
        <w:t>for at least three months</w:t>
      </w:r>
      <w:r w:rsidR="004E5D75" w:rsidRPr="005623A6">
        <w:t>.</w:t>
      </w:r>
      <w:r w:rsidR="005336CD" w:rsidRPr="005623A6">
        <w:rPr>
          <w:rStyle w:val="FootnoteReference"/>
        </w:rPr>
        <w:footnoteReference w:id="85"/>
      </w:r>
      <w:r w:rsidR="00BE121B" w:rsidRPr="005623A6">
        <w:t xml:space="preserve"> </w:t>
      </w:r>
      <w:r w:rsidR="00153C2E">
        <w:t>T</w:t>
      </w:r>
      <w:r w:rsidR="00D11F2F">
        <w:t>he ACMA</w:t>
      </w:r>
      <w:r w:rsidR="00FB38AB" w:rsidRPr="005623A6">
        <w:t xml:space="preserve"> may </w:t>
      </w:r>
      <w:r w:rsidR="00F96B1A" w:rsidRPr="005623A6">
        <w:t xml:space="preserve">declare that </w:t>
      </w:r>
      <w:r w:rsidR="00561572" w:rsidRPr="005623A6">
        <w:t xml:space="preserve">certain </w:t>
      </w:r>
      <w:r w:rsidR="00A64434" w:rsidRPr="005623A6">
        <w:t xml:space="preserve">provisions of the </w:t>
      </w:r>
      <w:r w:rsidR="00AA7AED">
        <w:t>Tel Act</w:t>
      </w:r>
      <w:r w:rsidR="00835D1E">
        <w:t xml:space="preserve"> </w:t>
      </w:r>
      <w:r w:rsidR="00CC4508" w:rsidRPr="005623A6">
        <w:t>and TCPSS Act, carrier licence condition</w:t>
      </w:r>
      <w:r w:rsidR="00AE05E8" w:rsidRPr="005623A6">
        <w:t>s</w:t>
      </w:r>
      <w:r w:rsidR="00CC4508" w:rsidRPr="005623A6">
        <w:t xml:space="preserve"> declared by the Minister under s 63 of the </w:t>
      </w:r>
      <w:r w:rsidR="00AA7AED">
        <w:t>Tel Act</w:t>
      </w:r>
      <w:r w:rsidR="00CC4508" w:rsidRPr="005623A6">
        <w:t>,</w:t>
      </w:r>
      <w:r w:rsidR="00CC4508" w:rsidRPr="005623A6">
        <w:rPr>
          <w:rStyle w:val="FootnoteReference"/>
        </w:rPr>
        <w:footnoteReference w:id="86"/>
      </w:r>
      <w:r w:rsidR="00CC4508" w:rsidRPr="005623A6">
        <w:t xml:space="preserve"> </w:t>
      </w:r>
      <w:r w:rsidR="00A04DEA" w:rsidRPr="005623A6">
        <w:t>and</w:t>
      </w:r>
      <w:r w:rsidR="00CC4508" w:rsidRPr="005623A6">
        <w:t xml:space="preserve"> </w:t>
      </w:r>
      <w:r w:rsidR="00D11F2F">
        <w:t>the ACMA</w:t>
      </w:r>
      <w:r w:rsidR="00A31C7C" w:rsidRPr="005623A6">
        <w:t xml:space="preserve">-adopted </w:t>
      </w:r>
      <w:r w:rsidR="00CC4508" w:rsidRPr="005623A6">
        <w:t>service provider determination</w:t>
      </w:r>
      <w:r w:rsidR="00D92CCC" w:rsidRPr="005623A6">
        <w:t>s</w:t>
      </w:r>
      <w:r w:rsidR="003362A0">
        <w:rPr>
          <w:rStyle w:val="FootnoteReference"/>
        </w:rPr>
        <w:footnoteReference w:id="87"/>
      </w:r>
      <w:r w:rsidR="00775CEB" w:rsidRPr="005623A6">
        <w:t xml:space="preserve"> </w:t>
      </w:r>
      <w:r w:rsidR="003775A8" w:rsidRPr="005623A6">
        <w:t>are ‘listed infringement notice provisions’</w:t>
      </w:r>
      <w:r w:rsidR="00D92CCC" w:rsidRPr="005623A6">
        <w:t>.</w:t>
      </w:r>
      <w:r w:rsidR="00775CEB" w:rsidRPr="005623A6">
        <w:rPr>
          <w:rStyle w:val="FootnoteReference"/>
        </w:rPr>
        <w:footnoteReference w:id="88"/>
      </w:r>
      <w:r w:rsidR="003775A8" w:rsidRPr="005623A6">
        <w:t xml:space="preserve"> </w:t>
      </w:r>
    </w:p>
    <w:p w14:paraId="63363973" w14:textId="79E77360" w:rsidR="00852065" w:rsidRPr="005623A6" w:rsidRDefault="00852065" w:rsidP="00852065">
      <w:r w:rsidRPr="005623A6">
        <w:t xml:space="preserve">Guidance about </w:t>
      </w:r>
      <w:r w:rsidR="00A52819" w:rsidRPr="005623A6">
        <w:t xml:space="preserve">the declaration process and </w:t>
      </w:r>
      <w:r w:rsidR="00460B82" w:rsidRPr="005623A6">
        <w:t xml:space="preserve">the types of provisions suitable for declaration can be gleaned from </w:t>
      </w:r>
      <w:r w:rsidR="00A52819" w:rsidRPr="005623A6">
        <w:t xml:space="preserve">the Explanatory Statement </w:t>
      </w:r>
      <w:r w:rsidR="00D11F2F">
        <w:t>the ACMA</w:t>
      </w:r>
      <w:r w:rsidR="00A52819" w:rsidRPr="005623A6">
        <w:t xml:space="preserve"> prepared for </w:t>
      </w:r>
      <w:r w:rsidR="00460B82" w:rsidRPr="005623A6">
        <w:t>the Telecommunications (Listed Infringement Notice Provisions) Declaration 2022 (Cth).</w:t>
      </w:r>
      <w:r w:rsidR="006F521D">
        <w:rPr>
          <w:rStyle w:val="FootnoteReference"/>
        </w:rPr>
        <w:footnoteReference w:id="89"/>
      </w:r>
      <w:r w:rsidR="00460B82" w:rsidRPr="005623A6">
        <w:t xml:space="preserve"> In that document</w:t>
      </w:r>
      <w:r w:rsidR="00A52819" w:rsidRPr="005623A6">
        <w:t xml:space="preserve">, </w:t>
      </w:r>
      <w:r w:rsidR="00D11F2F">
        <w:t>the ACMA</w:t>
      </w:r>
      <w:r w:rsidR="00A52819" w:rsidRPr="005623A6">
        <w:t xml:space="preserve"> said </w:t>
      </w:r>
      <w:r w:rsidRPr="005623A6">
        <w:t xml:space="preserve">it consulted with the Department of Communications and the Attorney-General’s Department and took into account guidance contained in </w:t>
      </w:r>
      <w:r w:rsidRPr="12EC14AA">
        <w:rPr>
          <w:i/>
          <w:iCs/>
        </w:rPr>
        <w:t>A Guide to Framing Commonwealth Offences, Infringement Notices and Enforcement Powers</w:t>
      </w:r>
      <w:r w:rsidRPr="005623A6">
        <w:t xml:space="preserve"> (September 2011).</w:t>
      </w:r>
      <w:r w:rsidRPr="005623A6">
        <w:rPr>
          <w:rStyle w:val="FootnoteReference"/>
        </w:rPr>
        <w:footnoteReference w:id="90"/>
      </w:r>
      <w:r w:rsidRPr="005623A6">
        <w:t xml:space="preserve"> Drafted by the Attorney-General’s Department, the Guide suggests that only certain statutory provisions are suitable for inclusion in infringement notice regimes. Suitable provisions include:</w:t>
      </w:r>
    </w:p>
    <w:p w14:paraId="3246D316" w14:textId="77777777" w:rsidR="00852065" w:rsidRPr="005623A6" w:rsidRDefault="00852065" w:rsidP="001019BA">
      <w:pPr>
        <w:pStyle w:val="ListParagraph"/>
        <w:numPr>
          <w:ilvl w:val="0"/>
          <w:numId w:val="31"/>
        </w:numPr>
      </w:pPr>
      <w:r w:rsidRPr="005623A6">
        <w:t xml:space="preserve">strict or absolute liability offences </w:t>
      </w:r>
    </w:p>
    <w:p w14:paraId="621CB274" w14:textId="77777777" w:rsidR="00852065" w:rsidRPr="005623A6" w:rsidRDefault="00852065" w:rsidP="001019BA">
      <w:pPr>
        <w:pStyle w:val="ListParagraph"/>
        <w:numPr>
          <w:ilvl w:val="0"/>
          <w:numId w:val="31"/>
        </w:numPr>
      </w:pPr>
      <w:r w:rsidRPr="005623A6">
        <w:t>‘relatively minor offences, where a high volume of contraventions is expected, and where a penalty must be imposed immediately to be effective’ and</w:t>
      </w:r>
    </w:p>
    <w:p w14:paraId="01F70694" w14:textId="355B0C51" w:rsidR="00852065" w:rsidRPr="005623A6" w:rsidRDefault="00852065" w:rsidP="001019BA">
      <w:pPr>
        <w:pStyle w:val="ListParagraph"/>
        <w:numPr>
          <w:ilvl w:val="0"/>
          <w:numId w:val="31"/>
        </w:numPr>
      </w:pPr>
      <w:r w:rsidRPr="005623A6">
        <w:t>those where ‘an enforcement officer can easily make an assessment of guilt or innocence</w:t>
      </w:r>
      <w:r w:rsidR="00B34784">
        <w:t>’</w:t>
      </w:r>
      <w:r w:rsidRPr="005623A6">
        <w:t>.</w:t>
      </w:r>
      <w:r w:rsidRPr="005623A6">
        <w:rPr>
          <w:rStyle w:val="FootnoteReference"/>
        </w:rPr>
        <w:footnoteReference w:id="91"/>
      </w:r>
      <w:r w:rsidRPr="005623A6">
        <w:t xml:space="preserve"> </w:t>
      </w:r>
    </w:p>
    <w:p w14:paraId="7CC40798" w14:textId="77777777" w:rsidR="00DE6023" w:rsidRPr="005623A6" w:rsidRDefault="00BC42F2" w:rsidP="006653E6">
      <w:r w:rsidRPr="005623A6">
        <w:t xml:space="preserve">Infringement notices have been a feature of the telecommunications regulatory framework since </w:t>
      </w:r>
      <w:r w:rsidR="00DB5A0D" w:rsidRPr="005623A6">
        <w:t xml:space="preserve">the enactment of the </w:t>
      </w:r>
      <w:r w:rsidRPr="005623A6">
        <w:rPr>
          <w:i/>
          <w:iCs/>
        </w:rPr>
        <w:t xml:space="preserve">Telecommunications Legislation Amendment (Competition and Consumer </w:t>
      </w:r>
      <w:r w:rsidR="00724626">
        <w:rPr>
          <w:i/>
          <w:iCs/>
        </w:rPr>
        <w:t>Safeguards</w:t>
      </w:r>
      <w:r w:rsidRPr="005623A6">
        <w:rPr>
          <w:i/>
          <w:iCs/>
        </w:rPr>
        <w:t>) Act 20</w:t>
      </w:r>
      <w:r w:rsidR="0078414A" w:rsidRPr="005623A6">
        <w:rPr>
          <w:i/>
          <w:iCs/>
        </w:rPr>
        <w:t>10</w:t>
      </w:r>
      <w:r w:rsidRPr="005623A6">
        <w:t xml:space="preserve"> (Cth).</w:t>
      </w:r>
    </w:p>
    <w:p w14:paraId="5F23766F" w14:textId="34772672" w:rsidR="002B147B" w:rsidRPr="005623A6" w:rsidRDefault="006653E6" w:rsidP="000539ED">
      <w:r w:rsidRPr="005623A6">
        <w:t xml:space="preserve">A </w:t>
      </w:r>
      <w:r w:rsidRPr="005623A6">
        <w:rPr>
          <w:b/>
          <w:bCs/>
        </w:rPr>
        <w:t>remedial direction</w:t>
      </w:r>
      <w:r w:rsidRPr="005623A6">
        <w:t xml:space="preserve"> is an order in writing made by </w:t>
      </w:r>
      <w:r w:rsidR="00D11F2F">
        <w:t>the ACMA</w:t>
      </w:r>
      <w:r w:rsidRPr="005623A6">
        <w:t xml:space="preserve"> that a service provider</w:t>
      </w:r>
      <w:r w:rsidR="009574BD" w:rsidRPr="005623A6">
        <w:t xml:space="preserve"> or a carrier</w:t>
      </w:r>
      <w:r w:rsidRPr="005623A6">
        <w:t xml:space="preserve"> must ‘take specified action directed towards ensuring that the provider does not contravene a rule, or is unlikely to contravene a rule, in the future’.</w:t>
      </w:r>
      <w:r w:rsidRPr="005623A6">
        <w:rPr>
          <w:rStyle w:val="FootnoteReference"/>
        </w:rPr>
        <w:footnoteReference w:id="92"/>
      </w:r>
      <w:r w:rsidRPr="005623A6">
        <w:t xml:space="preserve"> Examples of action required by </w:t>
      </w:r>
      <w:r w:rsidR="00D11F2F">
        <w:t>the ACMA</w:t>
      </w:r>
      <w:r w:rsidRPr="005623A6">
        <w:t xml:space="preserve"> </w:t>
      </w:r>
      <w:r w:rsidR="00793AE7" w:rsidRPr="005623A6">
        <w:t xml:space="preserve">in a remedial direction </w:t>
      </w:r>
      <w:r w:rsidRPr="005623A6">
        <w:t>include appointment of independent auditors, development of project plans to implement their recommendations, staff training, reporting, and implementation of compliance systems, practices and processes.</w:t>
      </w:r>
      <w:r w:rsidRPr="005623A6">
        <w:rPr>
          <w:rStyle w:val="FootnoteReference"/>
        </w:rPr>
        <w:footnoteReference w:id="93"/>
      </w:r>
    </w:p>
    <w:p w14:paraId="1D115B4D" w14:textId="77777777" w:rsidR="00773940" w:rsidRPr="00515C60" w:rsidRDefault="00744F65" w:rsidP="00515C60">
      <w:pPr>
        <w:pStyle w:val="Heading3"/>
      </w:pPr>
      <w:bookmarkStart w:id="76" w:name="_Toc139024386"/>
      <w:bookmarkStart w:id="77" w:name="_Toc139024709"/>
      <w:bookmarkStart w:id="78" w:name="_Toc139031352"/>
      <w:bookmarkStart w:id="79" w:name="_Toc146201029"/>
      <w:bookmarkStart w:id="80" w:name="_Toc161836157"/>
      <w:r w:rsidRPr="00515C60">
        <w:lastRenderedPageBreak/>
        <w:t>2</w:t>
      </w:r>
      <w:r w:rsidR="00773940" w:rsidRPr="00515C60">
        <w:tab/>
      </w:r>
      <w:bookmarkStart w:id="81" w:name="CivilMechanisms"/>
      <w:r w:rsidR="00DF0A8B" w:rsidRPr="00515C60">
        <w:t xml:space="preserve">Civil </w:t>
      </w:r>
      <w:r w:rsidR="00B575EC">
        <w:t>M</w:t>
      </w:r>
      <w:r w:rsidR="00DF0A8B" w:rsidRPr="00515C60">
        <w:t>echanisms</w:t>
      </w:r>
      <w:bookmarkEnd w:id="76"/>
      <w:bookmarkEnd w:id="77"/>
      <w:bookmarkEnd w:id="78"/>
      <w:bookmarkEnd w:id="79"/>
      <w:bookmarkEnd w:id="80"/>
      <w:bookmarkEnd w:id="81"/>
    </w:p>
    <w:p w14:paraId="3DE84901" w14:textId="0C8C2696" w:rsidR="000539ED" w:rsidRDefault="001271AE" w:rsidP="001C58AB">
      <w:r>
        <w:t>As represented in Figure 5, t</w:t>
      </w:r>
      <w:r w:rsidR="00D11F2F">
        <w:t>he ACMA</w:t>
      </w:r>
      <w:r w:rsidR="756CC50C" w:rsidRPr="005623A6">
        <w:t xml:space="preserve"> </w:t>
      </w:r>
      <w:r w:rsidR="00745D32" w:rsidRPr="005623A6">
        <w:t xml:space="preserve">has </w:t>
      </w:r>
      <w:r w:rsidR="00974223" w:rsidRPr="005623A6">
        <w:t xml:space="preserve">up to </w:t>
      </w:r>
      <w:r w:rsidR="005600E1" w:rsidRPr="005623A6">
        <w:t>t</w:t>
      </w:r>
      <w:r w:rsidR="0085359B" w:rsidRPr="005623A6">
        <w:t>w</w:t>
      </w:r>
      <w:r w:rsidR="005600E1" w:rsidRPr="005623A6">
        <w:t xml:space="preserve">o </w:t>
      </w:r>
      <w:r w:rsidR="00D61FFC" w:rsidRPr="005623A6">
        <w:t xml:space="preserve">civil mechanisms </w:t>
      </w:r>
      <w:r w:rsidR="005600E1" w:rsidRPr="005623A6">
        <w:t xml:space="preserve">to enforce the </w:t>
      </w:r>
      <w:r w:rsidR="00651857" w:rsidRPr="005623A6">
        <w:t>various provisions of interest</w:t>
      </w:r>
      <w:r w:rsidR="0085359B" w:rsidRPr="005623A6">
        <w:t xml:space="preserve">: </w:t>
      </w:r>
      <w:r w:rsidR="005600E1" w:rsidRPr="005623A6">
        <w:t xml:space="preserve">it is entitled to </w:t>
      </w:r>
      <w:r w:rsidR="00B567FE" w:rsidRPr="005623A6">
        <w:t xml:space="preserve">commence </w:t>
      </w:r>
      <w:r w:rsidR="00DD2129" w:rsidRPr="005623A6">
        <w:t xml:space="preserve">legal </w:t>
      </w:r>
      <w:r w:rsidR="005600E1" w:rsidRPr="005623A6">
        <w:t xml:space="preserve">action </w:t>
      </w:r>
      <w:r w:rsidR="00B567FE" w:rsidRPr="005623A6">
        <w:t xml:space="preserve">in </w:t>
      </w:r>
      <w:r w:rsidR="00EC383D" w:rsidRPr="005623A6">
        <w:t xml:space="preserve">the </w:t>
      </w:r>
      <w:r w:rsidR="00B567FE" w:rsidRPr="005623A6">
        <w:t xml:space="preserve">Federal Court </w:t>
      </w:r>
      <w:r w:rsidR="00F41FD6" w:rsidRPr="005623A6">
        <w:t>seeking the award of a</w:t>
      </w:r>
      <w:r w:rsidR="009F6033" w:rsidRPr="005623A6">
        <w:t>n injunction</w:t>
      </w:r>
      <w:r w:rsidR="009F6033" w:rsidRPr="005623A6">
        <w:rPr>
          <w:rStyle w:val="FootnoteReference"/>
        </w:rPr>
        <w:footnoteReference w:id="94"/>
      </w:r>
      <w:r w:rsidR="009F6033" w:rsidRPr="005623A6">
        <w:t xml:space="preserve"> and/or</w:t>
      </w:r>
      <w:r w:rsidR="00F41FD6" w:rsidRPr="005623A6">
        <w:t xml:space="preserve"> </w:t>
      </w:r>
      <w:r w:rsidR="0078068E" w:rsidRPr="005623A6">
        <w:t xml:space="preserve">the imposition of </w:t>
      </w:r>
      <w:r w:rsidR="009F6033" w:rsidRPr="005623A6">
        <w:t xml:space="preserve">a </w:t>
      </w:r>
      <w:r w:rsidR="00F41FD6" w:rsidRPr="005623A6">
        <w:t>civil penalty</w:t>
      </w:r>
      <w:r w:rsidR="009F6033" w:rsidRPr="005623A6">
        <w:t>.</w:t>
      </w:r>
      <w:r w:rsidR="00A14367" w:rsidRPr="005623A6">
        <w:rPr>
          <w:rStyle w:val="FootnoteReference"/>
        </w:rPr>
        <w:footnoteReference w:id="95"/>
      </w:r>
      <w:r w:rsidR="000539ED" w:rsidRPr="005623A6">
        <w:t xml:space="preserve"> </w:t>
      </w:r>
    </w:p>
    <w:p w14:paraId="77B0F645" w14:textId="33C5C677" w:rsidR="001271AE" w:rsidRPr="005623A6" w:rsidRDefault="001271AE" w:rsidP="001271AE">
      <w:pPr>
        <w:jc w:val="center"/>
      </w:pPr>
      <w:r>
        <w:rPr>
          <w:noProof/>
        </w:rPr>
        <w:drawing>
          <wp:inline distT="0" distB="0" distL="0" distR="0" wp14:anchorId="455B9068" wp14:editId="64BFC311">
            <wp:extent cx="4158000" cy="2901600"/>
            <wp:effectExtent l="0" t="0" r="0" b="0"/>
            <wp:docPr id="1967824102" name="Picture 1967824102" descr="Figure 5 ACMA Civil Penalties &#10;&#10;A pyramid with three tiers. The largest and bottom tier is blue says &quot;Administrative.&quot; The second tier is yellow and says &quot;Civil&quot; with two yellow ribbons protruding out of the tier. The first ribbon reads &quot;civil penalty&quot; and the second ribbon reads &quot;injunction.&quot; The top tier is red and says &quot;crimin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824102"/>
                    <pic:cNvPicPr/>
                  </pic:nvPicPr>
                  <pic:blipFill>
                    <a:blip r:embed="rId19">
                      <a:extLst>
                        <a:ext uri="{28A0092B-C50C-407E-A947-70E740481C1C}">
                          <a14:useLocalDpi xmlns:a14="http://schemas.microsoft.com/office/drawing/2010/main" val="0"/>
                        </a:ext>
                      </a:extLst>
                    </a:blip>
                    <a:stretch>
                      <a:fillRect/>
                    </a:stretch>
                  </pic:blipFill>
                  <pic:spPr>
                    <a:xfrm>
                      <a:off x="0" y="0"/>
                      <a:ext cx="4158000" cy="2901600"/>
                    </a:xfrm>
                    <a:prstGeom prst="rect">
                      <a:avLst/>
                    </a:prstGeom>
                  </pic:spPr>
                </pic:pic>
              </a:graphicData>
            </a:graphic>
          </wp:inline>
        </w:drawing>
      </w:r>
    </w:p>
    <w:p w14:paraId="13456F67" w14:textId="6CAE0BF8" w:rsidR="009F6033" w:rsidRPr="005623A6" w:rsidRDefault="009F6033" w:rsidP="00B73A14">
      <w:r w:rsidRPr="005623A6">
        <w:t>An</w:t>
      </w:r>
      <w:r w:rsidRPr="005623A6">
        <w:rPr>
          <w:b/>
          <w:bCs/>
        </w:rPr>
        <w:t xml:space="preserve"> injunction</w:t>
      </w:r>
      <w:r w:rsidRPr="005623A6">
        <w:t xml:space="preserve"> is an order made by the Federal Court at </w:t>
      </w:r>
      <w:r w:rsidR="00D11F2F">
        <w:t>the ACMA</w:t>
      </w:r>
      <w:r w:rsidRPr="005623A6">
        <w:t xml:space="preserve">’s request that a person must stop engaging in conduct in breach of the </w:t>
      </w:r>
      <w:r w:rsidR="00AA7AED">
        <w:t>Tel Act</w:t>
      </w:r>
      <w:r w:rsidR="00726547">
        <w:t xml:space="preserve"> </w:t>
      </w:r>
      <w:r w:rsidRPr="005623A6">
        <w:t>or TCPSS Act or must do something to become compliant with those Acts.</w:t>
      </w:r>
      <w:r w:rsidRPr="005623A6">
        <w:rPr>
          <w:rStyle w:val="FootnoteReference"/>
        </w:rPr>
        <w:footnoteReference w:id="96"/>
      </w:r>
    </w:p>
    <w:p w14:paraId="69CF7332" w14:textId="495810AC" w:rsidR="006C2177" w:rsidRPr="005623A6" w:rsidRDefault="00B73A14" w:rsidP="00B73A14">
      <w:r w:rsidRPr="005623A6">
        <w:t xml:space="preserve">A </w:t>
      </w:r>
      <w:r w:rsidRPr="005623A6">
        <w:rPr>
          <w:b/>
          <w:bCs/>
        </w:rPr>
        <w:t xml:space="preserve">civil penalty </w:t>
      </w:r>
      <w:r w:rsidRPr="005623A6">
        <w:t>is a monetary penalty for breach</w:t>
      </w:r>
      <w:r w:rsidR="006C2177" w:rsidRPr="005623A6">
        <w:t>ing</w:t>
      </w:r>
      <w:r w:rsidRPr="005623A6">
        <w:t xml:space="preserve"> a ‘civil penalty provision’ of the </w:t>
      </w:r>
      <w:r w:rsidR="00AA7AED">
        <w:t>Tel Act</w:t>
      </w:r>
      <w:r w:rsidR="0090548D">
        <w:t xml:space="preserve"> </w:t>
      </w:r>
      <w:r w:rsidR="00C1131E">
        <w:t>or</w:t>
      </w:r>
      <w:r w:rsidR="00C1131E" w:rsidRPr="005623A6">
        <w:t xml:space="preserve"> </w:t>
      </w:r>
      <w:r w:rsidRPr="005623A6">
        <w:t>TCPSS Act.</w:t>
      </w:r>
      <w:r w:rsidR="006C2177" w:rsidRPr="005623A6">
        <w:t xml:space="preserve"> A civil penalty provision is a provision declared as a civil penalty provision in </w:t>
      </w:r>
      <w:r w:rsidR="0090548D">
        <w:t>these</w:t>
      </w:r>
      <w:r w:rsidR="006C2177" w:rsidRPr="005623A6">
        <w:t xml:space="preserve"> Acts.  </w:t>
      </w:r>
      <w:r w:rsidR="00B34784">
        <w:t>An example of a civil penalty provision is the requirement to comply with emergency call service</w:t>
      </w:r>
      <w:r w:rsidR="007C4C6D">
        <w:t>s</w:t>
      </w:r>
      <w:r w:rsidR="00B34784">
        <w:t xml:space="preserve"> determinations under s 148.</w:t>
      </w:r>
      <w:r w:rsidR="00496F99">
        <w:rPr>
          <w:rStyle w:val="FootnoteReference"/>
        </w:rPr>
        <w:footnoteReference w:id="97"/>
      </w:r>
      <w:r w:rsidR="00B34784">
        <w:t xml:space="preserve"> In addition, the </w:t>
      </w:r>
      <w:r w:rsidR="003B4D55" w:rsidRPr="005623A6">
        <w:t xml:space="preserve">obligations to comply with </w:t>
      </w:r>
      <w:r w:rsidR="006C2177" w:rsidRPr="005623A6">
        <w:t xml:space="preserve">a </w:t>
      </w:r>
      <w:r w:rsidR="008B3571" w:rsidRPr="008B3571">
        <w:t>direction to comply</w:t>
      </w:r>
      <w:r w:rsidR="00EC6D51">
        <w:t xml:space="preserve"> with an industry code</w:t>
      </w:r>
      <w:r w:rsidR="006C2177" w:rsidRPr="005623A6">
        <w:t>,</w:t>
      </w:r>
      <w:r w:rsidR="006C2177" w:rsidRPr="005623A6">
        <w:rPr>
          <w:rStyle w:val="FootnoteReference"/>
        </w:rPr>
        <w:footnoteReference w:id="98"/>
      </w:r>
      <w:r w:rsidR="006C2177" w:rsidRPr="005623A6">
        <w:t xml:space="preserve"> </w:t>
      </w:r>
      <w:r w:rsidR="00FB42F4" w:rsidRPr="005623A6">
        <w:t>an industry standard,</w:t>
      </w:r>
      <w:r w:rsidR="00FB42F4" w:rsidRPr="005623A6">
        <w:rPr>
          <w:rStyle w:val="FootnoteReference"/>
        </w:rPr>
        <w:footnoteReference w:id="99"/>
      </w:r>
      <w:r w:rsidR="00FB42F4" w:rsidRPr="005623A6">
        <w:t xml:space="preserve"> a service provider rule</w:t>
      </w:r>
      <w:r w:rsidR="00FB42F4" w:rsidRPr="005623A6">
        <w:rPr>
          <w:rStyle w:val="FootnoteReference"/>
        </w:rPr>
        <w:footnoteReference w:id="100"/>
      </w:r>
      <w:r w:rsidR="00FB42F4" w:rsidRPr="005623A6">
        <w:t xml:space="preserve"> </w:t>
      </w:r>
      <w:r w:rsidR="00B34784">
        <w:t xml:space="preserve">and </w:t>
      </w:r>
      <w:r w:rsidR="00FB42F4" w:rsidRPr="005623A6">
        <w:t>a carrier licence condition</w:t>
      </w:r>
      <w:r w:rsidR="00FB42F4" w:rsidRPr="005623A6">
        <w:rPr>
          <w:rStyle w:val="FootnoteReference"/>
        </w:rPr>
        <w:footnoteReference w:id="101"/>
      </w:r>
      <w:r w:rsidR="00FB42F4" w:rsidRPr="005623A6">
        <w:t xml:space="preserve"> </w:t>
      </w:r>
      <w:r w:rsidR="00B34784">
        <w:t xml:space="preserve">are all civil penalty provisions. However, </w:t>
      </w:r>
      <w:r w:rsidR="00496F99">
        <w:t xml:space="preserve">compliance with </w:t>
      </w:r>
      <w:r w:rsidR="00B24692">
        <w:t xml:space="preserve">a </w:t>
      </w:r>
      <w:r w:rsidR="000B16B6" w:rsidRPr="005623A6">
        <w:t xml:space="preserve">remedial direction </w:t>
      </w:r>
      <w:r w:rsidR="00B24692">
        <w:t xml:space="preserve">to comply with the </w:t>
      </w:r>
      <w:r w:rsidR="00AA7AED">
        <w:t>Tel Act</w:t>
      </w:r>
      <w:r w:rsidR="00B24692">
        <w:t xml:space="preserve"> and TCPSS Act provisions that are the focus if this report </w:t>
      </w:r>
      <w:r w:rsidR="000B16B6" w:rsidRPr="005623A6">
        <w:t>is not a civil penalty provision.</w:t>
      </w:r>
      <w:r w:rsidR="00B24692">
        <w:rPr>
          <w:rStyle w:val="FootnoteReference"/>
        </w:rPr>
        <w:footnoteReference w:id="102"/>
      </w:r>
    </w:p>
    <w:p w14:paraId="56832885" w14:textId="38CAF581" w:rsidR="00004AF6" w:rsidRPr="005623A6" w:rsidRDefault="00004AF6" w:rsidP="00B73A14">
      <w:r w:rsidRPr="005623A6">
        <w:t>The maximum penalty the Federal Court can impose for breach of a civil penalty provision depends on the party in breach</w:t>
      </w:r>
      <w:r w:rsidR="00790253">
        <w:t xml:space="preserve"> and the provision contravened</w:t>
      </w:r>
      <w:r w:rsidRPr="005623A6">
        <w:t xml:space="preserve">. The maximum penalty the Federal Court can impose on a corporation is much higher than the maximum penalty it can impose on individuals and other legal entities. For example, </w:t>
      </w:r>
      <w:r w:rsidR="003A6329">
        <w:t xml:space="preserve">the requirements to comply with </w:t>
      </w:r>
      <w:r w:rsidR="003A6329">
        <w:lastRenderedPageBreak/>
        <w:t>the conditions of a carrier licence and applicable service provider rules</w:t>
      </w:r>
      <w:r w:rsidR="003A6329" w:rsidRPr="005623A6">
        <w:t xml:space="preserve"> </w:t>
      </w:r>
      <w:r w:rsidRPr="005623A6">
        <w:t>can result in a maximum penalty of $10 million</w:t>
      </w:r>
      <w:r w:rsidR="00CA3059">
        <w:t xml:space="preserve"> for </w:t>
      </w:r>
      <w:r w:rsidR="00790253">
        <w:t xml:space="preserve">each </w:t>
      </w:r>
      <w:r w:rsidR="00CA3059">
        <w:t>contravention</w:t>
      </w:r>
      <w:r w:rsidR="00790253">
        <w:t>.</w:t>
      </w:r>
      <w:r w:rsidRPr="005623A6">
        <w:rPr>
          <w:rStyle w:val="FootnoteReference"/>
        </w:rPr>
        <w:footnoteReference w:id="103"/>
      </w:r>
      <w:r w:rsidRPr="005623A6">
        <w:t xml:space="preserve"> </w:t>
      </w:r>
      <w:r w:rsidR="00790253">
        <w:t xml:space="preserve">Contraventions of other </w:t>
      </w:r>
      <w:r w:rsidR="003A6329">
        <w:t xml:space="preserve">civil penalty </w:t>
      </w:r>
      <w:r w:rsidR="00790253">
        <w:t>provisions attract a penalty of $250,000 for each contravention.</w:t>
      </w:r>
      <w:r w:rsidR="00790253">
        <w:rPr>
          <w:rStyle w:val="FootnoteReference"/>
        </w:rPr>
        <w:footnoteReference w:id="104"/>
      </w:r>
      <w:r w:rsidR="00790253">
        <w:t xml:space="preserve"> A</w:t>
      </w:r>
      <w:r w:rsidR="1960458B" w:rsidRPr="005623A6">
        <w:t xml:space="preserve"> </w:t>
      </w:r>
      <w:r w:rsidRPr="005623A6">
        <w:t xml:space="preserve">breach </w:t>
      </w:r>
      <w:r w:rsidR="00790253">
        <w:t xml:space="preserve">of </w:t>
      </w:r>
      <w:r w:rsidR="003A6329">
        <w:t>the requirements to comply with the conditions of a carrier licence and applicable service provider rules</w:t>
      </w:r>
      <w:r w:rsidR="003A6329" w:rsidRPr="005623A6">
        <w:t xml:space="preserve"> </w:t>
      </w:r>
      <w:r w:rsidRPr="005623A6">
        <w:t xml:space="preserve">by an individual </w:t>
      </w:r>
      <w:r w:rsidR="00790253">
        <w:t xml:space="preserve">and other legal entities </w:t>
      </w:r>
      <w:r w:rsidRPr="005623A6">
        <w:t>cannot exceed $50,000</w:t>
      </w:r>
      <w:r w:rsidR="00790253">
        <w:t xml:space="preserve"> for each contravention</w:t>
      </w:r>
      <w:r w:rsidRPr="005623A6">
        <w:t>.</w:t>
      </w:r>
      <w:r w:rsidRPr="005623A6">
        <w:rPr>
          <w:rStyle w:val="FootnoteReference"/>
        </w:rPr>
        <w:footnoteReference w:id="105"/>
      </w:r>
      <w:r w:rsidRPr="005623A6">
        <w:t xml:space="preserve"> </w:t>
      </w:r>
      <w:r w:rsidR="003A6329">
        <w:t xml:space="preserve">In all cases, if conduct constitutes a contravention of two or more civil penalty provisions, a person is not liable to more than one pecuniary penalty. If the conduct in question concerns a </w:t>
      </w:r>
      <w:r w:rsidR="003A6329" w:rsidRPr="005623A6">
        <w:t xml:space="preserve">breach </w:t>
      </w:r>
      <w:r w:rsidR="003A6329">
        <w:t xml:space="preserve">of the requirements to comply with the conditions of a carrier licence or applicable service provider rules and another civil penalty provision, </w:t>
      </w:r>
      <w:r w:rsidR="00D11F2F">
        <w:t>the ACMA</w:t>
      </w:r>
      <w:r w:rsidR="00EE2A1E">
        <w:t xml:space="preserve"> may only seek a penalty for contravention of that other civil penalty provision.</w:t>
      </w:r>
      <w:r w:rsidR="00EE2A1E">
        <w:rPr>
          <w:rStyle w:val="FootnoteReference"/>
        </w:rPr>
        <w:footnoteReference w:id="106"/>
      </w:r>
    </w:p>
    <w:p w14:paraId="594CF497" w14:textId="002D84D6" w:rsidR="6AC13714" w:rsidRDefault="6AC13714" w:rsidP="10C10000">
      <w:pPr>
        <w:pStyle w:val="Heading3"/>
      </w:pPr>
      <w:bookmarkStart w:id="82" w:name="_Toc161836158"/>
      <w:r>
        <w:t>3</w:t>
      </w:r>
      <w:r w:rsidR="00CF7739">
        <w:tab/>
      </w:r>
      <w:r>
        <w:t>Criminal Mechanisms</w:t>
      </w:r>
      <w:bookmarkEnd w:id="82"/>
    </w:p>
    <w:p w14:paraId="11DF6C13" w14:textId="50CAE11D" w:rsidR="00773940" w:rsidRDefault="5F5B949D" w:rsidP="23199C30">
      <w:pPr>
        <w:rPr>
          <w:rFonts w:ascii="Helvetica" w:eastAsia="Helvetica" w:hAnsi="Helvetica" w:cs="Helvetica"/>
          <w:color w:val="333333"/>
          <w:lang w:val="en"/>
        </w:rPr>
      </w:pPr>
      <w:bookmarkStart w:id="83" w:name="_Hlk161681147"/>
      <w:r>
        <w:t xml:space="preserve">Section 531(1) of the </w:t>
      </w:r>
      <w:r w:rsidR="00AA7AED">
        <w:t>Tel Act</w:t>
      </w:r>
      <w:r>
        <w:t xml:space="preserve"> imposes an obligation on </w:t>
      </w:r>
      <w:r w:rsidR="0783EE2C">
        <w:t xml:space="preserve">a </w:t>
      </w:r>
      <w:r>
        <w:t xml:space="preserve">person, including </w:t>
      </w:r>
      <w:r w:rsidR="7EBB97F2">
        <w:t xml:space="preserve">a </w:t>
      </w:r>
      <w:r>
        <w:t>corporate bod</w:t>
      </w:r>
      <w:r w:rsidR="3F7FFF06">
        <w:t>y</w:t>
      </w:r>
      <w:r>
        <w:t>,</w:t>
      </w:r>
      <w:r w:rsidR="6FC0A4F7">
        <w:t xml:space="preserve"> not to make an incorrect record in purported compliance </w:t>
      </w:r>
      <w:r w:rsidR="7C906AB4">
        <w:t>with</w:t>
      </w:r>
      <w:r w:rsidR="6FC0A4F7">
        <w:t xml:space="preserve"> any record-keeping rules adopted by </w:t>
      </w:r>
      <w:r w:rsidR="00D11F2F">
        <w:t>the ACMA</w:t>
      </w:r>
      <w:r w:rsidR="0033732D">
        <w:t>.</w:t>
      </w:r>
      <w:r w:rsidR="005C4A51">
        <w:rPr>
          <w:rStyle w:val="FootnoteReference"/>
        </w:rPr>
        <w:footnoteReference w:id="107"/>
      </w:r>
      <w:r w:rsidR="419FFBC9">
        <w:t xml:space="preserve"> </w:t>
      </w:r>
      <w:r w:rsidR="6FC0A4F7">
        <w:t>If a p</w:t>
      </w:r>
      <w:r w:rsidR="56D2B58A">
        <w:t xml:space="preserve">erson breaches that obligation, </w:t>
      </w:r>
      <w:r w:rsidR="5A9B3496">
        <w:t xml:space="preserve">they have committed a criminal offence, and </w:t>
      </w:r>
      <w:r w:rsidR="00D11F2F">
        <w:t>the ACMA</w:t>
      </w:r>
      <w:r w:rsidR="56D2B58A">
        <w:t xml:space="preserve"> m</w:t>
      </w:r>
      <w:r w:rsidR="0B0085DD">
        <w:t>ay</w:t>
      </w:r>
      <w:r w:rsidR="3B9173DF">
        <w:t xml:space="preserve"> refer </w:t>
      </w:r>
      <w:r w:rsidR="2F01CC8F">
        <w:t>the</w:t>
      </w:r>
      <w:r w:rsidR="3B9173DF">
        <w:t xml:space="preserve"> </w:t>
      </w:r>
      <w:r w:rsidR="3B9173DF" w:rsidRPr="23199C30">
        <w:rPr>
          <w:rFonts w:ascii="Helvetica" w:eastAsia="Helvetica" w:hAnsi="Helvetica" w:cs="Helvetica"/>
          <w:color w:val="333333"/>
          <w:lang w:val="en"/>
        </w:rPr>
        <w:t xml:space="preserve">alleged </w:t>
      </w:r>
      <w:r w:rsidR="6A79DDA2" w:rsidRPr="23199C30">
        <w:rPr>
          <w:rFonts w:ascii="Helvetica" w:eastAsia="Helvetica" w:hAnsi="Helvetica" w:cs="Helvetica"/>
          <w:color w:val="333333"/>
          <w:lang w:val="en"/>
        </w:rPr>
        <w:t>offence</w:t>
      </w:r>
      <w:r w:rsidR="01E8BB79" w:rsidRPr="23199C30">
        <w:rPr>
          <w:rFonts w:ascii="Helvetica" w:eastAsia="Helvetica" w:hAnsi="Helvetica" w:cs="Helvetica"/>
          <w:color w:val="333333"/>
          <w:lang w:val="en"/>
        </w:rPr>
        <w:t xml:space="preserve"> </w:t>
      </w:r>
      <w:r w:rsidR="3B9173DF" w:rsidRPr="23199C30">
        <w:rPr>
          <w:rFonts w:ascii="Helvetica" w:eastAsia="Helvetica" w:hAnsi="Helvetica" w:cs="Helvetica"/>
          <w:color w:val="333333"/>
          <w:lang w:val="en"/>
        </w:rPr>
        <w:t>to the Commonwealth Director of Public Prosecutions.</w:t>
      </w:r>
      <w:r w:rsidR="32552FFC" w:rsidRPr="23199C30">
        <w:rPr>
          <w:rFonts w:ascii="Helvetica" w:eastAsia="Helvetica" w:hAnsi="Helvetica" w:cs="Helvetica"/>
          <w:color w:val="333333"/>
          <w:lang w:val="en"/>
        </w:rPr>
        <w:t xml:space="preserve"> If the </w:t>
      </w:r>
      <w:r w:rsidR="780F1A34" w:rsidRPr="23199C30">
        <w:rPr>
          <w:rFonts w:ascii="Helvetica" w:eastAsia="Helvetica" w:hAnsi="Helvetica" w:cs="Helvetica"/>
          <w:color w:val="333333"/>
          <w:lang w:val="en"/>
        </w:rPr>
        <w:t xml:space="preserve">Commonwealth Director agrees to </w:t>
      </w:r>
      <w:r w:rsidR="32552FFC" w:rsidRPr="23199C30">
        <w:rPr>
          <w:rFonts w:ascii="Helvetica" w:eastAsia="Helvetica" w:hAnsi="Helvetica" w:cs="Helvetica"/>
          <w:color w:val="333333"/>
          <w:lang w:val="en"/>
        </w:rPr>
        <w:t>prosecut</w:t>
      </w:r>
      <w:r w:rsidR="0C2F272A" w:rsidRPr="23199C30">
        <w:rPr>
          <w:rFonts w:ascii="Helvetica" w:eastAsia="Helvetica" w:hAnsi="Helvetica" w:cs="Helvetica"/>
          <w:color w:val="333333"/>
          <w:lang w:val="en"/>
        </w:rPr>
        <w:t xml:space="preserve">e the matter </w:t>
      </w:r>
      <w:r w:rsidR="32552FFC" w:rsidRPr="23199C30">
        <w:rPr>
          <w:rFonts w:ascii="Helvetica" w:eastAsia="Helvetica" w:hAnsi="Helvetica" w:cs="Helvetica"/>
          <w:color w:val="333333"/>
          <w:lang w:val="en"/>
        </w:rPr>
        <w:t xml:space="preserve">and </w:t>
      </w:r>
      <w:r w:rsidR="0F7390DE" w:rsidRPr="1974D2CF">
        <w:rPr>
          <w:rFonts w:ascii="Helvetica" w:eastAsia="Helvetica" w:hAnsi="Helvetica" w:cs="Helvetica"/>
          <w:color w:val="333333"/>
          <w:lang w:val="en"/>
        </w:rPr>
        <w:t xml:space="preserve">the </w:t>
      </w:r>
      <w:r w:rsidR="01CB9808" w:rsidRPr="23199C30">
        <w:rPr>
          <w:rFonts w:ascii="Helvetica" w:eastAsia="Helvetica" w:hAnsi="Helvetica" w:cs="Helvetica"/>
          <w:color w:val="333333"/>
          <w:lang w:val="en"/>
        </w:rPr>
        <w:t>relevant person is found guilty of the offence</w:t>
      </w:r>
      <w:r w:rsidR="32552FFC" w:rsidRPr="23199C30">
        <w:rPr>
          <w:rFonts w:ascii="Helvetica" w:eastAsia="Helvetica" w:hAnsi="Helvetica" w:cs="Helvetica"/>
          <w:color w:val="333333"/>
          <w:lang w:val="en"/>
        </w:rPr>
        <w:t xml:space="preserve">, the </w:t>
      </w:r>
      <w:r w:rsidR="66CF7F21" w:rsidRPr="23199C30">
        <w:rPr>
          <w:rFonts w:ascii="Helvetica" w:eastAsia="Helvetica" w:hAnsi="Helvetica" w:cs="Helvetica"/>
          <w:color w:val="333333"/>
          <w:lang w:val="en"/>
        </w:rPr>
        <w:t xml:space="preserve">person </w:t>
      </w:r>
      <w:r w:rsidR="00724ABB">
        <w:rPr>
          <w:rFonts w:ascii="Helvetica" w:eastAsia="Helvetica" w:hAnsi="Helvetica" w:cs="Helvetica"/>
          <w:color w:val="333333"/>
          <w:lang w:val="en"/>
        </w:rPr>
        <w:t xml:space="preserve">may </w:t>
      </w:r>
      <w:r w:rsidR="66CF7F21" w:rsidRPr="23199C30">
        <w:rPr>
          <w:rFonts w:ascii="Helvetica" w:eastAsia="Helvetica" w:hAnsi="Helvetica" w:cs="Helvetica"/>
          <w:color w:val="333333"/>
          <w:lang w:val="en"/>
        </w:rPr>
        <w:t xml:space="preserve">receive </w:t>
      </w:r>
      <w:r w:rsidR="66CF7F21" w:rsidRPr="00527563">
        <w:rPr>
          <w:rFonts w:eastAsia="Helvetica" w:cs="Arial"/>
          <w:color w:val="333333"/>
          <w:lang w:val="en"/>
        </w:rPr>
        <w:t xml:space="preserve">a </w:t>
      </w:r>
      <w:r w:rsidR="21565DF3" w:rsidRPr="12EC14AA">
        <w:rPr>
          <w:rFonts w:eastAsia="Helvetica" w:cs="Arial"/>
          <w:b/>
          <w:bCs/>
          <w:color w:val="333333"/>
          <w:lang w:val="en"/>
        </w:rPr>
        <w:t xml:space="preserve">fine upon </w:t>
      </w:r>
      <w:r w:rsidR="21565DF3" w:rsidRPr="00527563">
        <w:rPr>
          <w:rFonts w:eastAsia="Helvetica" w:cs="Arial"/>
          <w:b/>
          <w:bCs/>
          <w:color w:val="333333"/>
          <w:lang w:val="en"/>
        </w:rPr>
        <w:t>conviction</w:t>
      </w:r>
      <w:r w:rsidR="432D2109" w:rsidRPr="12EC14AA">
        <w:rPr>
          <w:rFonts w:ascii="Helvetica" w:eastAsia="Helvetica" w:hAnsi="Helvetica" w:cs="Helvetica"/>
          <w:b/>
          <w:bCs/>
          <w:color w:val="333333"/>
          <w:lang w:val="en"/>
        </w:rPr>
        <w:t xml:space="preserve"> </w:t>
      </w:r>
      <w:r w:rsidR="432D2109" w:rsidRPr="23199C30">
        <w:rPr>
          <w:rFonts w:ascii="Helvetica" w:eastAsia="Helvetica" w:hAnsi="Helvetica" w:cs="Helvetica"/>
          <w:color w:val="333333"/>
          <w:lang w:val="en"/>
        </w:rPr>
        <w:t>not exceeding 100 penalty units</w:t>
      </w:r>
      <w:r w:rsidR="00527563">
        <w:rPr>
          <w:rFonts w:ascii="Helvetica" w:eastAsia="Helvetica" w:hAnsi="Helvetica" w:cs="Helvetica"/>
          <w:color w:val="333333"/>
          <w:lang w:val="en"/>
        </w:rPr>
        <w:t>.</w:t>
      </w:r>
      <w:r w:rsidR="0033732D">
        <w:rPr>
          <w:rStyle w:val="FootnoteReference"/>
          <w:rFonts w:ascii="Helvetica" w:eastAsia="Helvetica" w:hAnsi="Helvetica" w:cs="Helvetica"/>
          <w:color w:val="333333"/>
          <w:lang w:val="en"/>
        </w:rPr>
        <w:footnoteReference w:id="108"/>
      </w:r>
      <w:r w:rsidR="66CF7F21" w:rsidRPr="23199C30">
        <w:rPr>
          <w:rFonts w:ascii="Helvetica" w:eastAsia="Helvetica" w:hAnsi="Helvetica" w:cs="Helvetica"/>
          <w:color w:val="333333"/>
          <w:lang w:val="en"/>
        </w:rPr>
        <w:t xml:space="preserve"> </w:t>
      </w:r>
      <w:r w:rsidR="00EE3083">
        <w:rPr>
          <w:rFonts w:ascii="Helvetica" w:eastAsia="Helvetica" w:hAnsi="Helvetica" w:cs="Helvetica"/>
          <w:color w:val="333333"/>
          <w:lang w:val="en"/>
        </w:rPr>
        <w:t>This is represented in Figure 6.</w:t>
      </w:r>
    </w:p>
    <w:bookmarkEnd w:id="83"/>
    <w:p w14:paraId="122B034F" w14:textId="278D3419" w:rsidR="00EE3083" w:rsidRPr="005623A6" w:rsidRDefault="00EE3083" w:rsidP="00EE3083">
      <w:pPr>
        <w:jc w:val="center"/>
        <w:rPr>
          <w:lang w:val="en"/>
        </w:rPr>
      </w:pPr>
      <w:r>
        <w:rPr>
          <w:noProof/>
        </w:rPr>
        <w:drawing>
          <wp:inline distT="0" distB="0" distL="0" distR="0" wp14:anchorId="6F145F06" wp14:editId="0E5ED4A9">
            <wp:extent cx="4626873" cy="3233935"/>
            <wp:effectExtent l="0" t="0" r="2540" b="5080"/>
            <wp:docPr id="11" name="Picture 11" descr="Figure 6 ACMA Civil Penalties &#10;&#10;A pyramid with three tiers. The largest and bottom tier is blue says &quot;Administrative.&quot; The second tier is yellow. The top tier is red and says &quot;criminal&quot; with a ribbon protruding out of the tier. The ribbon reads &quot;Fine upon conviction&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6 ACMA Civil Penalties &#10;&#10;A pyramid with three tiers. The largest and bottom tier is blue says &quot;Administrative.&quot; The second tier is yellow. The top tier is red and says &quot;criminal&quot; with a ribbon protruding out of the tier. The ribbon reads &quot;Fine upon conviction&quot;.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26873" cy="3233935"/>
                    </a:xfrm>
                    <a:prstGeom prst="rect">
                      <a:avLst/>
                    </a:prstGeom>
                  </pic:spPr>
                </pic:pic>
              </a:graphicData>
            </a:graphic>
          </wp:inline>
        </w:drawing>
      </w:r>
    </w:p>
    <w:p w14:paraId="5A0E662A" w14:textId="77777777" w:rsidR="00EE3083" w:rsidRDefault="00EE3083" w:rsidP="23199C30"/>
    <w:p w14:paraId="348138F6" w14:textId="75723E68" w:rsidR="00496F99" w:rsidRDefault="00496F99" w:rsidP="23199C30">
      <w:r w:rsidRPr="00995498">
        <w:t xml:space="preserve">Making incorrect records in purported compliance with the Telecommunications (Consumer Complaints) Record-Keeping Rules 2018 (Cth) could </w:t>
      </w:r>
      <w:r>
        <w:t xml:space="preserve">therefore </w:t>
      </w:r>
      <w:r w:rsidRPr="00995498">
        <w:t>lead to a fine upon conviction.</w:t>
      </w:r>
    </w:p>
    <w:p w14:paraId="42D5C167" w14:textId="279A3B0C" w:rsidR="18711AC2" w:rsidRDefault="0A07B381" w:rsidP="7C296F47">
      <w:pPr>
        <w:rPr>
          <w:lang w:val="en"/>
        </w:rPr>
      </w:pPr>
      <w:bookmarkStart w:id="84" w:name="_Hlk161681164"/>
      <w:r>
        <w:lastRenderedPageBreak/>
        <w:t xml:space="preserve">A </w:t>
      </w:r>
      <w:r w:rsidR="10690651">
        <w:t>fine</w:t>
      </w:r>
      <w:r>
        <w:t xml:space="preserve"> </w:t>
      </w:r>
      <w:r w:rsidR="635ADB77">
        <w:t>upon conviction</w:t>
      </w:r>
      <w:r w:rsidRPr="56C73059">
        <w:rPr>
          <w:b/>
          <w:bCs/>
        </w:rPr>
        <w:t xml:space="preserve"> </w:t>
      </w:r>
      <w:r>
        <w:t xml:space="preserve">is a </w:t>
      </w:r>
      <w:r w:rsidR="4E374CC2">
        <w:t>monetary penalty</w:t>
      </w:r>
      <w:r w:rsidR="56AD2624">
        <w:t xml:space="preserve"> imposed by a </w:t>
      </w:r>
      <w:r w:rsidR="52AF9E61">
        <w:t xml:space="preserve">court </w:t>
      </w:r>
      <w:r w:rsidR="46632893" w:rsidRPr="56C73059">
        <w:rPr>
          <w:rFonts w:ascii="Helvetica" w:eastAsia="Helvetica" w:hAnsi="Helvetica" w:cs="Helvetica"/>
          <w:color w:val="333333"/>
          <w:lang w:val="en"/>
        </w:rPr>
        <w:t>fo</w:t>
      </w:r>
      <w:r w:rsidR="646E129E" w:rsidRPr="56C73059">
        <w:rPr>
          <w:rFonts w:ascii="Helvetica" w:eastAsia="Helvetica" w:hAnsi="Helvetica" w:cs="Helvetica"/>
          <w:color w:val="333333"/>
          <w:lang w:val="en"/>
        </w:rPr>
        <w:t>r commission of a</w:t>
      </w:r>
      <w:r w:rsidR="61295FF3" w:rsidRPr="56C73059">
        <w:rPr>
          <w:rFonts w:ascii="Helvetica" w:eastAsia="Helvetica" w:hAnsi="Helvetica" w:cs="Helvetica"/>
          <w:color w:val="333333"/>
          <w:lang w:val="en"/>
        </w:rPr>
        <w:t>n</w:t>
      </w:r>
      <w:r w:rsidR="646E129E" w:rsidRPr="56C73059">
        <w:rPr>
          <w:rFonts w:ascii="Helvetica" w:eastAsia="Helvetica" w:hAnsi="Helvetica" w:cs="Helvetica"/>
          <w:color w:val="333333"/>
          <w:lang w:val="en"/>
        </w:rPr>
        <w:t xml:space="preserve"> offence under Commonwealth </w:t>
      </w:r>
      <w:r w:rsidR="46632893" w:rsidRPr="56C73059">
        <w:rPr>
          <w:rFonts w:ascii="Helvetica" w:eastAsia="Helvetica" w:hAnsi="Helvetica" w:cs="Helvetica"/>
          <w:color w:val="333333"/>
          <w:lang w:val="en"/>
        </w:rPr>
        <w:t>l</w:t>
      </w:r>
      <w:r w:rsidR="7BCE1282" w:rsidRPr="56C73059">
        <w:rPr>
          <w:rFonts w:ascii="Helvetica" w:eastAsia="Helvetica" w:hAnsi="Helvetica" w:cs="Helvetica"/>
          <w:color w:val="333333"/>
          <w:lang w:val="en"/>
        </w:rPr>
        <w:t xml:space="preserve">aw. </w:t>
      </w:r>
      <w:r w:rsidR="1E76A6D0">
        <w:t xml:space="preserve">As for </w:t>
      </w:r>
      <w:r w:rsidR="00496F99">
        <w:t>infringement fines</w:t>
      </w:r>
      <w:r w:rsidR="67D514A7">
        <w:t>, t</w:t>
      </w:r>
      <w:r w:rsidR="1E76A6D0">
        <w:t xml:space="preserve">he amount of a penalty unit is prescribed by the </w:t>
      </w:r>
      <w:r w:rsidR="1E76A6D0" w:rsidRPr="56C73059">
        <w:rPr>
          <w:i/>
          <w:iCs/>
        </w:rPr>
        <w:t>Crimes Act 1914</w:t>
      </w:r>
      <w:r w:rsidR="1E76A6D0">
        <w:t xml:space="preserve"> (</w:t>
      </w:r>
      <w:r w:rsidR="6AC13714">
        <w:t>Cth</w:t>
      </w:r>
      <w:r w:rsidR="1E76A6D0">
        <w:t>) and at the time of writing is $</w:t>
      </w:r>
      <w:r w:rsidR="007C4C6D">
        <w:t>313</w:t>
      </w:r>
      <w:r w:rsidR="1E76A6D0">
        <w:t xml:space="preserve"> for offences committed on or after 1 </w:t>
      </w:r>
      <w:r w:rsidR="00D169BD">
        <w:t xml:space="preserve">July </w:t>
      </w:r>
      <w:r w:rsidR="1E76A6D0">
        <w:t>2023.</w:t>
      </w:r>
      <w:r w:rsidR="7259DB2D">
        <w:t xml:space="preserve"> 100 penalty units </w:t>
      </w:r>
      <w:r w:rsidR="4CF8172C">
        <w:t>equates to</w:t>
      </w:r>
      <w:r w:rsidR="7259DB2D">
        <w:t xml:space="preserve"> </w:t>
      </w:r>
      <w:r w:rsidR="3451AF5F">
        <w:t>$</w:t>
      </w:r>
      <w:r w:rsidR="00B8492D">
        <w:t>31,300</w:t>
      </w:r>
      <w:r w:rsidR="3C272459">
        <w:t>.</w:t>
      </w:r>
    </w:p>
    <w:p w14:paraId="33A46860" w14:textId="586E7A89" w:rsidR="00773940" w:rsidRPr="005623A6" w:rsidRDefault="6AC13714" w:rsidP="00B05C1D">
      <w:pPr>
        <w:pStyle w:val="Heading3"/>
      </w:pPr>
      <w:bookmarkStart w:id="85" w:name="_Toc139024387"/>
      <w:bookmarkStart w:id="86" w:name="_Toc139024710"/>
      <w:bookmarkStart w:id="87" w:name="_Toc139031353"/>
      <w:bookmarkStart w:id="88" w:name="_Toc146201030"/>
      <w:bookmarkStart w:id="89" w:name="EnforceableUndertakings"/>
      <w:bookmarkStart w:id="90" w:name="_Toc161836159"/>
      <w:bookmarkEnd w:id="84"/>
      <w:r>
        <w:t>4</w:t>
      </w:r>
      <w:r w:rsidR="00CF7739">
        <w:tab/>
      </w:r>
      <w:r w:rsidR="00EF6C2F">
        <w:t>Enforceable</w:t>
      </w:r>
      <w:r w:rsidR="00EF6C2F" w:rsidRPr="005623A6">
        <w:t xml:space="preserve"> </w:t>
      </w:r>
      <w:r w:rsidR="00B575EC">
        <w:t>U</w:t>
      </w:r>
      <w:r w:rsidR="00EF6C2F" w:rsidRPr="005623A6">
        <w:t>ndertakings</w:t>
      </w:r>
      <w:bookmarkEnd w:id="85"/>
      <w:bookmarkEnd w:id="86"/>
      <w:bookmarkEnd w:id="87"/>
      <w:bookmarkEnd w:id="88"/>
      <w:bookmarkEnd w:id="89"/>
      <w:bookmarkEnd w:id="90"/>
    </w:p>
    <w:p w14:paraId="4544E8FE" w14:textId="499FBC3C" w:rsidR="006A4878" w:rsidRPr="005623A6" w:rsidRDefault="00D3105C" w:rsidP="00D3105C">
      <w:r w:rsidRPr="005623A6">
        <w:t xml:space="preserve">An </w:t>
      </w:r>
      <w:r w:rsidRPr="12EC14AA">
        <w:rPr>
          <w:b/>
          <w:bCs/>
        </w:rPr>
        <w:t>e</w:t>
      </w:r>
      <w:r w:rsidRPr="005623A6">
        <w:rPr>
          <w:b/>
          <w:bCs/>
        </w:rPr>
        <w:t>nforceable undertaking</w:t>
      </w:r>
      <w:r w:rsidRPr="005623A6">
        <w:t xml:space="preserve"> is ‘a negotiated binding agreement that can be enforced in court by the </w:t>
      </w:r>
      <w:r w:rsidR="00D11F2F">
        <w:t>ACMA</w:t>
      </w:r>
      <w:r w:rsidRPr="005623A6">
        <w:t>’.</w:t>
      </w:r>
      <w:bookmarkStart w:id="91" w:name="_Ref161678565"/>
      <w:r w:rsidRPr="005623A6">
        <w:rPr>
          <w:rStyle w:val="FootnoteReference"/>
        </w:rPr>
        <w:footnoteReference w:id="109"/>
      </w:r>
      <w:bookmarkEnd w:id="91"/>
      <w:r w:rsidRPr="005623A6">
        <w:t xml:space="preserve"> It is a written promise made by a person (and accepted by </w:t>
      </w:r>
      <w:r w:rsidR="00D11F2F">
        <w:t>the ACMA</w:t>
      </w:r>
      <w:r w:rsidRPr="005623A6">
        <w:t xml:space="preserve">) that they will take or refrain from taking specified action to comply with the </w:t>
      </w:r>
      <w:r w:rsidR="00AA7AED">
        <w:t>Tel Act</w:t>
      </w:r>
      <w:r w:rsidR="000A69B9">
        <w:t xml:space="preserve"> </w:t>
      </w:r>
      <w:r w:rsidR="00855946">
        <w:t>or</w:t>
      </w:r>
      <w:r w:rsidR="00855946" w:rsidRPr="005623A6">
        <w:t xml:space="preserve"> </w:t>
      </w:r>
      <w:r w:rsidRPr="005623A6">
        <w:t>TCPSS Act; or take specified action to ensure they do not contravene these Acts in the future.</w:t>
      </w:r>
      <w:r w:rsidRPr="005623A6">
        <w:rPr>
          <w:rStyle w:val="FootnoteReference"/>
        </w:rPr>
        <w:footnoteReference w:id="110"/>
      </w:r>
      <w:r w:rsidRPr="005623A6">
        <w:t xml:space="preserve"> If an enforceable undertaking is breached, </w:t>
      </w:r>
      <w:r w:rsidR="00D11F2F">
        <w:t>the ACMA</w:t>
      </w:r>
      <w:r w:rsidRPr="005623A6">
        <w:t xml:space="preserve"> may bring legal proceedings in the Federal Court and ask the court to make one or more orders. These orders may direct the person to comply with the undertaking; to pay the Commonwealth a sum of money (up to the amount of any financial benefit that the person has obtained directly or indirectly and that is reasonably attributable to the breach); and to compensate people who have suffered loss or damage</w:t>
      </w:r>
      <w:r w:rsidR="001B5C5C" w:rsidRPr="005623A6">
        <w:t>.</w:t>
      </w:r>
      <w:r w:rsidRPr="005623A6">
        <w:rPr>
          <w:rStyle w:val="FootnoteReference"/>
        </w:rPr>
        <w:footnoteReference w:id="111"/>
      </w:r>
      <w:r w:rsidRPr="005623A6">
        <w:t xml:space="preserve"> </w:t>
      </w:r>
      <w:r w:rsidR="00DE6023" w:rsidRPr="005623A6">
        <w:t xml:space="preserve"> </w:t>
      </w:r>
    </w:p>
    <w:p w14:paraId="7FAB2200" w14:textId="77777777" w:rsidR="00A2042C" w:rsidRPr="005623A6" w:rsidRDefault="00A2042C" w:rsidP="00F97E0A">
      <w:r w:rsidRPr="005623A6">
        <w:t xml:space="preserve">Enforceable undertakings have been a feature of the telecommunications regulatory framework since 2005 following the enactment of the </w:t>
      </w:r>
      <w:r w:rsidRPr="005623A6">
        <w:rPr>
          <w:i/>
          <w:iCs/>
        </w:rPr>
        <w:t>Telecommunications Legislation Amendment (Competition and Consumer Issues) Act 2005</w:t>
      </w:r>
      <w:r w:rsidRPr="005623A6">
        <w:t xml:space="preserve"> (Cth).</w:t>
      </w:r>
    </w:p>
    <w:p w14:paraId="69C6C53E" w14:textId="5BBDED4F" w:rsidR="00AB7149" w:rsidRPr="0071639A" w:rsidRDefault="00A05C86" w:rsidP="0071639A">
      <w:pPr>
        <w:rPr>
          <w:rStyle w:val="cf01"/>
          <w:rFonts w:ascii="Arial" w:hAnsi="Arial" w:cs="Arial"/>
          <w:sz w:val="21"/>
          <w:szCs w:val="21"/>
        </w:rPr>
      </w:pPr>
      <w:r w:rsidRPr="56C73059">
        <w:rPr>
          <w:rStyle w:val="cf01"/>
          <w:rFonts w:ascii="Arial" w:hAnsi="Arial" w:cs="Arial"/>
          <w:sz w:val="21"/>
          <w:szCs w:val="21"/>
        </w:rPr>
        <w:t>T</w:t>
      </w:r>
      <w:r w:rsidR="00D11F2F">
        <w:rPr>
          <w:rStyle w:val="cf01"/>
          <w:rFonts w:ascii="Arial" w:hAnsi="Arial" w:cs="Arial"/>
          <w:sz w:val="21"/>
          <w:szCs w:val="21"/>
        </w:rPr>
        <w:t>he ACMA</w:t>
      </w:r>
      <w:r w:rsidR="00127694" w:rsidRPr="0071639A">
        <w:rPr>
          <w:rStyle w:val="cf01"/>
          <w:rFonts w:ascii="Arial" w:hAnsi="Arial" w:cs="Arial"/>
          <w:sz w:val="21"/>
          <w:szCs w:val="21"/>
        </w:rPr>
        <w:t xml:space="preserve"> </w:t>
      </w:r>
      <w:r w:rsidR="00B504E4" w:rsidRPr="0071639A">
        <w:rPr>
          <w:rStyle w:val="cf01"/>
          <w:rFonts w:ascii="Arial" w:hAnsi="Arial" w:cs="Arial"/>
          <w:sz w:val="21"/>
          <w:szCs w:val="21"/>
        </w:rPr>
        <w:t xml:space="preserve">treats an enforceable undertaking </w:t>
      </w:r>
      <w:r w:rsidR="00595E93" w:rsidRPr="0071639A">
        <w:rPr>
          <w:rStyle w:val="cf01"/>
          <w:rFonts w:ascii="Arial" w:hAnsi="Arial" w:cs="Arial"/>
          <w:sz w:val="21"/>
          <w:szCs w:val="21"/>
        </w:rPr>
        <w:t xml:space="preserve">as </w:t>
      </w:r>
      <w:r w:rsidR="009A2988" w:rsidRPr="0071639A">
        <w:rPr>
          <w:rStyle w:val="cf01"/>
          <w:rFonts w:ascii="Arial" w:hAnsi="Arial" w:cs="Arial"/>
          <w:sz w:val="21"/>
          <w:szCs w:val="21"/>
        </w:rPr>
        <w:t xml:space="preserve">another type of administrative </w:t>
      </w:r>
      <w:r w:rsidR="00B504E4" w:rsidRPr="0071639A">
        <w:rPr>
          <w:rStyle w:val="cf01"/>
          <w:rFonts w:ascii="Arial" w:hAnsi="Arial" w:cs="Arial"/>
          <w:sz w:val="21"/>
          <w:szCs w:val="21"/>
        </w:rPr>
        <w:t>s</w:t>
      </w:r>
      <w:r w:rsidR="009A2988" w:rsidRPr="0071639A">
        <w:rPr>
          <w:rStyle w:val="cf01"/>
          <w:rFonts w:ascii="Arial" w:hAnsi="Arial" w:cs="Arial"/>
          <w:sz w:val="21"/>
          <w:szCs w:val="21"/>
        </w:rPr>
        <w:t>a</w:t>
      </w:r>
      <w:r w:rsidR="00B504E4" w:rsidRPr="0071639A">
        <w:rPr>
          <w:rStyle w:val="cf01"/>
          <w:rFonts w:ascii="Arial" w:hAnsi="Arial" w:cs="Arial"/>
          <w:sz w:val="21"/>
          <w:szCs w:val="21"/>
        </w:rPr>
        <w:t>n</w:t>
      </w:r>
      <w:r w:rsidR="009A2988" w:rsidRPr="0071639A">
        <w:rPr>
          <w:rStyle w:val="cf01"/>
          <w:rFonts w:ascii="Arial" w:hAnsi="Arial" w:cs="Arial"/>
          <w:sz w:val="21"/>
          <w:szCs w:val="21"/>
        </w:rPr>
        <w:t>ction.</w:t>
      </w:r>
      <w:r w:rsidR="00AB7149" w:rsidRPr="0071639A">
        <w:rPr>
          <w:rStyle w:val="cf01"/>
          <w:rFonts w:ascii="Arial" w:hAnsi="Arial" w:cs="Arial"/>
          <w:sz w:val="21"/>
          <w:szCs w:val="21"/>
        </w:rPr>
        <w:t xml:space="preserve"> For example, it </w:t>
      </w:r>
      <w:r w:rsidR="00B504E4" w:rsidRPr="0071639A">
        <w:rPr>
          <w:rStyle w:val="cf01"/>
          <w:rFonts w:ascii="Arial" w:hAnsi="Arial" w:cs="Arial"/>
          <w:sz w:val="21"/>
          <w:szCs w:val="21"/>
        </w:rPr>
        <w:t xml:space="preserve">has stated it </w:t>
      </w:r>
      <w:r w:rsidR="00AB7149" w:rsidRPr="0071639A">
        <w:rPr>
          <w:rStyle w:val="cf01"/>
          <w:rFonts w:ascii="Arial" w:hAnsi="Arial" w:cs="Arial"/>
          <w:sz w:val="21"/>
          <w:szCs w:val="21"/>
        </w:rPr>
        <w:t xml:space="preserve">may accept an enforceable undertaking instead of issuing a remedial direction. Further, </w:t>
      </w:r>
      <w:r w:rsidR="00D11F2F">
        <w:rPr>
          <w:rStyle w:val="cf01"/>
          <w:rFonts w:ascii="Arial" w:hAnsi="Arial" w:cs="Arial"/>
          <w:sz w:val="21"/>
          <w:szCs w:val="21"/>
        </w:rPr>
        <w:t>the ACMA</w:t>
      </w:r>
      <w:r w:rsidR="00AB7149" w:rsidRPr="0071639A">
        <w:rPr>
          <w:rStyle w:val="cf01"/>
          <w:rFonts w:ascii="Arial" w:hAnsi="Arial" w:cs="Arial"/>
          <w:sz w:val="21"/>
          <w:szCs w:val="21"/>
        </w:rPr>
        <w:t xml:space="preserve"> has </w:t>
      </w:r>
      <w:r w:rsidR="00B504E4" w:rsidRPr="0071639A">
        <w:rPr>
          <w:rStyle w:val="cf01"/>
          <w:rFonts w:ascii="Arial" w:hAnsi="Arial" w:cs="Arial"/>
          <w:sz w:val="21"/>
          <w:szCs w:val="21"/>
        </w:rPr>
        <w:t xml:space="preserve">stated it may accept an enforceable undertaking instead of seeking civil penalties or injunctions in the Federal Court. It has also suggested that </w:t>
      </w:r>
      <w:r w:rsidR="00AB7149" w:rsidRPr="0071639A">
        <w:rPr>
          <w:rStyle w:val="cf01"/>
          <w:rFonts w:ascii="Arial" w:hAnsi="Arial" w:cs="Arial"/>
          <w:sz w:val="21"/>
          <w:szCs w:val="21"/>
        </w:rPr>
        <w:t xml:space="preserve">acceptable enforceable undertakings may </w:t>
      </w:r>
      <w:r w:rsidR="009A2988" w:rsidRPr="0071639A">
        <w:rPr>
          <w:rStyle w:val="cf01"/>
          <w:rFonts w:ascii="Arial" w:hAnsi="Arial" w:cs="Arial"/>
          <w:sz w:val="21"/>
          <w:szCs w:val="21"/>
        </w:rPr>
        <w:t xml:space="preserve">induce </w:t>
      </w:r>
      <w:r w:rsidR="00D11F2F">
        <w:rPr>
          <w:rStyle w:val="cf01"/>
          <w:rFonts w:ascii="Arial" w:hAnsi="Arial" w:cs="Arial"/>
          <w:sz w:val="21"/>
          <w:szCs w:val="21"/>
        </w:rPr>
        <w:t>the ACMA</w:t>
      </w:r>
      <w:r w:rsidR="009A2988" w:rsidRPr="0071639A">
        <w:rPr>
          <w:rStyle w:val="cf01"/>
          <w:rFonts w:ascii="Arial" w:hAnsi="Arial" w:cs="Arial"/>
          <w:sz w:val="21"/>
          <w:szCs w:val="21"/>
        </w:rPr>
        <w:t xml:space="preserve"> not to take any </w:t>
      </w:r>
      <w:r w:rsidR="00BD2548" w:rsidRPr="0071639A">
        <w:rPr>
          <w:rStyle w:val="cf01"/>
          <w:rFonts w:ascii="Arial" w:hAnsi="Arial" w:cs="Arial"/>
          <w:sz w:val="21"/>
          <w:szCs w:val="21"/>
        </w:rPr>
        <w:t xml:space="preserve">administrative or civil </w:t>
      </w:r>
      <w:r w:rsidR="009A2988" w:rsidRPr="0071639A">
        <w:rPr>
          <w:rStyle w:val="cf01"/>
          <w:rFonts w:ascii="Arial" w:hAnsi="Arial" w:cs="Arial"/>
          <w:sz w:val="21"/>
          <w:szCs w:val="21"/>
        </w:rPr>
        <w:t>enforcement action</w:t>
      </w:r>
      <w:r w:rsidR="00BD2548" w:rsidRPr="0071639A">
        <w:rPr>
          <w:rStyle w:val="cf01"/>
          <w:rFonts w:ascii="Arial" w:hAnsi="Arial" w:cs="Arial"/>
          <w:sz w:val="21"/>
          <w:szCs w:val="21"/>
        </w:rPr>
        <w:t>.</w:t>
      </w:r>
      <w:r w:rsidR="009A2988" w:rsidRPr="7EFE6C20">
        <w:rPr>
          <w:rStyle w:val="FootnoteReference"/>
          <w:rFonts w:cs="Arial"/>
        </w:rPr>
        <w:footnoteReference w:id="112"/>
      </w:r>
      <w:r w:rsidR="00791D60" w:rsidRPr="0071639A">
        <w:rPr>
          <w:rStyle w:val="cf01"/>
          <w:rFonts w:ascii="Arial" w:hAnsi="Arial" w:cs="Arial"/>
          <w:sz w:val="21"/>
          <w:szCs w:val="21"/>
        </w:rPr>
        <w:t xml:space="preserve"> </w:t>
      </w:r>
    </w:p>
    <w:p w14:paraId="0989D31D" w14:textId="27324A1E" w:rsidR="0033261A" w:rsidRPr="005623A6" w:rsidRDefault="00595E93" w:rsidP="00D3105C">
      <w:r>
        <w:t xml:space="preserve">However, </w:t>
      </w:r>
      <w:r w:rsidR="00B504E4">
        <w:t xml:space="preserve">it should be noted that </w:t>
      </w:r>
      <w:r>
        <w:t xml:space="preserve">not </w:t>
      </w:r>
      <w:r w:rsidR="009A2988">
        <w:t xml:space="preserve">everyone </w:t>
      </w:r>
      <w:r w:rsidR="002448B7">
        <w:t xml:space="preserve">sees </w:t>
      </w:r>
      <w:r w:rsidR="00B504E4">
        <w:t>enforceable undertakings as a</w:t>
      </w:r>
      <w:r w:rsidR="00BD2548">
        <w:t xml:space="preserve"> type of </w:t>
      </w:r>
      <w:r w:rsidR="00B504E4">
        <w:t xml:space="preserve">administrative </w:t>
      </w:r>
      <w:r w:rsidR="00BD2548">
        <w:t xml:space="preserve">sanction or as an enforcement tool. </w:t>
      </w:r>
      <w:r w:rsidR="00D3105C" w:rsidRPr="005623A6">
        <w:t xml:space="preserve">This is because </w:t>
      </w:r>
      <w:r w:rsidR="00D11F2F">
        <w:t>the ACMA</w:t>
      </w:r>
      <w:r w:rsidR="00D3105C" w:rsidRPr="005623A6">
        <w:t xml:space="preserve"> cannot impose enforceable undertakings or force providers to give enforceable undertakings. Submitting </w:t>
      </w:r>
      <w:r w:rsidR="00827583" w:rsidRPr="005623A6">
        <w:t xml:space="preserve">enforceable </w:t>
      </w:r>
      <w:r w:rsidR="00D3105C" w:rsidRPr="005623A6">
        <w:t xml:space="preserve">undertakings is entirely voluntary. </w:t>
      </w:r>
      <w:r w:rsidR="00B016C2">
        <w:t>For example, a</w:t>
      </w:r>
      <w:r w:rsidR="00D3105C" w:rsidRPr="005623A6">
        <w:t>cademic Arie Freiberg</w:t>
      </w:r>
      <w:r w:rsidR="00BD2548">
        <w:t xml:space="preserve"> </w:t>
      </w:r>
      <w:r w:rsidR="00D3105C" w:rsidRPr="005623A6">
        <w:t>categorises them as a tool of ‘transactional regulation’ – the government’s use of agreements with non-governmental actors to achieve public policy objectives.</w:t>
      </w:r>
      <w:r w:rsidR="00D3105C" w:rsidRPr="005623A6">
        <w:rPr>
          <w:rStyle w:val="FootnoteReference"/>
        </w:rPr>
        <w:footnoteReference w:id="113"/>
      </w:r>
      <w:r w:rsidR="00D3105C" w:rsidRPr="005623A6">
        <w:t xml:space="preserve"> </w:t>
      </w:r>
    </w:p>
    <w:p w14:paraId="0774AF1E" w14:textId="75BA7B84" w:rsidR="00D3105C" w:rsidRPr="005623A6" w:rsidRDefault="002059EF" w:rsidP="00D3105C">
      <w:r>
        <w:t>T</w:t>
      </w:r>
      <w:r w:rsidR="00D11F2F">
        <w:t>he ACMA</w:t>
      </w:r>
      <w:r w:rsidR="00057360" w:rsidRPr="005623A6">
        <w:t xml:space="preserve"> has said t</w:t>
      </w:r>
      <w:r w:rsidR="00D3105C" w:rsidRPr="005623A6">
        <w:t>he advantages of enforceable undertakings</w:t>
      </w:r>
      <w:r w:rsidR="00057360" w:rsidRPr="005623A6">
        <w:t xml:space="preserve"> </w:t>
      </w:r>
      <w:r w:rsidR="00D3105C" w:rsidRPr="005623A6">
        <w:t>are:</w:t>
      </w:r>
    </w:p>
    <w:p w14:paraId="226ED27D" w14:textId="77777777" w:rsidR="00D3105C" w:rsidRPr="005623A6" w:rsidRDefault="00D3105C" w:rsidP="001019BA">
      <w:pPr>
        <w:pStyle w:val="ListParagraph"/>
        <w:numPr>
          <w:ilvl w:val="0"/>
          <w:numId w:val="16"/>
        </w:numPr>
      </w:pPr>
      <w:r w:rsidRPr="005623A6">
        <w:t>tailored and flexible resolution of the issues of concern</w:t>
      </w:r>
    </w:p>
    <w:p w14:paraId="108DCEEB" w14:textId="77777777" w:rsidR="00D3105C" w:rsidRPr="005623A6" w:rsidRDefault="00D3105C" w:rsidP="001019BA">
      <w:pPr>
        <w:pStyle w:val="ListParagraph"/>
        <w:numPr>
          <w:ilvl w:val="0"/>
          <w:numId w:val="16"/>
        </w:numPr>
      </w:pPr>
      <w:r w:rsidRPr="005623A6">
        <w:t>an opportunity for the undertaking party to be involved in the resolution of a matter</w:t>
      </w:r>
    </w:p>
    <w:p w14:paraId="2B47C81E" w14:textId="77777777" w:rsidR="00D3105C" w:rsidRPr="005623A6" w:rsidRDefault="00D3105C" w:rsidP="001019BA">
      <w:pPr>
        <w:pStyle w:val="ListParagraph"/>
        <w:numPr>
          <w:ilvl w:val="0"/>
          <w:numId w:val="16"/>
        </w:numPr>
      </w:pPr>
      <w:r w:rsidRPr="005623A6">
        <w:t>a more cost-effective and timely outcome compared to litigation</w:t>
      </w:r>
      <w:r w:rsidR="00855946">
        <w:t>.</w:t>
      </w:r>
      <w:r w:rsidRPr="005623A6">
        <w:rPr>
          <w:rStyle w:val="FootnoteReference"/>
        </w:rPr>
        <w:footnoteReference w:id="114"/>
      </w:r>
    </w:p>
    <w:p w14:paraId="7BD4E9F5" w14:textId="77777777" w:rsidR="00585046" w:rsidRPr="005623A6" w:rsidRDefault="0059142F" w:rsidP="00585046">
      <w:r w:rsidRPr="005623A6">
        <w:lastRenderedPageBreak/>
        <w:t>Regulatory scholars have cited t</w:t>
      </w:r>
      <w:r w:rsidR="00E26B5E" w:rsidRPr="005623A6">
        <w:t xml:space="preserve">hese advantages </w:t>
      </w:r>
      <w:r w:rsidRPr="005623A6">
        <w:t>too</w:t>
      </w:r>
      <w:r w:rsidR="00E26B5E" w:rsidRPr="005623A6">
        <w:t>.</w:t>
      </w:r>
      <w:r w:rsidR="00E26B5E" w:rsidRPr="005623A6">
        <w:rPr>
          <w:rStyle w:val="FootnoteReference"/>
        </w:rPr>
        <w:footnoteReference w:id="115"/>
      </w:r>
      <w:r w:rsidR="00E26B5E" w:rsidRPr="005623A6">
        <w:t xml:space="preserve"> </w:t>
      </w:r>
      <w:r w:rsidR="00585046" w:rsidRPr="005623A6">
        <w:t xml:space="preserve">However, </w:t>
      </w:r>
      <w:r w:rsidR="00D24D26" w:rsidRPr="005623A6">
        <w:t xml:space="preserve">enforceable undertakings </w:t>
      </w:r>
      <w:r w:rsidR="00585046" w:rsidRPr="005623A6">
        <w:t xml:space="preserve">have </w:t>
      </w:r>
      <w:r w:rsidR="00D24D26" w:rsidRPr="005623A6">
        <w:t xml:space="preserve">also </w:t>
      </w:r>
      <w:r w:rsidR="00585046" w:rsidRPr="005623A6">
        <w:t>been</w:t>
      </w:r>
      <w:r w:rsidR="00D24D26" w:rsidRPr="005623A6">
        <w:t xml:space="preserve"> criticised</w:t>
      </w:r>
      <w:r w:rsidR="006A6010" w:rsidRPr="005623A6">
        <w:t xml:space="preserve"> because</w:t>
      </w:r>
      <w:r w:rsidR="00535A02" w:rsidRPr="005623A6">
        <w:t>:</w:t>
      </w:r>
    </w:p>
    <w:p w14:paraId="32204BA6" w14:textId="77777777" w:rsidR="00535A02" w:rsidRPr="005623A6" w:rsidRDefault="006A6010" w:rsidP="001019BA">
      <w:pPr>
        <w:pStyle w:val="ListParagraph"/>
        <w:numPr>
          <w:ilvl w:val="0"/>
          <w:numId w:val="25"/>
        </w:numPr>
      </w:pPr>
      <w:r w:rsidRPr="005623A6">
        <w:t>their</w:t>
      </w:r>
      <w:r w:rsidR="006907F7" w:rsidRPr="005623A6">
        <w:t xml:space="preserve"> terms </w:t>
      </w:r>
      <w:r w:rsidR="006204CA" w:rsidRPr="005623A6">
        <w:t>can be vague or imprecise</w:t>
      </w:r>
      <w:r w:rsidRPr="005623A6">
        <w:t>, making them difficult to enforce</w:t>
      </w:r>
    </w:p>
    <w:p w14:paraId="1C02EBA9" w14:textId="77777777" w:rsidR="006204CA" w:rsidRPr="005623A6" w:rsidRDefault="006A6010" w:rsidP="001019BA">
      <w:pPr>
        <w:pStyle w:val="ListParagraph"/>
        <w:numPr>
          <w:ilvl w:val="0"/>
          <w:numId w:val="25"/>
        </w:numPr>
      </w:pPr>
      <w:r w:rsidRPr="005623A6">
        <w:t xml:space="preserve">they </w:t>
      </w:r>
      <w:r w:rsidR="00DE584B" w:rsidRPr="005623A6">
        <w:t>enabl</w:t>
      </w:r>
      <w:r w:rsidRPr="005623A6">
        <w:t>e</w:t>
      </w:r>
      <w:r w:rsidR="00DE584B" w:rsidRPr="005623A6">
        <w:t xml:space="preserve"> </w:t>
      </w:r>
      <w:r w:rsidRPr="005623A6">
        <w:t xml:space="preserve">regulators to treat </w:t>
      </w:r>
      <w:r w:rsidR="00237EA9" w:rsidRPr="005623A6">
        <w:t xml:space="preserve">similarly situated parties </w:t>
      </w:r>
      <w:r w:rsidR="00046D5E" w:rsidRPr="005623A6">
        <w:t>inconsistently</w:t>
      </w:r>
    </w:p>
    <w:p w14:paraId="37176965" w14:textId="77777777" w:rsidR="00F764E3" w:rsidRPr="005623A6" w:rsidRDefault="00497270" w:rsidP="001019BA">
      <w:pPr>
        <w:pStyle w:val="ListParagraph"/>
        <w:numPr>
          <w:ilvl w:val="0"/>
          <w:numId w:val="25"/>
        </w:numPr>
      </w:pPr>
      <w:r w:rsidRPr="005623A6">
        <w:t xml:space="preserve">individual consumers and/or consumer organisations have no </w:t>
      </w:r>
      <w:r w:rsidR="005C0B83" w:rsidRPr="005623A6">
        <w:t xml:space="preserve">input into the terms of </w:t>
      </w:r>
      <w:r w:rsidR="008E1E41" w:rsidRPr="005623A6">
        <w:t>enforceable undertakings</w:t>
      </w:r>
    </w:p>
    <w:p w14:paraId="1833079C" w14:textId="77777777" w:rsidR="00FF3FAD" w:rsidRDefault="002D7D3E" w:rsidP="001019BA">
      <w:pPr>
        <w:pStyle w:val="ListParagraph"/>
        <w:numPr>
          <w:ilvl w:val="0"/>
          <w:numId w:val="25"/>
        </w:numPr>
      </w:pPr>
      <w:r w:rsidRPr="005623A6">
        <w:t xml:space="preserve">bargaining power imbalances may exist between regulators and </w:t>
      </w:r>
      <w:r w:rsidR="00810DCC" w:rsidRPr="005623A6">
        <w:t xml:space="preserve">smaller </w:t>
      </w:r>
      <w:r w:rsidR="00B5189E" w:rsidRPr="005623A6">
        <w:t>industry participants</w:t>
      </w:r>
      <w:r w:rsidR="00855946">
        <w:t>.</w:t>
      </w:r>
      <w:r w:rsidR="00810DCC" w:rsidRPr="005623A6">
        <w:rPr>
          <w:rStyle w:val="FootnoteReference"/>
        </w:rPr>
        <w:footnoteReference w:id="116"/>
      </w:r>
      <w:r w:rsidR="00B5189E" w:rsidRPr="005623A6">
        <w:t xml:space="preserve"> </w:t>
      </w:r>
    </w:p>
    <w:p w14:paraId="2DB0991D" w14:textId="2FA4A96E" w:rsidR="00451430" w:rsidRPr="005623A6" w:rsidRDefault="00451430" w:rsidP="00451430">
      <w:r w:rsidRPr="005623A6">
        <w:t>A</w:t>
      </w:r>
      <w:r>
        <w:t>n</w:t>
      </w:r>
      <w:r w:rsidRPr="005623A6">
        <w:t xml:space="preserve"> example of an enforceable undertaking is the one </w:t>
      </w:r>
      <w:r w:rsidR="00D11F2F">
        <w:t>the ACMA</w:t>
      </w:r>
      <w:r w:rsidRPr="005623A6">
        <w:t xml:space="preserve"> accepted in March 2022 from TPG Internet Pty Limited (TPG). In that undertaking, TPG agreed to:</w:t>
      </w:r>
    </w:p>
    <w:p w14:paraId="6AEEC247" w14:textId="77777777" w:rsidR="00451430" w:rsidRPr="005623A6" w:rsidRDefault="00451430" w:rsidP="001019BA">
      <w:pPr>
        <w:pStyle w:val="ListParagraph"/>
        <w:numPr>
          <w:ilvl w:val="0"/>
          <w:numId w:val="24"/>
        </w:numPr>
      </w:pPr>
      <w:r w:rsidRPr="005623A6">
        <w:t>‘implement and maintain effective systems, processes and practices for ensuring compliance with’ two provisions of the Telecommunications Service Provider (NBN Service Migration) Determination 2018 (Cth): subsection 14(3), which relates to line capability assessment, and subsection 15(2), which prohibits charging a consumer for an NBN service in specified circumstances (‘the two provisions’)</w:t>
      </w:r>
      <w:r>
        <w:t>;</w:t>
      </w:r>
    </w:p>
    <w:p w14:paraId="64A00857" w14:textId="77777777" w:rsidR="00451430" w:rsidRPr="005623A6" w:rsidRDefault="00451430" w:rsidP="001019BA">
      <w:pPr>
        <w:pStyle w:val="ListParagraph"/>
        <w:numPr>
          <w:ilvl w:val="0"/>
          <w:numId w:val="24"/>
        </w:numPr>
      </w:pPr>
      <w:r w:rsidRPr="005623A6">
        <w:t>‘implement and maintain processes to ensure that material changes to the systems relied on to ensure compliance with’ the two provisions were ‘signed off by relevant internal TPG Internet stakeholders before being implemented, which must include an executive’</w:t>
      </w:r>
      <w:r>
        <w:t>;</w:t>
      </w:r>
      <w:r w:rsidRPr="005623A6">
        <w:t xml:space="preserve"> and</w:t>
      </w:r>
    </w:p>
    <w:p w14:paraId="6A6CD6D5" w14:textId="77777777" w:rsidR="00451430" w:rsidRPr="005623A6" w:rsidRDefault="00451430" w:rsidP="001019BA">
      <w:pPr>
        <w:pStyle w:val="ListParagraph"/>
        <w:numPr>
          <w:ilvl w:val="0"/>
          <w:numId w:val="24"/>
        </w:numPr>
      </w:pPr>
      <w:r w:rsidRPr="005623A6">
        <w:t>appoint an independent person to audit and report in writing on: (1) the extent of TPG’s compliance with the two provisions, (2) recommendations as to how TPG could improve its systems, processes, and practices for ensuring compliance with the two provisions, and (3) the implementation of a customer remediation program TPG had adopted before giving the enforceable undertaking.</w:t>
      </w:r>
      <w:r w:rsidRPr="005623A6">
        <w:rPr>
          <w:rStyle w:val="FootnoteReference"/>
        </w:rPr>
        <w:footnoteReference w:id="117"/>
      </w:r>
      <w:r w:rsidRPr="005623A6">
        <w:t xml:space="preserve">  </w:t>
      </w:r>
    </w:p>
    <w:p w14:paraId="2F6E9EF9" w14:textId="77777777" w:rsidR="00451430" w:rsidRPr="005623A6" w:rsidRDefault="00451430" w:rsidP="008F627B"/>
    <w:p w14:paraId="37082A7D" w14:textId="77777777" w:rsidR="00D3105C" w:rsidRPr="005623A6" w:rsidRDefault="00346DE7" w:rsidP="00515C60">
      <w:pPr>
        <w:pStyle w:val="Heading2"/>
      </w:pPr>
      <w:bookmarkStart w:id="92" w:name="_Toc139024388"/>
      <w:bookmarkStart w:id="93" w:name="_Toc139024711"/>
      <w:bookmarkStart w:id="94" w:name="_Toc139031354"/>
      <w:bookmarkStart w:id="95" w:name="_Toc146201031"/>
      <w:bookmarkStart w:id="96" w:name="_Toc161836160"/>
      <w:r w:rsidRPr="005623A6">
        <w:t>C</w:t>
      </w:r>
      <w:r w:rsidRPr="005623A6">
        <w:tab/>
      </w:r>
      <w:bookmarkStart w:id="97" w:name="WhichMechanismsMayBeUsedWhen"/>
      <w:r w:rsidR="004F077C" w:rsidRPr="005623A6">
        <w:t xml:space="preserve">Which </w:t>
      </w:r>
      <w:r w:rsidR="00B575EC">
        <w:t>M</w:t>
      </w:r>
      <w:r w:rsidR="004F077C" w:rsidRPr="005623A6">
        <w:t xml:space="preserve">echanisms </w:t>
      </w:r>
      <w:r w:rsidR="00B575EC">
        <w:t>M</w:t>
      </w:r>
      <w:r w:rsidR="004F077C" w:rsidRPr="005623A6">
        <w:t xml:space="preserve">ay be </w:t>
      </w:r>
      <w:r w:rsidR="00B575EC">
        <w:t>U</w:t>
      </w:r>
      <w:r w:rsidR="004F077C" w:rsidRPr="005623A6">
        <w:t xml:space="preserve">sed </w:t>
      </w:r>
      <w:r w:rsidR="00B575EC">
        <w:t>W</w:t>
      </w:r>
      <w:r w:rsidR="004F077C" w:rsidRPr="005623A6">
        <w:t>hen?</w:t>
      </w:r>
      <w:bookmarkEnd w:id="92"/>
      <w:bookmarkEnd w:id="93"/>
      <w:bookmarkEnd w:id="94"/>
      <w:bookmarkEnd w:id="95"/>
      <w:bookmarkEnd w:id="96"/>
      <w:bookmarkEnd w:id="97"/>
    </w:p>
    <w:p w14:paraId="4F52BD2C" w14:textId="5DCA2FCD" w:rsidR="00FE3CB4" w:rsidRPr="005623A6" w:rsidRDefault="00762EB1" w:rsidP="006719AC">
      <w:r w:rsidRPr="005623A6">
        <w:t xml:space="preserve">Below we explain </w:t>
      </w:r>
      <w:r w:rsidR="003E5AE1" w:rsidRPr="005623A6">
        <w:t xml:space="preserve">the different actions </w:t>
      </w:r>
      <w:r w:rsidR="00D11F2F">
        <w:t>the ACMA</w:t>
      </w:r>
      <w:r w:rsidR="007D2291" w:rsidRPr="005623A6">
        <w:t xml:space="preserve"> </w:t>
      </w:r>
      <w:r w:rsidR="00776A40" w:rsidRPr="005623A6">
        <w:t xml:space="preserve">is empowered to </w:t>
      </w:r>
      <w:r w:rsidR="003E5AE1" w:rsidRPr="005623A6">
        <w:t xml:space="preserve">take if </w:t>
      </w:r>
      <w:r w:rsidR="004219CE" w:rsidRPr="005623A6">
        <w:t xml:space="preserve">a </w:t>
      </w:r>
      <w:r w:rsidR="00852065" w:rsidRPr="005623A6">
        <w:t>telecommunications company</w:t>
      </w:r>
      <w:r w:rsidR="004219CE" w:rsidRPr="005623A6">
        <w:t xml:space="preserve"> </w:t>
      </w:r>
      <w:r w:rsidRPr="005623A6">
        <w:t xml:space="preserve">breaches industry codes, industry standards, </w:t>
      </w:r>
      <w:r w:rsidR="00FC1A8D" w:rsidRPr="005623A6">
        <w:t xml:space="preserve">the </w:t>
      </w:r>
      <w:r w:rsidRPr="005623A6">
        <w:t xml:space="preserve">select service provider rules, </w:t>
      </w:r>
      <w:r w:rsidR="004219CE" w:rsidRPr="005623A6">
        <w:t>or</w:t>
      </w:r>
      <w:r w:rsidRPr="005623A6">
        <w:t xml:space="preserve"> </w:t>
      </w:r>
      <w:r w:rsidR="00FC1A8D" w:rsidRPr="005623A6">
        <w:t xml:space="preserve">the </w:t>
      </w:r>
      <w:r w:rsidRPr="005623A6">
        <w:t xml:space="preserve">select carrier licence conditions. </w:t>
      </w:r>
      <w:r w:rsidR="00D312EA" w:rsidRPr="005623A6">
        <w:t xml:space="preserve"> </w:t>
      </w:r>
    </w:p>
    <w:p w14:paraId="343030EE" w14:textId="77777777" w:rsidR="0043641A" w:rsidRPr="005623A6" w:rsidRDefault="00346DE7" w:rsidP="00744F65">
      <w:pPr>
        <w:pStyle w:val="Heading3"/>
        <w:rPr>
          <w:rStyle w:val="Heading3Char"/>
        </w:rPr>
      </w:pPr>
      <w:bookmarkStart w:id="98" w:name="_Toc139024389"/>
      <w:bookmarkStart w:id="99" w:name="_Toc139024712"/>
      <w:bookmarkStart w:id="100" w:name="_Toc139031355"/>
      <w:bookmarkStart w:id="101" w:name="_Toc146201032"/>
      <w:bookmarkStart w:id="102" w:name="_Toc161836161"/>
      <w:r w:rsidRPr="005623A6">
        <w:t>1</w:t>
      </w:r>
      <w:r w:rsidR="00BE7F59" w:rsidRPr="005623A6">
        <w:tab/>
      </w:r>
      <w:bookmarkStart w:id="103" w:name="IndustryCodes"/>
      <w:r w:rsidR="00BE7F59" w:rsidRPr="005623A6">
        <w:rPr>
          <w:rStyle w:val="Heading3Char"/>
        </w:rPr>
        <w:t>Industry Codes</w:t>
      </w:r>
      <w:bookmarkEnd w:id="98"/>
      <w:bookmarkEnd w:id="99"/>
      <w:bookmarkEnd w:id="100"/>
      <w:bookmarkEnd w:id="101"/>
      <w:bookmarkEnd w:id="102"/>
    </w:p>
    <w:bookmarkEnd w:id="103"/>
    <w:p w14:paraId="37D1DC2D" w14:textId="6CDC6AC8" w:rsidR="008E4F38" w:rsidRPr="005623A6" w:rsidRDefault="00685035" w:rsidP="008E4F38">
      <w:r w:rsidRPr="005623A6">
        <w:t>T</w:t>
      </w:r>
      <w:r w:rsidR="0043641A" w:rsidRPr="005623A6">
        <w:t xml:space="preserve">here are </w:t>
      </w:r>
      <w:r w:rsidR="008600CE" w:rsidRPr="005623A6">
        <w:t>2</w:t>
      </w:r>
      <w:r w:rsidR="00055D6E">
        <w:t>1</w:t>
      </w:r>
      <w:r w:rsidR="008600CE" w:rsidRPr="005623A6">
        <w:t xml:space="preserve"> Comms Alliance codes </w:t>
      </w:r>
      <w:r w:rsidR="00477BAA" w:rsidRPr="005623A6">
        <w:t xml:space="preserve">currently </w:t>
      </w:r>
      <w:r w:rsidR="008600CE" w:rsidRPr="005623A6">
        <w:t xml:space="preserve">registered </w:t>
      </w:r>
      <w:r w:rsidR="00477BAA" w:rsidRPr="005623A6">
        <w:t xml:space="preserve">with </w:t>
      </w:r>
      <w:r w:rsidR="00D11F2F">
        <w:t>the ACMA</w:t>
      </w:r>
      <w:r w:rsidR="00A61CEE" w:rsidRPr="005623A6">
        <w:t>,</w:t>
      </w:r>
      <w:r w:rsidR="001412D7" w:rsidRPr="005623A6">
        <w:rPr>
          <w:rStyle w:val="FootnoteReference"/>
        </w:rPr>
        <w:footnoteReference w:id="118"/>
      </w:r>
      <w:r w:rsidR="00A61CEE" w:rsidRPr="005623A6">
        <w:t xml:space="preserve"> only three of which are </w:t>
      </w:r>
      <w:r w:rsidR="00526C07" w:rsidRPr="005623A6">
        <w:t xml:space="preserve">classified </w:t>
      </w:r>
      <w:r w:rsidR="00A61CEE" w:rsidRPr="005623A6">
        <w:t>by Comms Alliance as ‘consumer</w:t>
      </w:r>
      <w:r w:rsidR="00526C07" w:rsidRPr="005623A6">
        <w:t>’ codes</w:t>
      </w:r>
      <w:r w:rsidR="008E4F38" w:rsidRPr="005623A6">
        <w:t xml:space="preserve">. The three consumer codes are: </w:t>
      </w:r>
    </w:p>
    <w:p w14:paraId="08F8694B" w14:textId="77777777" w:rsidR="008E4F38" w:rsidRPr="005623A6" w:rsidRDefault="008E4F38" w:rsidP="001019BA">
      <w:pPr>
        <w:pStyle w:val="ListParagraph"/>
        <w:numPr>
          <w:ilvl w:val="0"/>
          <w:numId w:val="12"/>
        </w:numPr>
      </w:pPr>
      <w:r w:rsidRPr="005623A6">
        <w:t>C637:2019 Mobile Premium Services (MPS) Code Incorporating Variation No 1/2021</w:t>
      </w:r>
    </w:p>
    <w:p w14:paraId="3CEC058A" w14:textId="77777777" w:rsidR="008E4F38" w:rsidRPr="005623A6" w:rsidRDefault="008E4F38" w:rsidP="001019BA">
      <w:pPr>
        <w:pStyle w:val="ListParagraph"/>
        <w:numPr>
          <w:ilvl w:val="0"/>
          <w:numId w:val="12"/>
        </w:numPr>
      </w:pPr>
      <w:r w:rsidRPr="005623A6">
        <w:t>C628:2019 Telecommunications Consumer Protections Code Incorporating Variation No 1/2022</w:t>
      </w:r>
    </w:p>
    <w:p w14:paraId="097F3487" w14:textId="46D0B676" w:rsidR="7A615822" w:rsidRDefault="1FDCCBF1" w:rsidP="001019BA">
      <w:pPr>
        <w:pStyle w:val="ListParagraph"/>
        <w:numPr>
          <w:ilvl w:val="0"/>
          <w:numId w:val="12"/>
        </w:numPr>
      </w:pPr>
      <w:r>
        <w:lastRenderedPageBreak/>
        <w:t>C625:2020 Information</w:t>
      </w:r>
      <w:r w:rsidR="073CBF43">
        <w:t xml:space="preserve"> </w:t>
      </w:r>
      <w:r>
        <w:t>on Accessibility Features for Telephone Equipment</w:t>
      </w:r>
      <w:r w:rsidR="00ED4DBB">
        <w:t>.</w:t>
      </w:r>
    </w:p>
    <w:p w14:paraId="5675ED5A" w14:textId="6BDA7D2C" w:rsidR="2B0EE79B" w:rsidRDefault="3C910F8D" w:rsidP="3304E840">
      <w:pPr>
        <w:pStyle w:val="Bullets"/>
        <w:numPr>
          <w:ilvl w:val="0"/>
          <w:numId w:val="0"/>
        </w:numPr>
      </w:pPr>
      <w:r>
        <w:t>Two code</w:t>
      </w:r>
      <w:r w:rsidR="76D06D15">
        <w:t xml:space="preserve">s </w:t>
      </w:r>
      <w:r w:rsidR="31CCE57B">
        <w:t xml:space="preserve">classified by Comms Alliance as ‘operational’ codes that are </w:t>
      </w:r>
      <w:r w:rsidR="3B49EAF5">
        <w:t xml:space="preserve">also </w:t>
      </w:r>
      <w:r w:rsidR="683B0B42">
        <w:t>particularly important to the consumer</w:t>
      </w:r>
      <w:r w:rsidR="00F675D4">
        <w:t xml:space="preserve"> </w:t>
      </w:r>
      <w:r w:rsidR="683B0B42">
        <w:t>protection framework</w:t>
      </w:r>
      <w:r w:rsidR="39773FFB">
        <w:t xml:space="preserve"> are</w:t>
      </w:r>
      <w:r w:rsidR="683B0B42">
        <w:t>:</w:t>
      </w:r>
    </w:p>
    <w:p w14:paraId="502C43C3" w14:textId="3AB81316" w:rsidR="683B0B42" w:rsidRDefault="55107355" w:rsidP="3304E840">
      <w:pPr>
        <w:pStyle w:val="Bullets"/>
      </w:pPr>
      <w:r>
        <w:t>C555:2020 Integrated Public Number Database</w:t>
      </w:r>
    </w:p>
    <w:p w14:paraId="291A3890" w14:textId="4F52187F" w:rsidR="00BE00F7" w:rsidRDefault="65121E20" w:rsidP="00711635">
      <w:pPr>
        <w:pStyle w:val="Bullets"/>
      </w:pPr>
      <w:r>
        <w:t>C661:2022 Reducing Scam Calls and Scam SMS</w:t>
      </w:r>
      <w:r w:rsidR="009E5824">
        <w:t>.</w:t>
      </w:r>
    </w:p>
    <w:p w14:paraId="682D9316" w14:textId="3065D3B0" w:rsidR="006A5DFC" w:rsidRDefault="0071515A" w:rsidP="006A5DFC">
      <w:r w:rsidRPr="005623A6">
        <w:t xml:space="preserve">Section 106 of the </w:t>
      </w:r>
      <w:r w:rsidR="00AA7AED">
        <w:t>Tel Act</w:t>
      </w:r>
      <w:r w:rsidRPr="005623A6">
        <w:t xml:space="preserve"> stat</w:t>
      </w:r>
      <w:r w:rsidR="00BB3F8C" w:rsidRPr="005623A6">
        <w:t>es that c</w:t>
      </w:r>
      <w:r w:rsidRPr="005623A6">
        <w:t xml:space="preserve">ompliance with </w:t>
      </w:r>
      <w:r w:rsidR="00DC0994" w:rsidRPr="005623A6">
        <w:t xml:space="preserve">an </w:t>
      </w:r>
      <w:r w:rsidRPr="005623A6">
        <w:t>indus</w:t>
      </w:r>
      <w:r w:rsidR="00BB3F8C" w:rsidRPr="005623A6">
        <w:t xml:space="preserve">try code registered by </w:t>
      </w:r>
      <w:r w:rsidR="00D11F2F">
        <w:t>the ACMA</w:t>
      </w:r>
      <w:r w:rsidR="00BB3F8C" w:rsidRPr="005623A6">
        <w:t xml:space="preserve"> is ‘voluntary’. However, if </w:t>
      </w:r>
      <w:r w:rsidR="00B27C16" w:rsidRPr="005623A6">
        <w:t xml:space="preserve">an </w:t>
      </w:r>
      <w:r w:rsidR="009076C4" w:rsidRPr="005623A6">
        <w:t>industry participant br</w:t>
      </w:r>
      <w:r w:rsidR="008824EC" w:rsidRPr="005623A6">
        <w:t>each</w:t>
      </w:r>
      <w:r w:rsidR="009076C4" w:rsidRPr="005623A6">
        <w:t>es</w:t>
      </w:r>
      <w:r w:rsidR="008824EC" w:rsidRPr="005623A6">
        <w:t xml:space="preserve"> a</w:t>
      </w:r>
      <w:r w:rsidR="00603073" w:rsidRPr="005623A6">
        <w:t>n applicable</w:t>
      </w:r>
      <w:r w:rsidR="008824EC" w:rsidRPr="005623A6">
        <w:t xml:space="preserve"> code</w:t>
      </w:r>
      <w:r w:rsidR="000F063A" w:rsidRPr="005623A6">
        <w:t xml:space="preserve">, </w:t>
      </w:r>
      <w:r w:rsidR="00D11F2F">
        <w:t>the ACMA</w:t>
      </w:r>
      <w:r w:rsidR="000F063A" w:rsidRPr="005623A6">
        <w:t xml:space="preserve"> may issue a </w:t>
      </w:r>
      <w:r w:rsidR="00385ACB" w:rsidRPr="005623A6">
        <w:t>formal warning</w:t>
      </w:r>
      <w:r w:rsidR="00650AA5" w:rsidRPr="005623A6">
        <w:rPr>
          <w:rStyle w:val="FootnoteReference"/>
        </w:rPr>
        <w:footnoteReference w:id="119"/>
      </w:r>
      <w:r w:rsidR="00385ACB" w:rsidRPr="005623A6">
        <w:t xml:space="preserve"> </w:t>
      </w:r>
      <w:r w:rsidR="00B27C16" w:rsidRPr="005623A6">
        <w:t>or a direction</w:t>
      </w:r>
      <w:r w:rsidR="00A3584A" w:rsidRPr="005623A6">
        <w:t xml:space="preserve"> to comply with the code.</w:t>
      </w:r>
      <w:r w:rsidR="00650AA5" w:rsidRPr="005623A6">
        <w:rPr>
          <w:rStyle w:val="FootnoteReference"/>
        </w:rPr>
        <w:footnoteReference w:id="120"/>
      </w:r>
      <w:r w:rsidR="000F063A" w:rsidRPr="005623A6">
        <w:t xml:space="preserve"> </w:t>
      </w:r>
      <w:r w:rsidR="006A5DFC">
        <w:t xml:space="preserve">Figure </w:t>
      </w:r>
      <w:r w:rsidR="007262BB">
        <w:t>7</w:t>
      </w:r>
      <w:r w:rsidR="006A5DFC">
        <w:t xml:space="preserve"> presents an illustration of the</w:t>
      </w:r>
      <w:r w:rsidR="007262BB">
        <w:t>se</w:t>
      </w:r>
      <w:r w:rsidR="006A5DFC">
        <w:t xml:space="preserve"> enforcement mechanisms</w:t>
      </w:r>
      <w:r w:rsidR="007262BB">
        <w:t xml:space="preserve"> available for breach of an industry code</w:t>
      </w:r>
      <w:r w:rsidR="006A5DFC">
        <w:t>.</w:t>
      </w:r>
    </w:p>
    <w:p w14:paraId="3DD8D7BF" w14:textId="6ED91181" w:rsidR="000C027A" w:rsidRPr="005623A6" w:rsidRDefault="00CC09B7" w:rsidP="006F1093">
      <w:pPr>
        <w:pStyle w:val="Bullets"/>
        <w:numPr>
          <w:ilvl w:val="0"/>
          <w:numId w:val="0"/>
        </w:numPr>
        <w:jc w:val="center"/>
      </w:pPr>
      <w:r>
        <w:rPr>
          <w:noProof/>
        </w:rPr>
        <w:drawing>
          <wp:inline distT="0" distB="0" distL="0" distR="0" wp14:anchorId="18818045" wp14:editId="58C19830">
            <wp:extent cx="4756970" cy="3000375"/>
            <wp:effectExtent l="0" t="0" r="5715" b="0"/>
            <wp:docPr id="16" name="Picture 16" descr="Figure 7: Industry Code Enforcement Mechanisms &#10;&#10;A pyramid with three tiers. The largest and bottom tier is blue and says &quot;Administrative.&quot;  There are two blue ribbons protruding out of the right side of this tier. Each ribbon lists an Administrative enforcement action. These are direction to comply and formal warning. The second tier is yellow and says &quot;Civil&quot;.  The top tier is red and says &quot;crimin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_7.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61213" cy="3003051"/>
                    </a:xfrm>
                    <a:prstGeom prst="rect">
                      <a:avLst/>
                    </a:prstGeom>
                  </pic:spPr>
                </pic:pic>
              </a:graphicData>
            </a:graphic>
          </wp:inline>
        </w:drawing>
      </w:r>
    </w:p>
    <w:p w14:paraId="1AE89C9E" w14:textId="400F5FD9" w:rsidR="000F542D" w:rsidRDefault="000F542D" w:rsidP="00711635"/>
    <w:p w14:paraId="42D9846B" w14:textId="1D6D91DB" w:rsidR="0015132E" w:rsidRPr="005623A6" w:rsidRDefault="00A16EB4" w:rsidP="00711635">
      <w:r w:rsidRPr="005623A6">
        <w:t xml:space="preserve">If </w:t>
      </w:r>
      <w:r w:rsidR="00D11F2F">
        <w:t>the ACMA</w:t>
      </w:r>
      <w:r w:rsidR="000C027A" w:rsidRPr="005623A6">
        <w:t xml:space="preserve"> issue</w:t>
      </w:r>
      <w:r w:rsidR="00C65726">
        <w:t>s</w:t>
      </w:r>
      <w:r w:rsidR="000C027A" w:rsidRPr="005623A6">
        <w:t xml:space="preserve"> a formal warning and </w:t>
      </w:r>
      <w:r w:rsidR="000C40C6" w:rsidRPr="005623A6">
        <w:t>a</w:t>
      </w:r>
      <w:r w:rsidR="00887255" w:rsidRPr="005623A6">
        <w:t>n industry participant fails to heed</w:t>
      </w:r>
      <w:r w:rsidR="000C027A" w:rsidRPr="005623A6">
        <w:t xml:space="preserve"> it</w:t>
      </w:r>
      <w:r w:rsidR="00887255" w:rsidRPr="005623A6">
        <w:t>,</w:t>
      </w:r>
      <w:r w:rsidR="00D841F5" w:rsidRPr="005623A6">
        <w:t xml:space="preserve"> </w:t>
      </w:r>
      <w:r w:rsidR="00D11F2F">
        <w:t>the ACMA</w:t>
      </w:r>
      <w:r w:rsidR="006D007E" w:rsidRPr="005623A6">
        <w:t xml:space="preserve"> may issue a </w:t>
      </w:r>
      <w:r w:rsidR="00952F0D" w:rsidRPr="00952F0D">
        <w:t>direction to comply</w:t>
      </w:r>
      <w:r w:rsidR="000B7CFB" w:rsidRPr="005623A6">
        <w:t>.</w:t>
      </w:r>
      <w:r w:rsidR="00214B9A" w:rsidRPr="005623A6">
        <w:t xml:space="preserve"> </w:t>
      </w:r>
    </w:p>
    <w:p w14:paraId="2DB9C208" w14:textId="6F403D33" w:rsidR="00BF0694" w:rsidRPr="005623A6" w:rsidRDefault="005F15B3" w:rsidP="00711635">
      <w:r w:rsidRPr="005623A6">
        <w:t>If</w:t>
      </w:r>
      <w:r w:rsidR="00202945" w:rsidRPr="005623A6">
        <w:t xml:space="preserve"> </w:t>
      </w:r>
      <w:r w:rsidRPr="005623A6">
        <w:t xml:space="preserve">an industry participant fails to comply with a </w:t>
      </w:r>
      <w:r w:rsidR="00952F0D" w:rsidRPr="00952F0D">
        <w:t>direction to comply</w:t>
      </w:r>
      <w:r w:rsidRPr="005623A6">
        <w:t xml:space="preserve">, </w:t>
      </w:r>
      <w:r w:rsidR="00D11F2F">
        <w:t>the ACMA</w:t>
      </w:r>
      <w:r w:rsidRPr="005623A6">
        <w:t xml:space="preserve"> </w:t>
      </w:r>
      <w:r w:rsidR="00E24C56" w:rsidRPr="005623A6">
        <w:t>may</w:t>
      </w:r>
      <w:r w:rsidR="00BF0694" w:rsidRPr="005623A6">
        <w:t>:</w:t>
      </w:r>
    </w:p>
    <w:p w14:paraId="4A55797C" w14:textId="3F1DF01A" w:rsidR="005F15B3" w:rsidRPr="005623A6" w:rsidRDefault="0021209F" w:rsidP="001019BA">
      <w:pPr>
        <w:pStyle w:val="ListParagraph"/>
        <w:numPr>
          <w:ilvl w:val="0"/>
          <w:numId w:val="18"/>
        </w:numPr>
      </w:pPr>
      <w:r w:rsidRPr="005623A6">
        <w:t>issue an infringement notice</w:t>
      </w:r>
      <w:r w:rsidR="00BC560C" w:rsidRPr="005623A6">
        <w:t xml:space="preserve"> </w:t>
      </w:r>
      <w:r w:rsidR="00AB5DC8" w:rsidRPr="005623A6">
        <w:t xml:space="preserve">(within 12 months of </w:t>
      </w:r>
      <w:r w:rsidR="007F2886" w:rsidRPr="005623A6">
        <w:t xml:space="preserve">the alleged breach) </w:t>
      </w:r>
      <w:r w:rsidR="009D3B82" w:rsidRPr="005623A6">
        <w:t>for 60 penalty units</w:t>
      </w:r>
      <w:r w:rsidR="00AA0384">
        <w:t xml:space="preserve"> </w:t>
      </w:r>
      <w:r w:rsidR="00C85DDD">
        <w:t xml:space="preserve">per contravention </w:t>
      </w:r>
      <w:r w:rsidR="00AA0384">
        <w:t>to a body corporate or for</w:t>
      </w:r>
      <w:r w:rsidR="000C05A7">
        <w:t xml:space="preserve"> </w:t>
      </w:r>
      <w:r w:rsidR="00AA0384">
        <w:t>12 penalty units per contravention to a person other than a body corporate</w:t>
      </w:r>
      <w:r w:rsidR="00AA0384" w:rsidRPr="005623A6">
        <w:rPr>
          <w:rStyle w:val="FootnoteReference"/>
        </w:rPr>
        <w:t xml:space="preserve"> </w:t>
      </w:r>
      <w:bookmarkStart w:id="104" w:name="_Ref161678921"/>
      <w:r w:rsidR="00B0468B" w:rsidRPr="005623A6">
        <w:rPr>
          <w:rStyle w:val="FootnoteReference"/>
        </w:rPr>
        <w:footnoteReference w:id="121"/>
      </w:r>
      <w:bookmarkEnd w:id="104"/>
      <w:r w:rsidR="009D3B82" w:rsidRPr="005623A6">
        <w:t xml:space="preserve"> </w:t>
      </w:r>
    </w:p>
    <w:p w14:paraId="4C2255F3" w14:textId="77777777" w:rsidR="0021209F" w:rsidRPr="005623A6" w:rsidRDefault="000A5CD5" w:rsidP="001019BA">
      <w:pPr>
        <w:pStyle w:val="ListParagraph"/>
        <w:numPr>
          <w:ilvl w:val="0"/>
          <w:numId w:val="18"/>
        </w:numPr>
      </w:pPr>
      <w:r w:rsidRPr="005623A6">
        <w:t>accept an enforceable undertaking</w:t>
      </w:r>
    </w:p>
    <w:p w14:paraId="5C482531" w14:textId="39AAA2AA" w:rsidR="00D93EBC" w:rsidRPr="00033B08" w:rsidRDefault="00D93EBC" w:rsidP="001019BA">
      <w:pPr>
        <w:pStyle w:val="ListParagraph"/>
        <w:numPr>
          <w:ilvl w:val="0"/>
          <w:numId w:val="18"/>
        </w:numPr>
      </w:pPr>
      <w:r w:rsidRPr="00033B08">
        <w:t>seek an injunction from the Federal Court</w:t>
      </w:r>
      <w:r w:rsidR="00C50080" w:rsidRPr="00033B08">
        <w:t xml:space="preserve"> and/or</w:t>
      </w:r>
    </w:p>
    <w:p w14:paraId="56C7A171" w14:textId="486A83DD" w:rsidR="008036E7" w:rsidRDefault="00433D6A" w:rsidP="001019BA">
      <w:pPr>
        <w:pStyle w:val="ListParagraph"/>
        <w:numPr>
          <w:ilvl w:val="0"/>
          <w:numId w:val="18"/>
        </w:numPr>
      </w:pPr>
      <w:r w:rsidRPr="005623A6">
        <w:lastRenderedPageBreak/>
        <w:t xml:space="preserve">seek </w:t>
      </w:r>
      <w:r w:rsidR="00160BAB" w:rsidRPr="005623A6">
        <w:t xml:space="preserve">an order </w:t>
      </w:r>
      <w:r w:rsidRPr="005623A6">
        <w:t xml:space="preserve">from the Federal Court </w:t>
      </w:r>
      <w:r w:rsidR="006B34F7" w:rsidRPr="005623A6">
        <w:t xml:space="preserve">requiring payment </w:t>
      </w:r>
      <w:r w:rsidR="007D37E7" w:rsidRPr="005623A6">
        <w:t xml:space="preserve">of </w:t>
      </w:r>
      <w:r w:rsidR="00160BAB" w:rsidRPr="005623A6">
        <w:t>a civil penalty</w:t>
      </w:r>
      <w:r w:rsidR="00AE4B13" w:rsidRPr="005623A6">
        <w:t xml:space="preserve"> up to</w:t>
      </w:r>
      <w:r w:rsidR="00C56DA4" w:rsidRPr="005623A6">
        <w:t xml:space="preserve"> $</w:t>
      </w:r>
      <w:r w:rsidR="00285FD0">
        <w:t>250,000</w:t>
      </w:r>
      <w:r w:rsidR="005A562C">
        <w:t xml:space="preserve"> </w:t>
      </w:r>
      <w:r w:rsidR="00BD20B2">
        <w:t xml:space="preserve">from a </w:t>
      </w:r>
      <w:r w:rsidR="002C3FAA">
        <w:t>corporatio</w:t>
      </w:r>
      <w:r w:rsidR="00885F85">
        <w:t xml:space="preserve">n and $50,000 </w:t>
      </w:r>
      <w:r w:rsidR="00BD20B2">
        <w:t xml:space="preserve">from a </w:t>
      </w:r>
      <w:r w:rsidR="00885F85">
        <w:t>person other than body corporate)</w:t>
      </w:r>
      <w:r w:rsidR="00E67215">
        <w:t xml:space="preserve"> for each contravention</w:t>
      </w:r>
      <w:r w:rsidR="00885F85">
        <w:t>.</w:t>
      </w:r>
      <w:r w:rsidR="00B3052D" w:rsidRPr="005623A6">
        <w:rPr>
          <w:rStyle w:val="FootnoteReference"/>
        </w:rPr>
        <w:footnoteReference w:id="122"/>
      </w:r>
      <w:r w:rsidR="0066494C" w:rsidRPr="005623A6">
        <w:t xml:space="preserve"> </w:t>
      </w:r>
    </w:p>
    <w:p w14:paraId="3F210AB3" w14:textId="1885D522" w:rsidR="006A5DFC" w:rsidRDefault="006A5DFC" w:rsidP="007262BB">
      <w:r w:rsidRPr="005623A6">
        <w:t xml:space="preserve">Figure </w:t>
      </w:r>
      <w:r>
        <w:t>8</w:t>
      </w:r>
      <w:r w:rsidRPr="005623A6">
        <w:t xml:space="preserve"> </w:t>
      </w:r>
      <w:r>
        <w:t xml:space="preserve">illustrates the </w:t>
      </w:r>
      <w:r w:rsidRPr="005623A6">
        <w:t>enforcement mechanisms</w:t>
      </w:r>
      <w:r>
        <w:t xml:space="preserve"> available for </w:t>
      </w:r>
      <w:r w:rsidR="007262BB">
        <w:t>breach of a direction to comply with an industry code</w:t>
      </w:r>
      <w:r w:rsidRPr="005623A6">
        <w:t>.</w:t>
      </w:r>
    </w:p>
    <w:p w14:paraId="0BF4AD62" w14:textId="4306426F" w:rsidR="008A36C8" w:rsidRDefault="00D15083" w:rsidP="008A36C8">
      <w:pPr>
        <w:jc w:val="center"/>
      </w:pPr>
      <w:r>
        <w:rPr>
          <w:noProof/>
        </w:rPr>
        <w:drawing>
          <wp:inline distT="0" distB="0" distL="0" distR="0" wp14:anchorId="622F74F6" wp14:editId="282F7D1D">
            <wp:extent cx="4476750" cy="2827717"/>
            <wp:effectExtent l="0" t="0" r="0" b="0"/>
            <wp:docPr id="1" name="Picture 1" descr="Figure 8: Enforcement Mechanisms if Direction to Comply with Industry Code is Breached.&#10;&#10;A pyramid with three tiers. The largest and bottom tier is blue and says &quot;Administrative.&quot;  There are two blue ribbons protruding out of the right side of this tier. Each ribbon lists an Administrative enforcement action. These are Remedial direction and  infringement notice. On the left side of the tier, there is a green ribbon listing &quot;enforceable undertaking.&quot; The second tier is yellow and says &quot;Civil&quot;, with two yellow ribbons protruding out of the tier, each listing an enforcement action. The first ribbon lists civil penalty and the second ribbon lists &quot;injunction&quot;. The top tier is red and says &quot;crimin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8 UPDATED.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84372" cy="2832531"/>
                    </a:xfrm>
                    <a:prstGeom prst="rect">
                      <a:avLst/>
                    </a:prstGeom>
                  </pic:spPr>
                </pic:pic>
              </a:graphicData>
            </a:graphic>
          </wp:inline>
        </w:drawing>
      </w:r>
    </w:p>
    <w:p w14:paraId="4867F7A2" w14:textId="47FE8803" w:rsidR="006A5DFC" w:rsidRPr="005623A6" w:rsidRDefault="006A5DFC" w:rsidP="006A5DFC">
      <w:r w:rsidRPr="005623A6">
        <w:t xml:space="preserve">If </w:t>
      </w:r>
      <w:r w:rsidR="00D11F2F">
        <w:t>the ACMA</w:t>
      </w:r>
      <w:r w:rsidRPr="005623A6">
        <w:t xml:space="preserve"> issue</w:t>
      </w:r>
      <w:r>
        <w:t>s</w:t>
      </w:r>
      <w:r w:rsidRPr="005623A6">
        <w:t xml:space="preserve"> an infringement notice and the industry participant pays the specified penalty, </w:t>
      </w:r>
      <w:r w:rsidR="00D11F2F">
        <w:t>the ACMA</w:t>
      </w:r>
      <w:r w:rsidRPr="005623A6">
        <w:t xml:space="preserve"> cannot apply to the Federal Court for a</w:t>
      </w:r>
      <w:r>
        <w:t xml:space="preserve"> </w:t>
      </w:r>
      <w:r w:rsidRPr="005623A6">
        <w:t xml:space="preserve">civil penalty. However, it can accept an enforceable undertaking for the same breach.  </w:t>
      </w:r>
      <w:r w:rsidRPr="00033B08">
        <w:t xml:space="preserve">In theory, seeking </w:t>
      </w:r>
      <w:r w:rsidR="00B53098">
        <w:t>a</w:t>
      </w:r>
      <w:r w:rsidRPr="00033B08">
        <w:t>n injunction would als</w:t>
      </w:r>
      <w:r w:rsidRPr="00125811">
        <w:t>o be possible but would most likely not be appropriate.</w:t>
      </w:r>
      <w:r>
        <w:rPr>
          <w:rStyle w:val="FootnoteReference"/>
        </w:rPr>
        <w:footnoteReference w:id="123"/>
      </w:r>
      <w:r w:rsidR="00121826">
        <w:t xml:space="preserve"> </w:t>
      </w:r>
    </w:p>
    <w:p w14:paraId="078A8590" w14:textId="0E8021DC" w:rsidR="00BE7F59" w:rsidRPr="005623A6" w:rsidRDefault="00BE7F59" w:rsidP="001019BA">
      <w:pPr>
        <w:pStyle w:val="Heading3"/>
        <w:numPr>
          <w:ilvl w:val="0"/>
          <w:numId w:val="29"/>
        </w:numPr>
      </w:pPr>
      <w:bookmarkStart w:id="105" w:name="_Toc139024391"/>
      <w:bookmarkStart w:id="106" w:name="_Toc139024713"/>
      <w:bookmarkStart w:id="107" w:name="_Toc139031356"/>
      <w:bookmarkStart w:id="108" w:name="_Toc146201033"/>
      <w:bookmarkStart w:id="109" w:name="IndustryStandards"/>
      <w:bookmarkStart w:id="110" w:name="_Toc161836162"/>
      <w:r w:rsidRPr="005623A6">
        <w:t>Industry Standards</w:t>
      </w:r>
      <w:bookmarkEnd w:id="105"/>
      <w:bookmarkEnd w:id="106"/>
      <w:bookmarkEnd w:id="107"/>
      <w:bookmarkEnd w:id="108"/>
      <w:bookmarkEnd w:id="109"/>
      <w:bookmarkEnd w:id="110"/>
    </w:p>
    <w:p w14:paraId="68329CAF" w14:textId="5A8A919B" w:rsidR="00952FC8" w:rsidRPr="005623A6" w:rsidRDefault="00952FC8" w:rsidP="00952FC8">
      <w:r>
        <w:t xml:space="preserve">Industry standards are standards adopted by </w:t>
      </w:r>
      <w:r w:rsidR="00D11F2F">
        <w:t>the ACMA</w:t>
      </w:r>
      <w:r w:rsidR="004A03FD">
        <w:t xml:space="preserve"> in accordance with </w:t>
      </w:r>
      <w:r w:rsidR="00B13660">
        <w:t xml:space="preserve">ss </w:t>
      </w:r>
      <w:r w:rsidR="00EE66F2">
        <w:t xml:space="preserve">123, 124, </w:t>
      </w:r>
      <w:r w:rsidR="00B13660">
        <w:t xml:space="preserve">125 and 125AA </w:t>
      </w:r>
      <w:r w:rsidR="00831B4D">
        <w:t xml:space="preserve">of the </w:t>
      </w:r>
      <w:r w:rsidR="00AA7AED">
        <w:t>Tel Act</w:t>
      </w:r>
      <w:r w:rsidR="00831B4D">
        <w:t>. A</w:t>
      </w:r>
      <w:r w:rsidR="002D3EF9">
        <w:t>t</w:t>
      </w:r>
      <w:r w:rsidR="00831B4D">
        <w:t xml:space="preserve"> the time of writing, </w:t>
      </w:r>
      <w:r w:rsidR="009E5824">
        <w:t>four</w:t>
      </w:r>
      <w:r w:rsidR="00EE38EE">
        <w:t xml:space="preserve"> relevant </w:t>
      </w:r>
      <w:r w:rsidR="00831B4D">
        <w:t>industry standards</w:t>
      </w:r>
      <w:r w:rsidR="00364F8C">
        <w:t xml:space="preserve"> </w:t>
      </w:r>
      <w:r w:rsidR="002D3EF9">
        <w:t>are</w:t>
      </w:r>
      <w:r w:rsidR="00364F8C">
        <w:t xml:space="preserve"> </w:t>
      </w:r>
      <w:r w:rsidR="009C1C82">
        <w:t xml:space="preserve">in </w:t>
      </w:r>
      <w:r w:rsidR="00364F8C">
        <w:t>force</w:t>
      </w:r>
      <w:r w:rsidR="00FB7809">
        <w:t>:</w:t>
      </w:r>
    </w:p>
    <w:p w14:paraId="78B1C854" w14:textId="77777777" w:rsidR="00952FC8" w:rsidRPr="005623A6" w:rsidRDefault="137F5CB4" w:rsidP="001019BA">
      <w:pPr>
        <w:pStyle w:val="ListParagraph"/>
        <w:numPr>
          <w:ilvl w:val="0"/>
          <w:numId w:val="14"/>
        </w:numPr>
      </w:pPr>
      <w:r>
        <w:t>t</w:t>
      </w:r>
      <w:r w:rsidR="1D2DCB6A">
        <w:t>he Telecommunications (Mobile Number Pre-Porting Additional Identity Verification) Industry Standard 2020</w:t>
      </w:r>
    </w:p>
    <w:p w14:paraId="575F27CA" w14:textId="77777777" w:rsidR="00952FC8" w:rsidRPr="005623A6" w:rsidRDefault="137F5CB4" w:rsidP="001019BA">
      <w:pPr>
        <w:pStyle w:val="ListParagraph"/>
        <w:numPr>
          <w:ilvl w:val="0"/>
          <w:numId w:val="14"/>
        </w:numPr>
      </w:pPr>
      <w:r>
        <w:t xml:space="preserve">the </w:t>
      </w:r>
      <w:r w:rsidR="1D2DCB6A">
        <w:t>Telecommunications (NBN Continuity of Service) Industry Standard 2018</w:t>
      </w:r>
    </w:p>
    <w:p w14:paraId="78865229" w14:textId="77777777" w:rsidR="00952FC8" w:rsidRDefault="137F5CB4" w:rsidP="001019BA">
      <w:pPr>
        <w:pStyle w:val="ListParagraph"/>
        <w:numPr>
          <w:ilvl w:val="0"/>
          <w:numId w:val="14"/>
        </w:numPr>
      </w:pPr>
      <w:r>
        <w:t xml:space="preserve">the </w:t>
      </w:r>
      <w:r w:rsidR="1D2DCB6A">
        <w:t>Telecommunications (NBN Consumer Information) Industry Standard 2018</w:t>
      </w:r>
    </w:p>
    <w:p w14:paraId="71963189" w14:textId="77777777" w:rsidR="009E5824" w:rsidRDefault="009E5824" w:rsidP="001019BA">
      <w:pPr>
        <w:pStyle w:val="ListParagraph"/>
        <w:numPr>
          <w:ilvl w:val="0"/>
          <w:numId w:val="14"/>
        </w:numPr>
      </w:pPr>
      <w:r>
        <w:t>the Telecommunications (Consumer Complaints Handling) Industry Standard 2018.</w:t>
      </w:r>
      <w:r>
        <w:rPr>
          <w:rStyle w:val="FootnoteReference"/>
        </w:rPr>
        <w:footnoteReference w:id="124"/>
      </w:r>
    </w:p>
    <w:p w14:paraId="42BFC10A" w14:textId="03195BFA" w:rsidR="009E26FC" w:rsidRPr="005623A6" w:rsidRDefault="00380295" w:rsidP="00B2388A">
      <w:r w:rsidRPr="005623A6">
        <w:t>I</w:t>
      </w:r>
      <w:r w:rsidR="00051F41" w:rsidRPr="005623A6">
        <w:t>f an industry standa</w:t>
      </w:r>
      <w:r w:rsidR="00DF35FB" w:rsidRPr="005623A6">
        <w:t xml:space="preserve">rd is breached, </w:t>
      </w:r>
      <w:r w:rsidR="00D11F2F">
        <w:t>the ACMA</w:t>
      </w:r>
      <w:r w:rsidR="00833409" w:rsidRPr="005623A6">
        <w:t xml:space="preserve"> may:</w:t>
      </w:r>
    </w:p>
    <w:p w14:paraId="515D6C35" w14:textId="77777777" w:rsidR="00833409" w:rsidRPr="00E115C5" w:rsidRDefault="00833409" w:rsidP="001019BA">
      <w:pPr>
        <w:pStyle w:val="ListParagraph"/>
        <w:numPr>
          <w:ilvl w:val="0"/>
          <w:numId w:val="19"/>
        </w:numPr>
      </w:pPr>
      <w:r w:rsidRPr="00E115C5">
        <w:t>issue a formal warning</w:t>
      </w:r>
      <w:r w:rsidRPr="00E115C5">
        <w:rPr>
          <w:rStyle w:val="FootnoteReference"/>
        </w:rPr>
        <w:footnoteReference w:id="125"/>
      </w:r>
    </w:p>
    <w:p w14:paraId="080D035A" w14:textId="742EE44F" w:rsidR="00B83B21" w:rsidRPr="00E115C5" w:rsidRDefault="06733758" w:rsidP="001019BA">
      <w:pPr>
        <w:pStyle w:val="ListParagraph"/>
        <w:numPr>
          <w:ilvl w:val="0"/>
          <w:numId w:val="19"/>
        </w:numPr>
      </w:pPr>
      <w:r w:rsidRPr="00E115C5">
        <w:lastRenderedPageBreak/>
        <w:t>issue an infringement notice (within 12 months of the alleged breach) for 60 penalty units</w:t>
      </w:r>
      <w:r w:rsidR="55C3F4F9" w:rsidRPr="00E115C5">
        <w:t xml:space="preserve"> per contravention</w:t>
      </w:r>
      <w:r w:rsidR="00D70961" w:rsidRPr="00E115C5">
        <w:t xml:space="preserve"> to a body corporate</w:t>
      </w:r>
      <w:r w:rsidR="00E001C9" w:rsidRPr="00E115C5">
        <w:t xml:space="preserve"> or </w:t>
      </w:r>
      <w:r w:rsidR="00D70961" w:rsidRPr="00E115C5">
        <w:t xml:space="preserve">for 12 penalty units per contravention </w:t>
      </w:r>
      <w:r w:rsidR="00C926D8" w:rsidRPr="00E115C5">
        <w:t xml:space="preserve">to a </w:t>
      </w:r>
      <w:r w:rsidR="00D70961" w:rsidRPr="00E115C5">
        <w:t xml:space="preserve">person </w:t>
      </w:r>
      <w:r w:rsidR="0096006C" w:rsidRPr="00E115C5">
        <w:t>other than a body corporate</w:t>
      </w:r>
      <w:r w:rsidR="00B83B21" w:rsidRPr="00E115C5">
        <w:rPr>
          <w:rStyle w:val="FootnoteReference"/>
        </w:rPr>
        <w:footnoteReference w:id="126"/>
      </w:r>
      <w:r w:rsidRPr="00E115C5">
        <w:t xml:space="preserve"> </w:t>
      </w:r>
    </w:p>
    <w:p w14:paraId="52B7F564" w14:textId="3584C4C6" w:rsidR="007154BC" w:rsidRDefault="007154BC" w:rsidP="001019BA">
      <w:pPr>
        <w:pStyle w:val="ListParagraph"/>
        <w:numPr>
          <w:ilvl w:val="0"/>
          <w:numId w:val="19"/>
        </w:numPr>
      </w:pPr>
      <w:r>
        <w:t>issue a remedial direction</w:t>
      </w:r>
      <w:r w:rsidR="00ED4DBB">
        <w:rPr>
          <w:rStyle w:val="FootnoteReference"/>
        </w:rPr>
        <w:footnoteReference w:id="127"/>
      </w:r>
      <w:r>
        <w:t xml:space="preserve"> </w:t>
      </w:r>
    </w:p>
    <w:p w14:paraId="76463BDB" w14:textId="01CA8E0B" w:rsidR="00605959" w:rsidRPr="005623A6" w:rsidRDefault="66C31334" w:rsidP="001019BA">
      <w:pPr>
        <w:pStyle w:val="ListParagraph"/>
        <w:numPr>
          <w:ilvl w:val="0"/>
          <w:numId w:val="19"/>
        </w:numPr>
      </w:pPr>
      <w:r>
        <w:t>accept an enforceable undertaking</w:t>
      </w:r>
    </w:p>
    <w:p w14:paraId="7F73282E" w14:textId="2384B2A5" w:rsidR="00605959" w:rsidRPr="00887750" w:rsidRDefault="66C31334" w:rsidP="001019BA">
      <w:pPr>
        <w:pStyle w:val="ListParagraph"/>
        <w:numPr>
          <w:ilvl w:val="0"/>
          <w:numId w:val="19"/>
        </w:numPr>
      </w:pPr>
      <w:r w:rsidRPr="00887750">
        <w:t>seek an injunction from the Federal Court</w:t>
      </w:r>
      <w:r w:rsidR="00C50080" w:rsidRPr="00887750">
        <w:t xml:space="preserve"> and/or</w:t>
      </w:r>
    </w:p>
    <w:p w14:paraId="7FD97500" w14:textId="705B54F7" w:rsidR="00605959" w:rsidRPr="005623A6" w:rsidRDefault="66C31334" w:rsidP="001019BA">
      <w:pPr>
        <w:pStyle w:val="ListParagraph"/>
        <w:numPr>
          <w:ilvl w:val="0"/>
          <w:numId w:val="19"/>
        </w:numPr>
      </w:pPr>
      <w:r w:rsidRPr="005623A6">
        <w:t>seek an order from the Federal Court requiring payment of a civil penalty up to $</w:t>
      </w:r>
      <w:r w:rsidR="00E12304">
        <w:t>250,000</w:t>
      </w:r>
      <w:r w:rsidR="005C1A58">
        <w:t xml:space="preserve"> </w:t>
      </w:r>
      <w:bookmarkStart w:id="111" w:name="_Hlk158971299"/>
      <w:r w:rsidR="005524CF">
        <w:t xml:space="preserve">by a </w:t>
      </w:r>
      <w:r w:rsidR="00FE5099">
        <w:t xml:space="preserve">corporation and </w:t>
      </w:r>
      <w:r w:rsidR="00CC1C10">
        <w:t xml:space="preserve">up to </w:t>
      </w:r>
      <w:r w:rsidR="00FE5099">
        <w:t xml:space="preserve">$50,000 </w:t>
      </w:r>
      <w:r w:rsidR="00CC1C10">
        <w:t xml:space="preserve">by a </w:t>
      </w:r>
      <w:r w:rsidR="00FE5099">
        <w:t xml:space="preserve">person other than </w:t>
      </w:r>
      <w:r w:rsidR="00CC1C10">
        <w:t xml:space="preserve">a </w:t>
      </w:r>
      <w:r w:rsidR="00FE5099">
        <w:t>body corporate</w:t>
      </w:r>
      <w:bookmarkEnd w:id="111"/>
      <w:r w:rsidR="005C1A58">
        <w:t xml:space="preserve"> for each contravention</w:t>
      </w:r>
      <w:r w:rsidRPr="005623A6">
        <w:t>.</w:t>
      </w:r>
      <w:r w:rsidR="00605959" w:rsidRPr="005623A6">
        <w:rPr>
          <w:rStyle w:val="FootnoteReference"/>
        </w:rPr>
        <w:footnoteReference w:id="128"/>
      </w:r>
    </w:p>
    <w:p w14:paraId="50A86A21" w14:textId="51B45571" w:rsidR="00B15926" w:rsidRDefault="007262BB" w:rsidP="00605959">
      <w:r w:rsidRPr="005623A6">
        <w:t xml:space="preserve">Figure </w:t>
      </w:r>
      <w:r>
        <w:t>9</w:t>
      </w:r>
      <w:r w:rsidRPr="005623A6">
        <w:t xml:space="preserve"> </w:t>
      </w:r>
      <w:r>
        <w:t xml:space="preserve">presents </w:t>
      </w:r>
      <w:r w:rsidRPr="005623A6">
        <w:t>an illustration of the</w:t>
      </w:r>
      <w:r>
        <w:t>se</w:t>
      </w:r>
      <w:r w:rsidRPr="005623A6">
        <w:t xml:space="preserve"> enforcement mechanisms</w:t>
      </w:r>
      <w:r>
        <w:t xml:space="preserve"> available for breach of an industry standard</w:t>
      </w:r>
      <w:r w:rsidRPr="005623A6">
        <w:t>.</w:t>
      </w:r>
    </w:p>
    <w:p w14:paraId="55B2AAA5" w14:textId="30665C7C" w:rsidR="00B15926" w:rsidRDefault="00B15926" w:rsidP="006F1093">
      <w:pPr>
        <w:jc w:val="center"/>
      </w:pPr>
      <w:r>
        <w:rPr>
          <w:noProof/>
        </w:rPr>
        <w:drawing>
          <wp:inline distT="0" distB="0" distL="0" distR="0" wp14:anchorId="61F6DE55" wp14:editId="644527CA">
            <wp:extent cx="4884301" cy="3114675"/>
            <wp:effectExtent l="0" t="0" r="0" b="0"/>
            <wp:docPr id="17" name="Picture 17" descr="Figure 9: Industry Standard Enforcement Mechanisms &#10;&#10;A pyramid with three tiers. The largest and bottom tier is blue and says &quot;Administrative.&quot;  There are three blue ribbons protruding out of the right side of this tier. Each ribbon lists an Administrative enforcement action. These are Remedial directions, infringement notices and formal warnings. On the left side of the tier, there is a green ribbon listing &quot;enforceable undertaking.&quot; The second tier is yellow and says &quot;Civil&quot;, with two yellow ribbons protruding out of the tier, each listing an enforcement action. The first ribbon lists civil penalty and the second ribbon lists &quot;injunction&quot;. The top tier is red and says &quot;crimin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W figure 09.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87284" cy="3116577"/>
                    </a:xfrm>
                    <a:prstGeom prst="rect">
                      <a:avLst/>
                    </a:prstGeom>
                  </pic:spPr>
                </pic:pic>
              </a:graphicData>
            </a:graphic>
          </wp:inline>
        </w:drawing>
      </w:r>
    </w:p>
    <w:p w14:paraId="71822B86" w14:textId="77777777" w:rsidR="00261F38" w:rsidRDefault="00261F38">
      <w:pPr>
        <w:jc w:val="left"/>
      </w:pPr>
      <w:r>
        <w:br w:type="page"/>
      </w:r>
    </w:p>
    <w:p w14:paraId="522EDABF" w14:textId="6B27D0CD" w:rsidR="00F95B91" w:rsidRPr="005623A6" w:rsidRDefault="00F95B91" w:rsidP="00F95B91">
      <w:r w:rsidRPr="005623A6">
        <w:lastRenderedPageBreak/>
        <w:t xml:space="preserve">If a service provider fails to comply with a remedial direction, </w:t>
      </w:r>
      <w:r w:rsidR="00D11F2F">
        <w:t>the ACMA</w:t>
      </w:r>
      <w:r w:rsidRPr="005623A6">
        <w:t xml:space="preserve"> may:</w:t>
      </w:r>
    </w:p>
    <w:p w14:paraId="6A8AC347" w14:textId="77777777" w:rsidR="00F95B91" w:rsidRPr="005623A6" w:rsidRDefault="00F95B91" w:rsidP="001019BA">
      <w:pPr>
        <w:pStyle w:val="ListParagraph"/>
        <w:numPr>
          <w:ilvl w:val="0"/>
          <w:numId w:val="20"/>
        </w:numPr>
      </w:pPr>
      <w:r w:rsidRPr="005623A6">
        <w:t>issue a formal warning</w:t>
      </w:r>
    </w:p>
    <w:p w14:paraId="6872583A" w14:textId="77777777" w:rsidR="00F95B91" w:rsidRPr="005623A6" w:rsidRDefault="00F95B91" w:rsidP="001019BA">
      <w:pPr>
        <w:pStyle w:val="ListParagraph"/>
        <w:numPr>
          <w:ilvl w:val="0"/>
          <w:numId w:val="15"/>
        </w:numPr>
      </w:pPr>
      <w:r>
        <w:t>issue an infringement notice (within 12 months of the alleged breach) for 60 penalty units per contravention to a body corporate or for 12 penalty units per contravention to a person other than a body corporate</w:t>
      </w:r>
      <w:r w:rsidRPr="005623A6">
        <w:rPr>
          <w:rStyle w:val="FootnoteReference"/>
        </w:rPr>
        <w:footnoteReference w:id="129"/>
      </w:r>
    </w:p>
    <w:p w14:paraId="05AF9652" w14:textId="77777777" w:rsidR="00F95B91" w:rsidRPr="005623A6" w:rsidRDefault="00F95B91" w:rsidP="001019BA">
      <w:pPr>
        <w:pStyle w:val="ListParagraph"/>
        <w:numPr>
          <w:ilvl w:val="0"/>
          <w:numId w:val="19"/>
        </w:numPr>
      </w:pPr>
      <w:r>
        <w:t>accept an enforceable undertaking</w:t>
      </w:r>
    </w:p>
    <w:p w14:paraId="3C2674D2" w14:textId="77777777" w:rsidR="00F95B91" w:rsidRPr="00B63BB9" w:rsidRDefault="00F95B91" w:rsidP="001019BA">
      <w:pPr>
        <w:pStyle w:val="ListParagraph"/>
        <w:numPr>
          <w:ilvl w:val="0"/>
          <w:numId w:val="19"/>
        </w:numPr>
      </w:pPr>
      <w:r w:rsidRPr="00B63BB9">
        <w:t>seek an injunction from the Federal Court</w:t>
      </w:r>
    </w:p>
    <w:p w14:paraId="2A5C7C80" w14:textId="77777777" w:rsidR="00F95B91" w:rsidRPr="005623A6" w:rsidRDefault="00F95B91" w:rsidP="001019BA">
      <w:pPr>
        <w:pStyle w:val="ListParagraph"/>
        <w:numPr>
          <w:ilvl w:val="0"/>
          <w:numId w:val="19"/>
        </w:numPr>
      </w:pPr>
      <w:r>
        <w:t>seek an order from the Federal Court requiring payment of a civil penalty up to $10 million (for corporations) and $50,000 (for persons other than body corporates) for each contravention.</w:t>
      </w:r>
      <w:r w:rsidRPr="005623A6">
        <w:rPr>
          <w:rStyle w:val="FootnoteReference"/>
        </w:rPr>
        <w:footnoteReference w:id="130"/>
      </w:r>
      <w:r>
        <w:t xml:space="preserve"> </w:t>
      </w:r>
    </w:p>
    <w:p w14:paraId="4F7A14CB" w14:textId="0AE7E048" w:rsidR="007262BB" w:rsidRDefault="007262BB" w:rsidP="00605959">
      <w:r w:rsidRPr="005623A6">
        <w:t xml:space="preserve">Figure </w:t>
      </w:r>
      <w:r>
        <w:t>10</w:t>
      </w:r>
      <w:r w:rsidRPr="005623A6">
        <w:t xml:space="preserve"> </w:t>
      </w:r>
      <w:r>
        <w:t xml:space="preserve">illustrates the </w:t>
      </w:r>
      <w:r w:rsidRPr="005623A6">
        <w:t>enforcement mechanisms</w:t>
      </w:r>
      <w:r>
        <w:t xml:space="preserve"> available for breach of a remedial direction. </w:t>
      </w:r>
    </w:p>
    <w:p w14:paraId="7C93EB91" w14:textId="75951ABB" w:rsidR="00CC09B7" w:rsidRPr="005623A6" w:rsidRDefault="00CC09B7" w:rsidP="006F1093">
      <w:pPr>
        <w:jc w:val="center"/>
      </w:pPr>
      <w:r>
        <w:rPr>
          <w:noProof/>
        </w:rPr>
        <w:drawing>
          <wp:inline distT="0" distB="0" distL="0" distR="0" wp14:anchorId="742F657A" wp14:editId="21F9FCAA">
            <wp:extent cx="5014129" cy="3286125"/>
            <wp:effectExtent l="0" t="0" r="0" b="0"/>
            <wp:docPr id="23" name="Picture 23" descr="Figure 10: Remedial Direction Enforcement Mechanisms&#10;&#10;A pyramid with three tiers. The largest and bottom tier is blue and says &quot;Administrative.&quot;  There are three blue ribbons protruding out of the right side of this tier. Each ribbon lists an Administrative enforcement action. These say Remedial direction, infringement notice (for declared provisions) and Formal Warning. On the left side of the tier, there is a green ribbon listing &quot;enforceable undertaking.&quot; The second tier is yellow and says &quot;Civil&quot; with two yellow ribbons protruding out of the tier, each listing an enforcement action. The first ribbon lists civil penalty and the second ribbon lists &quot;injunction&quot;. The top tier is red and says &quot;crimin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ure_1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19638" cy="3289736"/>
                    </a:xfrm>
                    <a:prstGeom prst="rect">
                      <a:avLst/>
                    </a:prstGeom>
                  </pic:spPr>
                </pic:pic>
              </a:graphicData>
            </a:graphic>
          </wp:inline>
        </w:drawing>
      </w:r>
    </w:p>
    <w:p w14:paraId="77D65094" w14:textId="72AB74C9" w:rsidR="00CA4744" w:rsidRPr="00160C69" w:rsidRDefault="00CA4744">
      <w:pPr>
        <w:jc w:val="center"/>
      </w:pPr>
    </w:p>
    <w:p w14:paraId="3B55F5AF" w14:textId="46353996" w:rsidR="00744F65" w:rsidRPr="005623A6" w:rsidRDefault="006E5F44" w:rsidP="001019BA">
      <w:pPr>
        <w:pStyle w:val="Heading3"/>
        <w:numPr>
          <w:ilvl w:val="0"/>
          <w:numId w:val="29"/>
        </w:numPr>
      </w:pPr>
      <w:bookmarkStart w:id="112" w:name="_Toc139024393"/>
      <w:bookmarkStart w:id="113" w:name="_Toc139024714"/>
      <w:bookmarkStart w:id="114" w:name="_Toc139031357"/>
      <w:bookmarkStart w:id="115" w:name="_Toc146201034"/>
      <w:bookmarkStart w:id="116" w:name="SelectServiceProviderRules"/>
      <w:bookmarkStart w:id="117" w:name="_Toc161836163"/>
      <w:r w:rsidRPr="005623A6">
        <w:t xml:space="preserve">Select </w:t>
      </w:r>
      <w:r w:rsidR="00BE7F59" w:rsidRPr="005623A6">
        <w:t>Service Provider Rules</w:t>
      </w:r>
      <w:bookmarkEnd w:id="112"/>
      <w:bookmarkEnd w:id="113"/>
      <w:bookmarkEnd w:id="114"/>
      <w:bookmarkEnd w:id="115"/>
      <w:bookmarkEnd w:id="116"/>
      <w:bookmarkEnd w:id="117"/>
    </w:p>
    <w:p w14:paraId="6BBF031A" w14:textId="6534F74D" w:rsidR="0051598A" w:rsidRPr="005623A6" w:rsidRDefault="00ED6AC5" w:rsidP="00B2388A">
      <w:r w:rsidRPr="005623A6">
        <w:t>I</w:t>
      </w:r>
      <w:r w:rsidR="004C551B" w:rsidRPr="005623A6">
        <w:t xml:space="preserve">f a </w:t>
      </w:r>
      <w:r w:rsidR="005F5EB8" w:rsidRPr="005623A6">
        <w:t xml:space="preserve">select </w:t>
      </w:r>
      <w:r w:rsidR="004C551B" w:rsidRPr="005623A6">
        <w:t xml:space="preserve">service provider rule is breached, </w:t>
      </w:r>
      <w:r w:rsidR="00D11F2F">
        <w:t>the ACMA</w:t>
      </w:r>
      <w:r w:rsidR="006406CA" w:rsidRPr="005623A6">
        <w:t xml:space="preserve"> may:</w:t>
      </w:r>
    </w:p>
    <w:p w14:paraId="19E6F60E" w14:textId="77777777" w:rsidR="00103134" w:rsidRPr="005623A6" w:rsidRDefault="00103134" w:rsidP="001019BA">
      <w:pPr>
        <w:pStyle w:val="ListParagraph"/>
        <w:numPr>
          <w:ilvl w:val="0"/>
          <w:numId w:val="20"/>
        </w:numPr>
      </w:pPr>
      <w:r w:rsidRPr="005623A6">
        <w:t>issue a formal warning</w:t>
      </w:r>
      <w:r w:rsidR="00894E5D" w:rsidRPr="005623A6">
        <w:rPr>
          <w:rStyle w:val="FootnoteReference"/>
        </w:rPr>
        <w:footnoteReference w:id="131"/>
      </w:r>
    </w:p>
    <w:p w14:paraId="4C7A496F" w14:textId="77777777" w:rsidR="00103134" w:rsidRPr="005623A6" w:rsidRDefault="00103134" w:rsidP="001019BA">
      <w:pPr>
        <w:pStyle w:val="ListParagraph"/>
        <w:numPr>
          <w:ilvl w:val="0"/>
          <w:numId w:val="20"/>
        </w:numPr>
      </w:pPr>
      <w:r w:rsidRPr="005623A6">
        <w:lastRenderedPageBreak/>
        <w:t>issue a remedial direction</w:t>
      </w:r>
      <w:r w:rsidR="00894E5D" w:rsidRPr="005623A6">
        <w:rPr>
          <w:rStyle w:val="FootnoteReference"/>
        </w:rPr>
        <w:footnoteReference w:id="132"/>
      </w:r>
    </w:p>
    <w:p w14:paraId="0A5FF2B5" w14:textId="77777777" w:rsidR="0013638A" w:rsidRPr="005623A6" w:rsidRDefault="4D52F997" w:rsidP="001019BA">
      <w:pPr>
        <w:pStyle w:val="ListParagraph"/>
        <w:numPr>
          <w:ilvl w:val="0"/>
          <w:numId w:val="19"/>
        </w:numPr>
      </w:pPr>
      <w:r>
        <w:t>accept an enforceable undertaking</w:t>
      </w:r>
    </w:p>
    <w:p w14:paraId="1DEEB2E4" w14:textId="1B5FABA9" w:rsidR="0013638A" w:rsidRPr="00712093" w:rsidRDefault="4D52F997" w:rsidP="001019BA">
      <w:pPr>
        <w:pStyle w:val="ListParagraph"/>
        <w:numPr>
          <w:ilvl w:val="0"/>
          <w:numId w:val="19"/>
        </w:numPr>
      </w:pPr>
      <w:r>
        <w:t>seek an injunction from the Federal Court</w:t>
      </w:r>
      <w:r w:rsidR="00E26E4A">
        <w:t xml:space="preserve"> and/or</w:t>
      </w:r>
    </w:p>
    <w:p w14:paraId="227B3F06" w14:textId="05669FD0" w:rsidR="0049383C" w:rsidRDefault="4D52F997" w:rsidP="001019BA">
      <w:pPr>
        <w:pStyle w:val="ListParagraph"/>
        <w:numPr>
          <w:ilvl w:val="0"/>
          <w:numId w:val="19"/>
        </w:numPr>
      </w:pPr>
      <w:r w:rsidRPr="00712093">
        <w:t>seek an order from the Federal Court requiring payment of a civil penalty up to $10 million</w:t>
      </w:r>
      <w:r w:rsidR="0013638A" w:rsidRPr="00712093">
        <w:rPr>
          <w:rStyle w:val="FootnoteReference"/>
        </w:rPr>
        <w:footnoteReference w:id="133"/>
      </w:r>
      <w:r w:rsidR="43BBC7C6" w:rsidRPr="00712093">
        <w:t xml:space="preserve"> </w:t>
      </w:r>
      <w:r w:rsidR="0049383C" w:rsidRPr="00712093">
        <w:t>(for corporations) and $50,000 (for persons other than body corporates)</w:t>
      </w:r>
      <w:r w:rsidR="00E74F5E" w:rsidRPr="00712093">
        <w:t xml:space="preserve"> for each contravention</w:t>
      </w:r>
      <w:r w:rsidR="00F63031" w:rsidRPr="00712093">
        <w:t>.</w:t>
      </w:r>
    </w:p>
    <w:p w14:paraId="4D0DAC9A" w14:textId="36AC34C3" w:rsidR="007262BB" w:rsidRDefault="007262BB" w:rsidP="007262BB">
      <w:r w:rsidRPr="005623A6">
        <w:t xml:space="preserve">Figure </w:t>
      </w:r>
      <w:r>
        <w:t>11</w:t>
      </w:r>
      <w:r w:rsidRPr="005623A6">
        <w:t xml:space="preserve"> </w:t>
      </w:r>
      <w:r>
        <w:t xml:space="preserve">presents </w:t>
      </w:r>
      <w:r w:rsidRPr="005623A6">
        <w:t>an illustration of the</w:t>
      </w:r>
      <w:r>
        <w:t>se</w:t>
      </w:r>
      <w:r w:rsidRPr="005623A6">
        <w:t xml:space="preserve"> enforcement mechanisms</w:t>
      </w:r>
      <w:r>
        <w:t xml:space="preserve"> available for breach of one of the select service provider rules. </w:t>
      </w:r>
    </w:p>
    <w:p w14:paraId="0770EC7E" w14:textId="52A8F38D" w:rsidR="00CC09B7" w:rsidRPr="00712093" w:rsidRDefault="00CC09B7" w:rsidP="006F1093">
      <w:pPr>
        <w:jc w:val="center"/>
      </w:pPr>
      <w:r>
        <w:rPr>
          <w:noProof/>
        </w:rPr>
        <w:drawing>
          <wp:inline distT="0" distB="0" distL="0" distR="0" wp14:anchorId="36944E5A" wp14:editId="4CDA0DE0">
            <wp:extent cx="4766316" cy="3181350"/>
            <wp:effectExtent l="0" t="0" r="0" b="0"/>
            <wp:docPr id="24" name="Picture 24" descr="Figure 11: Service Provider Rule Enforcement Mechanisms &#10;&#10;A pyramid with tiers. The largest and bottom tier is blue and says &quot;Administrative.&quot;  There are four blue ribbons protruding out of the right side of this tier. Each ribbon lists an Administrative enforcement action. These say formal warning, direction (requirement to joint TIO only) infringement notice (for declared provisions),  and remedial direction. On the left side of the tier, there is a green ribbon listing &quot;enforceable undertaking.&quot; The second tier is yellow and says &quot;Civil&quot;, with two yellow ribbons protruding out of the tier, each listing an enforcement action. The first ribbon lists civil penalty and the second ribbon lists &quot;injunction&quot;. The top tier is red and says &quot;crimin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ure_1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72813" cy="3185687"/>
                    </a:xfrm>
                    <a:prstGeom prst="rect">
                      <a:avLst/>
                    </a:prstGeom>
                  </pic:spPr>
                </pic:pic>
              </a:graphicData>
            </a:graphic>
          </wp:inline>
        </w:drawing>
      </w:r>
    </w:p>
    <w:p w14:paraId="7C0B9A48" w14:textId="20F399A7" w:rsidR="00536A9D" w:rsidRPr="005623A6" w:rsidRDefault="00536A9D" w:rsidP="00536A9D">
      <w:r w:rsidRPr="005623A6">
        <w:t xml:space="preserve">For some select service provider rules, </w:t>
      </w:r>
      <w:r w:rsidR="00D11F2F">
        <w:t>the ACMA</w:t>
      </w:r>
      <w:r w:rsidRPr="005623A6">
        <w:t xml:space="preserve"> has the additional option of issuing an infringement notice (within 12 months of the alleged breach). </w:t>
      </w:r>
      <w:r w:rsidR="000274C5">
        <w:t>T</w:t>
      </w:r>
      <w:r w:rsidR="00D11F2F">
        <w:t>he ACMA</w:t>
      </w:r>
      <w:r w:rsidRPr="005623A6">
        <w:t xml:space="preserve"> may issue an infringement notice:</w:t>
      </w:r>
    </w:p>
    <w:p w14:paraId="642AC9C5" w14:textId="7908DAED" w:rsidR="00536A9D" w:rsidRPr="005623A6" w:rsidRDefault="00536A9D" w:rsidP="001019BA">
      <w:pPr>
        <w:pStyle w:val="ListParagraph"/>
        <w:numPr>
          <w:ilvl w:val="0"/>
          <w:numId w:val="21"/>
        </w:numPr>
      </w:pPr>
      <w:r w:rsidRPr="005623A6">
        <w:t xml:space="preserve">when the contravention involves a breach of Schedule 2 of the </w:t>
      </w:r>
      <w:r w:rsidR="00AA7AED">
        <w:t>Tel Act</w:t>
      </w:r>
      <w:r w:rsidR="64E02FC8">
        <w:t xml:space="preserve"> (other than Part 1 of Schedule 2)</w:t>
      </w:r>
      <w:r w:rsidRPr="005623A6">
        <w:t>,</w:t>
      </w:r>
      <w:r w:rsidRPr="005623A6">
        <w:rPr>
          <w:rStyle w:val="FootnoteReference"/>
        </w:rPr>
        <w:footnoteReference w:id="134"/>
      </w:r>
      <w:r w:rsidRPr="005623A6">
        <w:t xml:space="preserve"> the TCPSS Act and related regulations, or a service provider determination made by </w:t>
      </w:r>
      <w:r w:rsidR="00D11F2F">
        <w:t>the ACMA</w:t>
      </w:r>
      <w:r w:rsidRPr="005623A6">
        <w:t xml:space="preserve"> or the Minister</w:t>
      </w:r>
      <w:r w:rsidR="00CC4503" w:rsidRPr="005623A6">
        <w:t>;</w:t>
      </w:r>
    </w:p>
    <w:p w14:paraId="588B7018" w14:textId="2BE266EE" w:rsidR="00536A9D" w:rsidRPr="005623A6" w:rsidRDefault="00D11F2F" w:rsidP="001019BA">
      <w:pPr>
        <w:pStyle w:val="ListParagraph"/>
        <w:numPr>
          <w:ilvl w:val="0"/>
          <w:numId w:val="21"/>
        </w:numPr>
      </w:pPr>
      <w:r>
        <w:t>the ACMA</w:t>
      </w:r>
      <w:r w:rsidR="00536A9D" w:rsidRPr="005623A6">
        <w:t xml:space="preserve"> has declared the specific provision to be a listed infringement notice provision; and</w:t>
      </w:r>
    </w:p>
    <w:p w14:paraId="78582746" w14:textId="6CFD50B0" w:rsidR="00536A9D" w:rsidRPr="005623A6" w:rsidRDefault="00536A9D" w:rsidP="001019BA">
      <w:pPr>
        <w:pStyle w:val="ListParagraph"/>
        <w:numPr>
          <w:ilvl w:val="0"/>
          <w:numId w:val="21"/>
        </w:numPr>
      </w:pPr>
      <w:r w:rsidRPr="005623A6">
        <w:t xml:space="preserve">the provision has been a listed infringement notice provision for at least </w:t>
      </w:r>
      <w:r w:rsidR="000274C5">
        <w:t>three</w:t>
      </w:r>
      <w:r w:rsidRPr="005623A6">
        <w:t xml:space="preserve"> months before the day on which the alleged breach occurred.</w:t>
      </w:r>
    </w:p>
    <w:p w14:paraId="68E7B179" w14:textId="5E4A403A" w:rsidR="00536A9D" w:rsidRPr="005623A6" w:rsidRDefault="00536A9D" w:rsidP="00536A9D">
      <w:r w:rsidRPr="005623A6">
        <w:t xml:space="preserve">As of the date of writing, </w:t>
      </w:r>
      <w:r w:rsidR="00D11F2F">
        <w:t>the ACMA</w:t>
      </w:r>
      <w:r w:rsidRPr="005623A6">
        <w:t xml:space="preserve"> has declared only the following provisions of the select service provider rules are listed infringement notice provisions:</w:t>
      </w:r>
    </w:p>
    <w:p w14:paraId="1B905157" w14:textId="77777777" w:rsidR="00536A9D" w:rsidRPr="005623A6" w:rsidRDefault="00536A9D" w:rsidP="001019BA">
      <w:pPr>
        <w:pStyle w:val="ListParagraph"/>
        <w:numPr>
          <w:ilvl w:val="0"/>
          <w:numId w:val="15"/>
        </w:numPr>
      </w:pPr>
      <w:r>
        <w:t>subclause 10(2) of Part 4 (Integrated Public Number Database) of Schedule 2, which relates to information carriage service providers must give to Telstra</w:t>
      </w:r>
    </w:p>
    <w:p w14:paraId="0A8D3D0B" w14:textId="77777777" w:rsidR="00536A9D" w:rsidRPr="005623A6" w:rsidRDefault="00536A9D" w:rsidP="001019BA">
      <w:pPr>
        <w:pStyle w:val="ListParagraph"/>
        <w:numPr>
          <w:ilvl w:val="0"/>
          <w:numId w:val="15"/>
        </w:numPr>
      </w:pPr>
      <w:r>
        <w:lastRenderedPageBreak/>
        <w:t xml:space="preserve">subclause 11(2) of Part 4 (Integrated Public Number Database) of Schedule 2, which relates to </w:t>
      </w:r>
      <w:r w:rsidR="006D3A60">
        <w:t xml:space="preserve">information </w:t>
      </w:r>
      <w:r>
        <w:t>carriage service providers must give to another person or association</w:t>
      </w:r>
    </w:p>
    <w:p w14:paraId="676B7894" w14:textId="28E5E279" w:rsidR="00536A9D" w:rsidRPr="005623A6" w:rsidRDefault="00536A9D" w:rsidP="001019BA">
      <w:pPr>
        <w:pStyle w:val="ListParagraph"/>
        <w:numPr>
          <w:ilvl w:val="0"/>
          <w:numId w:val="15"/>
        </w:numPr>
      </w:pPr>
      <w:r>
        <w:t xml:space="preserve">subsection 521(3) of the </w:t>
      </w:r>
      <w:r w:rsidR="00AA7AED">
        <w:t>Tel Act</w:t>
      </w:r>
      <w:r>
        <w:t xml:space="preserve"> (the obligation to comply with </w:t>
      </w:r>
      <w:r w:rsidR="00D11F2F">
        <w:t>the ACMA</w:t>
      </w:r>
      <w:r>
        <w:t xml:space="preserve"> requests for information and/or documentation)</w:t>
      </w:r>
    </w:p>
    <w:p w14:paraId="20FDBEB4" w14:textId="7CA5F737" w:rsidR="00BD6B5E" w:rsidRPr="00081608" w:rsidRDefault="00536A9D" w:rsidP="001019BA">
      <w:pPr>
        <w:pStyle w:val="ListParagraph"/>
        <w:numPr>
          <w:ilvl w:val="0"/>
          <w:numId w:val="15"/>
        </w:numPr>
      </w:pPr>
      <w:r>
        <w:t xml:space="preserve">section 530 of the </w:t>
      </w:r>
      <w:r w:rsidR="00AA7AED">
        <w:t>Tel Act</w:t>
      </w:r>
      <w:r>
        <w:t xml:space="preserve"> (compliance with record-keeping rules)</w:t>
      </w:r>
    </w:p>
    <w:p w14:paraId="4189B94F" w14:textId="77777777" w:rsidR="00536A9D" w:rsidRPr="005623A6" w:rsidRDefault="00536A9D" w:rsidP="001019BA">
      <w:pPr>
        <w:pStyle w:val="ListParagraph"/>
        <w:numPr>
          <w:ilvl w:val="0"/>
          <w:numId w:val="15"/>
        </w:numPr>
      </w:pPr>
      <w:r>
        <w:t>section 132 of the TCPSS Act (members of scheme must comply with TIO scheme)</w:t>
      </w:r>
    </w:p>
    <w:p w14:paraId="494975C6" w14:textId="26FD78AD" w:rsidR="00536A9D" w:rsidRDefault="44137EB9" w:rsidP="001019BA">
      <w:pPr>
        <w:pStyle w:val="ListParagraph"/>
        <w:numPr>
          <w:ilvl w:val="0"/>
          <w:numId w:val="15"/>
        </w:numPr>
      </w:pPr>
      <w:r>
        <w:t xml:space="preserve">certain provisions </w:t>
      </w:r>
      <w:r w:rsidR="5AA4251B">
        <w:t xml:space="preserve">of the </w:t>
      </w:r>
      <w:r w:rsidR="5AA4251B" w:rsidRPr="27E57E23">
        <w:rPr>
          <w:i/>
          <w:iCs/>
        </w:rPr>
        <w:t>Telecommunications (Service Provider – Identity Checks for Prepaid Mobile Carriage Services</w:t>
      </w:r>
      <w:r w:rsidR="49EAAA88" w:rsidRPr="27E57E23">
        <w:rPr>
          <w:i/>
          <w:iCs/>
        </w:rPr>
        <w:t>)</w:t>
      </w:r>
      <w:r w:rsidR="5AA4251B" w:rsidRPr="27E57E23">
        <w:rPr>
          <w:i/>
          <w:iCs/>
        </w:rPr>
        <w:t xml:space="preserve"> Determination 2017</w:t>
      </w:r>
      <w:r w:rsidR="5AA4251B">
        <w:t xml:space="preserve"> (Cth)</w:t>
      </w:r>
      <w:r>
        <w:t>,</w:t>
      </w:r>
      <w:r w:rsidR="00D26815">
        <w:t xml:space="preserve"> </w:t>
      </w:r>
      <w:r w:rsidR="5AA4251B" w:rsidRPr="005623A6">
        <w:t xml:space="preserve">the </w:t>
      </w:r>
      <w:r w:rsidR="5AA4251B" w:rsidRPr="27E57E23">
        <w:rPr>
          <w:i/>
          <w:iCs/>
        </w:rPr>
        <w:t>Telecommunications Service Provider</w:t>
      </w:r>
      <w:r w:rsidR="5AA4251B" w:rsidRPr="005623A6">
        <w:t xml:space="preserve"> (NBN Service Migration) Determination 2018 (Cth)</w:t>
      </w:r>
      <w:bookmarkStart w:id="118" w:name="_Ref137474422"/>
      <w:r w:rsidDel="44137EB9">
        <w:t xml:space="preserve">, </w:t>
      </w:r>
      <w:r w:rsidRPr="73A03200">
        <w:rPr>
          <w:color w:val="000000" w:themeColor="text1"/>
        </w:rPr>
        <w:t xml:space="preserve">the </w:t>
      </w:r>
      <w:r w:rsidRPr="27E57E23" w:rsidDel="3B6EF0C5">
        <w:rPr>
          <w:i/>
          <w:iCs/>
          <w:color w:val="000000" w:themeColor="text1"/>
        </w:rPr>
        <w:t>Telecommunications Service Provider (International Mobile Roaming)</w:t>
      </w:r>
      <w:r w:rsidRPr="27E57E23">
        <w:rPr>
          <w:i/>
          <w:iCs/>
          <w:color w:val="000000" w:themeColor="text1"/>
          <w:sz w:val="22"/>
        </w:rPr>
        <w:t> Determination 2019</w:t>
      </w:r>
      <w:r w:rsidR="00005B62" w:rsidRPr="27E57E23">
        <w:rPr>
          <w:i/>
          <w:iCs/>
          <w:color w:val="000000" w:themeColor="text1"/>
          <w:sz w:val="22"/>
        </w:rPr>
        <w:t xml:space="preserve"> </w:t>
      </w:r>
      <w:r w:rsidRPr="12EC14AA">
        <w:rPr>
          <w:color w:val="000000" w:themeColor="text1"/>
          <w:sz w:val="22"/>
        </w:rPr>
        <w:t>(Cth</w:t>
      </w:r>
      <w:r w:rsidR="00005B62" w:rsidRPr="12EC14AA">
        <w:rPr>
          <w:color w:val="000000" w:themeColor="text1"/>
          <w:sz w:val="22"/>
        </w:rPr>
        <w:t>)</w:t>
      </w:r>
      <w:r w:rsidR="00012A69" w:rsidRPr="12EC14AA">
        <w:rPr>
          <w:color w:val="000000" w:themeColor="text1"/>
          <w:sz w:val="22"/>
        </w:rPr>
        <w:t>, and</w:t>
      </w:r>
      <w:bookmarkEnd w:id="118"/>
      <w:r w:rsidR="00A74F43" w:rsidRPr="12EC14AA">
        <w:rPr>
          <w:color w:val="000000" w:themeColor="text1"/>
          <w:sz w:val="22"/>
        </w:rPr>
        <w:t xml:space="preserve"> </w:t>
      </w:r>
      <w:r w:rsidR="28644DB2">
        <w:t xml:space="preserve">the </w:t>
      </w:r>
      <w:r w:rsidR="28644DB2" w:rsidRPr="27E57E23">
        <w:rPr>
          <w:i/>
          <w:iCs/>
          <w:color w:val="000000" w:themeColor="text1"/>
        </w:rPr>
        <w:t xml:space="preserve">Telecommunications Service Provider (Customer Identity Authentication) Determination 2022 </w:t>
      </w:r>
      <w:r w:rsidR="28644DB2" w:rsidRPr="7EFE6C20">
        <w:rPr>
          <w:color w:val="000000" w:themeColor="text1"/>
        </w:rPr>
        <w:t>(Cth)</w:t>
      </w:r>
      <w:r>
        <w:t>.</w:t>
      </w:r>
      <w:r w:rsidR="00536A9D" w:rsidRPr="7EFE6C20">
        <w:rPr>
          <w:rStyle w:val="FootnoteReference"/>
        </w:rPr>
        <w:footnoteReference w:id="135"/>
      </w:r>
    </w:p>
    <w:p w14:paraId="22381B60" w14:textId="46FCD995" w:rsidR="00006584" w:rsidRPr="005623A6" w:rsidRDefault="00392F1A" w:rsidP="00D4624D">
      <w:r w:rsidRPr="005623A6">
        <w:t xml:space="preserve">In the Explanatory Statement accompanying </w:t>
      </w:r>
      <w:r w:rsidR="00006584" w:rsidRPr="005623A6">
        <w:t xml:space="preserve">its </w:t>
      </w:r>
      <w:r w:rsidRPr="005623A6">
        <w:t xml:space="preserve">declaration, </w:t>
      </w:r>
      <w:r w:rsidR="00D11F2F">
        <w:t>the ACMA</w:t>
      </w:r>
      <w:r w:rsidRPr="005623A6">
        <w:t xml:space="preserve"> said it believed the</w:t>
      </w:r>
      <w:r w:rsidR="00463D38" w:rsidRPr="005623A6">
        <w:t xml:space="preserve"> declared </w:t>
      </w:r>
      <w:r w:rsidR="00AA7AED">
        <w:t>Tel Act</w:t>
      </w:r>
      <w:r w:rsidR="00D5339F">
        <w:t xml:space="preserve"> </w:t>
      </w:r>
      <w:r w:rsidR="00463D38" w:rsidRPr="005623A6">
        <w:t xml:space="preserve">and TCPSS Act </w:t>
      </w:r>
      <w:r w:rsidR="00006584" w:rsidRPr="005623A6">
        <w:t xml:space="preserve">provisions </w:t>
      </w:r>
      <w:r w:rsidRPr="005623A6">
        <w:t>were ‘suitable for enforcement via the infringement notice regime</w:t>
      </w:r>
      <w:r w:rsidR="00006584" w:rsidRPr="005623A6">
        <w:t xml:space="preserve"> … because the physical elements of the contraventions are considered to be clear cut, and compliance is readily ascertainable.’</w:t>
      </w:r>
      <w:r w:rsidR="00006584" w:rsidRPr="005623A6">
        <w:rPr>
          <w:rStyle w:val="FootnoteReference"/>
        </w:rPr>
        <w:footnoteReference w:id="136"/>
      </w:r>
    </w:p>
    <w:p w14:paraId="01C4FF66" w14:textId="5F92AAF4" w:rsidR="00374029" w:rsidRPr="00643104" w:rsidRDefault="003D722E" w:rsidP="007A1DD6">
      <w:r w:rsidRPr="00643104">
        <w:t xml:space="preserve">In addition to </w:t>
      </w:r>
      <w:r w:rsidR="00325F4E">
        <w:t>the service provider rule enforcement mechanism</w:t>
      </w:r>
      <w:r w:rsidR="00726B6C">
        <w:t>s</w:t>
      </w:r>
      <w:r w:rsidR="00325F4E">
        <w:t xml:space="preserve"> outlined above</w:t>
      </w:r>
      <w:r w:rsidR="005818C4" w:rsidRPr="00643104">
        <w:t xml:space="preserve">, </w:t>
      </w:r>
      <w:r w:rsidR="00012369" w:rsidRPr="00643104">
        <w:t xml:space="preserve">if </w:t>
      </w:r>
      <w:r w:rsidR="00E27CD2" w:rsidRPr="00643104">
        <w:t xml:space="preserve">the provision breached concerns </w:t>
      </w:r>
      <w:r w:rsidR="00012369" w:rsidRPr="00643104">
        <w:t>a</w:t>
      </w:r>
      <w:r w:rsidR="00C4111B" w:rsidRPr="00643104">
        <w:t>n eligible carriage service provider</w:t>
      </w:r>
      <w:r w:rsidR="00E27CD2" w:rsidRPr="00643104">
        <w:t xml:space="preserve">’s </w:t>
      </w:r>
      <w:r w:rsidR="00B22DC2" w:rsidRPr="00643104">
        <w:t xml:space="preserve">obligation to join the TIO, </w:t>
      </w:r>
      <w:r w:rsidR="00D11F2F">
        <w:t>the ACMA</w:t>
      </w:r>
      <w:r w:rsidR="001B70C0" w:rsidRPr="00643104">
        <w:t xml:space="preserve"> </w:t>
      </w:r>
      <w:r w:rsidR="005818C4" w:rsidRPr="00643104">
        <w:t>may</w:t>
      </w:r>
      <w:r w:rsidR="005B7B4D" w:rsidRPr="00643104">
        <w:t xml:space="preserve"> </w:t>
      </w:r>
      <w:r w:rsidR="003106B0" w:rsidRPr="00643104">
        <w:t>issue a direction to a carriage service provider to join the</w:t>
      </w:r>
      <w:r w:rsidR="00DC103D" w:rsidRPr="00643104">
        <w:t xml:space="preserve"> </w:t>
      </w:r>
      <w:r w:rsidR="003106B0" w:rsidRPr="00643104">
        <w:t>TIO</w:t>
      </w:r>
      <w:r w:rsidR="00DC103D" w:rsidRPr="00643104">
        <w:t>.</w:t>
      </w:r>
      <w:r w:rsidR="003106B0" w:rsidRPr="00643104">
        <w:rPr>
          <w:rStyle w:val="FootnoteReference"/>
        </w:rPr>
        <w:footnoteReference w:id="137"/>
      </w:r>
      <w:r w:rsidR="00026C4D" w:rsidRPr="00643104">
        <w:t xml:space="preserve"> </w:t>
      </w:r>
      <w:r w:rsidR="00C958FB" w:rsidRPr="00643104">
        <w:t xml:space="preserve"> I</w:t>
      </w:r>
      <w:r w:rsidR="00374029" w:rsidRPr="00643104">
        <w:t xml:space="preserve">f a service provider fails to comply with </w:t>
      </w:r>
      <w:r w:rsidR="00C958FB" w:rsidRPr="00643104">
        <w:t xml:space="preserve">such </w:t>
      </w:r>
      <w:r w:rsidR="00374029" w:rsidRPr="00643104">
        <w:t xml:space="preserve">a direction, </w:t>
      </w:r>
      <w:r w:rsidR="00D11F2F">
        <w:t>the ACMA</w:t>
      </w:r>
      <w:r w:rsidR="00374029" w:rsidRPr="00643104">
        <w:t xml:space="preserve"> may:</w:t>
      </w:r>
      <w:r w:rsidR="00BF59EA" w:rsidRPr="00643104">
        <w:t xml:space="preserve"> </w:t>
      </w:r>
    </w:p>
    <w:p w14:paraId="7D868D52" w14:textId="77777777" w:rsidR="002D7C19" w:rsidRPr="00643104" w:rsidRDefault="002D7C19" w:rsidP="001019BA">
      <w:pPr>
        <w:pStyle w:val="ListParagraph"/>
        <w:numPr>
          <w:ilvl w:val="0"/>
          <w:numId w:val="20"/>
        </w:numPr>
      </w:pPr>
      <w:r>
        <w:t>issue a formal warning</w:t>
      </w:r>
    </w:p>
    <w:p w14:paraId="2DE87582" w14:textId="77777777" w:rsidR="00A80299" w:rsidRPr="00643104" w:rsidRDefault="00A80299" w:rsidP="001019BA">
      <w:pPr>
        <w:pStyle w:val="ListParagraph"/>
        <w:numPr>
          <w:ilvl w:val="0"/>
          <w:numId w:val="20"/>
        </w:numPr>
      </w:pPr>
      <w:r w:rsidRPr="00643104">
        <w:t>issue an infringement notice</w:t>
      </w:r>
      <w:r w:rsidR="003973B2" w:rsidRPr="00643104">
        <w:rPr>
          <w:rStyle w:val="FootnoteReference"/>
        </w:rPr>
        <w:footnoteReference w:id="138"/>
      </w:r>
    </w:p>
    <w:p w14:paraId="49F0CA3A" w14:textId="77777777" w:rsidR="002D7C19" w:rsidRPr="00643104" w:rsidRDefault="4F4B6A85" w:rsidP="001019BA">
      <w:pPr>
        <w:pStyle w:val="ListParagraph"/>
        <w:numPr>
          <w:ilvl w:val="0"/>
          <w:numId w:val="19"/>
        </w:numPr>
      </w:pPr>
      <w:r>
        <w:t>accept an enforceable undertaking</w:t>
      </w:r>
    </w:p>
    <w:p w14:paraId="358AF048" w14:textId="77777777" w:rsidR="002D7C19" w:rsidRPr="00643104" w:rsidRDefault="4F4B6A85" w:rsidP="001019BA">
      <w:pPr>
        <w:pStyle w:val="ListParagraph"/>
        <w:numPr>
          <w:ilvl w:val="0"/>
          <w:numId w:val="19"/>
        </w:numPr>
      </w:pPr>
      <w:r>
        <w:t>seek an injunction from the Federal Court</w:t>
      </w:r>
    </w:p>
    <w:p w14:paraId="2E30D280" w14:textId="18B52AD5" w:rsidR="00374029" w:rsidRDefault="4F4B6A85" w:rsidP="001019BA">
      <w:pPr>
        <w:pStyle w:val="ListParagraph"/>
        <w:numPr>
          <w:ilvl w:val="0"/>
          <w:numId w:val="19"/>
        </w:numPr>
      </w:pPr>
      <w:r w:rsidRPr="005623A6">
        <w:t>seek an order from the Federal Court requiring payment of a civil penalty up to</w:t>
      </w:r>
      <w:r w:rsidR="1DDEE2D2" w:rsidRPr="005623A6">
        <w:t xml:space="preserve"> $</w:t>
      </w:r>
      <w:r w:rsidRPr="005623A6">
        <w:t>10 millio</w:t>
      </w:r>
      <w:r w:rsidR="00D50E4B">
        <w:t>n (for corporations) and $50,000 (for persons other than body corporates) for each contravention</w:t>
      </w:r>
      <w:r w:rsidRPr="005623A6">
        <w:t>.</w:t>
      </w:r>
      <w:r w:rsidR="002D7C19" w:rsidRPr="005623A6">
        <w:rPr>
          <w:rStyle w:val="FootnoteReference"/>
        </w:rPr>
        <w:footnoteReference w:id="139"/>
      </w:r>
      <w:r w:rsidRPr="005623A6">
        <w:t xml:space="preserve"> </w:t>
      </w:r>
    </w:p>
    <w:p w14:paraId="7938FF33" w14:textId="11D5A34C" w:rsidR="00000E8A" w:rsidRDefault="00000E8A" w:rsidP="00000E8A">
      <w:pPr>
        <w:ind w:right="-165"/>
      </w:pPr>
      <w:r w:rsidRPr="005623A6">
        <w:t xml:space="preserve">Figure </w:t>
      </w:r>
      <w:r>
        <w:t xml:space="preserve">12 shows the </w:t>
      </w:r>
      <w:r w:rsidRPr="005623A6">
        <w:t>enforcement mechanisms</w:t>
      </w:r>
      <w:r>
        <w:t xml:space="preserve"> available for breach of a direction to join the TIO.</w:t>
      </w:r>
    </w:p>
    <w:p w14:paraId="57D2D444" w14:textId="480CF78D" w:rsidR="00CC09B7" w:rsidRDefault="00CC09B7" w:rsidP="006F1093">
      <w:pPr>
        <w:jc w:val="center"/>
      </w:pPr>
      <w:r>
        <w:rPr>
          <w:noProof/>
        </w:rPr>
        <w:lastRenderedPageBreak/>
        <w:drawing>
          <wp:inline distT="0" distB="0" distL="0" distR="0" wp14:anchorId="3481B35E" wp14:editId="09D5097F">
            <wp:extent cx="4943475" cy="3217263"/>
            <wp:effectExtent l="0" t="0" r="0" b="2540"/>
            <wp:docPr id="25" name="Picture 25" descr="Figure 12: ACMA Direction to Join TIO Enforcement Mechanisms &#10;&#10;The pyramid has three tiers. The largest and bottom tier is blue and says &quot;Administrative.&quot;  There are two blue ribbons protruding out of the right side of this tier. Each ribbon lists an Administrative enforcement action. These say infringement notice and Formal Warning. On the left side of the tier, there is a green ribbon listing &quot;enforceable undertaking.&quot; The second tier is yellow and says &quot;Civil&quot;, with two yellow ribbons protruding out of the tier, each listing an enforcement action. The first ribbon lists civil penalty and the second ribbon lists &quot;injunction&quot;. The top tier is red and says &quot;crimin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_1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47873" cy="3220125"/>
                    </a:xfrm>
                    <a:prstGeom prst="rect">
                      <a:avLst/>
                    </a:prstGeom>
                  </pic:spPr>
                </pic:pic>
              </a:graphicData>
            </a:graphic>
          </wp:inline>
        </w:drawing>
      </w:r>
    </w:p>
    <w:p w14:paraId="032A3599" w14:textId="7D2C6F3D" w:rsidR="006F67D0" w:rsidRDefault="001B23F9" w:rsidP="00A82110">
      <w:r>
        <w:t xml:space="preserve">Finally, </w:t>
      </w:r>
      <w:r w:rsidR="00D11F2F">
        <w:t>the ACMA</w:t>
      </w:r>
      <w:r w:rsidR="0017559D">
        <w:t xml:space="preserve"> may refer </w:t>
      </w:r>
      <w:r w:rsidR="007B1EBB">
        <w:t>any person</w:t>
      </w:r>
      <w:r w:rsidR="00B21F2F">
        <w:t xml:space="preserve">, including </w:t>
      </w:r>
      <w:r w:rsidR="00E558C2">
        <w:t xml:space="preserve">a </w:t>
      </w:r>
      <w:r w:rsidR="00B21F2F">
        <w:t>corporate bod</w:t>
      </w:r>
      <w:r w:rsidR="00E558C2">
        <w:t>y,</w:t>
      </w:r>
      <w:r w:rsidR="007B1EBB">
        <w:t xml:space="preserve"> who breaches </w:t>
      </w:r>
      <w:r w:rsidR="00A02376">
        <w:t>s 53</w:t>
      </w:r>
      <w:r w:rsidR="002C43DC">
        <w:t>1</w:t>
      </w:r>
      <w:r w:rsidR="00A02376">
        <w:t xml:space="preserve"> of the </w:t>
      </w:r>
      <w:r w:rsidR="00AA7AED">
        <w:t>Tel Act</w:t>
      </w:r>
      <w:r w:rsidR="0070384B">
        <w:t xml:space="preserve"> — </w:t>
      </w:r>
      <w:r w:rsidR="00A02376">
        <w:t xml:space="preserve">the </w:t>
      </w:r>
      <w:r w:rsidR="00F106DA">
        <w:t xml:space="preserve">obligation </w:t>
      </w:r>
      <w:r w:rsidR="00814FFE">
        <w:t>not to make a</w:t>
      </w:r>
      <w:r w:rsidR="009C69B3">
        <w:t xml:space="preserve">n incorrect record </w:t>
      </w:r>
      <w:r w:rsidR="00224149">
        <w:t>in purported compliance</w:t>
      </w:r>
      <w:r w:rsidR="00F106DA">
        <w:t xml:space="preserve"> </w:t>
      </w:r>
      <w:r w:rsidR="00641A30">
        <w:t xml:space="preserve">of </w:t>
      </w:r>
      <w:r w:rsidR="00F106DA">
        <w:t xml:space="preserve">record-keeping rules </w:t>
      </w:r>
      <w:r w:rsidR="00D27966">
        <w:t xml:space="preserve">adopted by </w:t>
      </w:r>
      <w:r w:rsidR="00D11F2F">
        <w:t>the ACMA</w:t>
      </w:r>
      <w:r w:rsidR="0070384B">
        <w:t xml:space="preserve"> —</w:t>
      </w:r>
      <w:r w:rsidR="007B1EBB">
        <w:t xml:space="preserve"> </w:t>
      </w:r>
      <w:r w:rsidR="0017559D">
        <w:t>to the Commonwealth Director of Public Prosecutions</w:t>
      </w:r>
      <w:r w:rsidR="001456C8">
        <w:t xml:space="preserve"> for </w:t>
      </w:r>
      <w:r w:rsidR="00C60C90">
        <w:t xml:space="preserve">the </w:t>
      </w:r>
      <w:r w:rsidR="001456C8" w:rsidRPr="00727D59">
        <w:t>prosecution of an offence</w:t>
      </w:r>
      <w:r w:rsidR="0017559D" w:rsidRPr="00727D59">
        <w:t xml:space="preserve">. </w:t>
      </w:r>
      <w:r w:rsidR="001456C8" w:rsidRPr="00727D59">
        <w:t>A</w:t>
      </w:r>
      <w:r w:rsidR="00C60C90" w:rsidRPr="00727D59">
        <w:t xml:space="preserve"> person, including a body corporate, in breach of </w:t>
      </w:r>
      <w:r w:rsidR="0011239A" w:rsidRPr="00727D59">
        <w:t xml:space="preserve">s 531 </w:t>
      </w:r>
      <w:r w:rsidR="007B1EBB" w:rsidRPr="00727D59">
        <w:t>commits an offence</w:t>
      </w:r>
      <w:r w:rsidR="00F166F6" w:rsidRPr="00727D59">
        <w:t xml:space="preserve"> punishable on conviction by a fine not exceeding 100 penalty units</w:t>
      </w:r>
      <w:r w:rsidR="00845BE0" w:rsidRPr="00727D59">
        <w:t>.</w:t>
      </w:r>
      <w:r w:rsidR="00D05E07" w:rsidRPr="00727D59">
        <w:rPr>
          <w:rStyle w:val="FootnoteReference"/>
        </w:rPr>
        <w:footnoteReference w:id="140"/>
      </w:r>
      <w:r w:rsidR="008548FF" w:rsidRPr="00727D59">
        <w:t xml:space="preserve"> </w:t>
      </w:r>
    </w:p>
    <w:p w14:paraId="4CEC1B41" w14:textId="77777777" w:rsidR="00726B6C" w:rsidRDefault="00726B6C" w:rsidP="00A82110"/>
    <w:p w14:paraId="2A9441F4" w14:textId="3D717792" w:rsidR="00BE7F59" w:rsidRPr="005623A6" w:rsidRDefault="00346DE7" w:rsidP="00744F65">
      <w:pPr>
        <w:pStyle w:val="Heading3"/>
      </w:pPr>
      <w:bookmarkStart w:id="119" w:name="_Toc139024394"/>
      <w:bookmarkStart w:id="120" w:name="_Toc139024715"/>
      <w:bookmarkStart w:id="121" w:name="_Toc139031358"/>
      <w:bookmarkStart w:id="122" w:name="_Toc146201035"/>
      <w:bookmarkStart w:id="123" w:name="_Toc161836164"/>
      <w:r w:rsidRPr="005623A6">
        <w:t>4</w:t>
      </w:r>
      <w:r w:rsidR="00A90335" w:rsidRPr="005623A6">
        <w:tab/>
      </w:r>
      <w:bookmarkStart w:id="124" w:name="SelectCarrierLicenceConditions"/>
      <w:r w:rsidR="006E5F44" w:rsidRPr="005623A6">
        <w:t xml:space="preserve">Select </w:t>
      </w:r>
      <w:r w:rsidR="003320F9" w:rsidRPr="005623A6">
        <w:t>Carrier Licence</w:t>
      </w:r>
      <w:r w:rsidRPr="005623A6">
        <w:t xml:space="preserve"> Conditions</w:t>
      </w:r>
      <w:bookmarkEnd w:id="119"/>
      <w:bookmarkEnd w:id="120"/>
      <w:bookmarkEnd w:id="121"/>
      <w:bookmarkEnd w:id="122"/>
      <w:bookmarkEnd w:id="123"/>
      <w:bookmarkEnd w:id="124"/>
    </w:p>
    <w:p w14:paraId="14B2E910" w14:textId="2AF18563" w:rsidR="00493C4C" w:rsidRPr="005623A6" w:rsidRDefault="00FD5B08" w:rsidP="00493C4C">
      <w:r w:rsidRPr="005623A6">
        <w:t>I</w:t>
      </w:r>
      <w:r w:rsidR="00493C4C" w:rsidRPr="005623A6">
        <w:t xml:space="preserve">f Telstra </w:t>
      </w:r>
      <w:r w:rsidR="006E3AA3" w:rsidRPr="005623A6">
        <w:t xml:space="preserve">or another carrier </w:t>
      </w:r>
      <w:r w:rsidR="00493C4C" w:rsidRPr="005623A6">
        <w:t>fails to comply with</w:t>
      </w:r>
      <w:r w:rsidR="001D601A" w:rsidRPr="005623A6">
        <w:t xml:space="preserve"> </w:t>
      </w:r>
      <w:r w:rsidR="00BE5B9B" w:rsidRPr="005623A6">
        <w:t>one or more of the</w:t>
      </w:r>
      <w:r w:rsidR="00AA177C" w:rsidRPr="005623A6">
        <w:t xml:space="preserve"> select carrier </w:t>
      </w:r>
      <w:r w:rsidR="001D601A" w:rsidRPr="005623A6">
        <w:t>condition</w:t>
      </w:r>
      <w:r w:rsidR="00BE5B9B" w:rsidRPr="005623A6">
        <w:t>s</w:t>
      </w:r>
      <w:r w:rsidR="00E16356">
        <w:t>,</w:t>
      </w:r>
      <w:r w:rsidR="008A0F60" w:rsidRPr="005623A6">
        <w:t xml:space="preserve"> </w:t>
      </w:r>
      <w:r w:rsidR="00D11F2F">
        <w:t>the ACMA</w:t>
      </w:r>
      <w:r w:rsidR="001D601A" w:rsidRPr="005623A6">
        <w:t xml:space="preserve"> may:</w:t>
      </w:r>
    </w:p>
    <w:p w14:paraId="2EA3BFDD" w14:textId="77777777" w:rsidR="00E1253D" w:rsidRPr="005623A6" w:rsidRDefault="00E1253D" w:rsidP="001019BA">
      <w:pPr>
        <w:pStyle w:val="ListParagraph"/>
        <w:numPr>
          <w:ilvl w:val="0"/>
          <w:numId w:val="20"/>
        </w:numPr>
      </w:pPr>
      <w:r w:rsidRPr="005623A6">
        <w:t>issue a formal warning</w:t>
      </w:r>
      <w:r w:rsidR="00FF55CD" w:rsidRPr="005623A6">
        <w:rPr>
          <w:rStyle w:val="FootnoteReference"/>
        </w:rPr>
        <w:footnoteReference w:id="141"/>
      </w:r>
    </w:p>
    <w:p w14:paraId="5B044BD6" w14:textId="77777777" w:rsidR="00E1253D" w:rsidRPr="005623A6" w:rsidRDefault="00E1253D" w:rsidP="001019BA">
      <w:pPr>
        <w:pStyle w:val="ListParagraph"/>
        <w:numPr>
          <w:ilvl w:val="0"/>
          <w:numId w:val="20"/>
        </w:numPr>
      </w:pPr>
      <w:r w:rsidRPr="005623A6">
        <w:t>issue a remedial direction</w:t>
      </w:r>
      <w:r w:rsidR="00923B47" w:rsidRPr="005623A6">
        <w:rPr>
          <w:rStyle w:val="FootnoteReference"/>
        </w:rPr>
        <w:footnoteReference w:id="142"/>
      </w:r>
    </w:p>
    <w:p w14:paraId="4EDE46AE" w14:textId="77777777" w:rsidR="00E1253D" w:rsidRPr="005623A6" w:rsidRDefault="719A7293" w:rsidP="001019BA">
      <w:pPr>
        <w:pStyle w:val="ListParagraph"/>
        <w:numPr>
          <w:ilvl w:val="0"/>
          <w:numId w:val="19"/>
        </w:numPr>
      </w:pPr>
      <w:r>
        <w:t>accept an enforceable undertaking</w:t>
      </w:r>
    </w:p>
    <w:p w14:paraId="404A574E" w14:textId="77777777" w:rsidR="00E1253D" w:rsidRPr="005623A6" w:rsidRDefault="719A7293" w:rsidP="001019BA">
      <w:pPr>
        <w:pStyle w:val="ListParagraph"/>
        <w:numPr>
          <w:ilvl w:val="0"/>
          <w:numId w:val="19"/>
        </w:numPr>
      </w:pPr>
      <w:r>
        <w:t>seek an injunction from the Federal Court</w:t>
      </w:r>
    </w:p>
    <w:p w14:paraId="0DB9581E" w14:textId="4C157A13" w:rsidR="00485746" w:rsidRDefault="719A7293" w:rsidP="001019BA">
      <w:pPr>
        <w:pStyle w:val="ListParagraph"/>
        <w:numPr>
          <w:ilvl w:val="0"/>
          <w:numId w:val="19"/>
        </w:numPr>
      </w:pPr>
      <w:r w:rsidRPr="005623A6">
        <w:t>seek an order from the Federal Court requiring payment of a civil penalty up to $10 million</w:t>
      </w:r>
      <w:r w:rsidR="000E0403">
        <w:t xml:space="preserve"> (for corporations) and</w:t>
      </w:r>
      <w:r w:rsidR="0005498A">
        <w:t xml:space="preserve"> up </w:t>
      </w:r>
      <w:r w:rsidR="117C24D8">
        <w:t>to $</w:t>
      </w:r>
      <w:r w:rsidR="000E0403">
        <w:t>50,000 (for persons other than body corporates) for each contravention</w:t>
      </w:r>
      <w:r w:rsidR="00316BDE">
        <w:t>.</w:t>
      </w:r>
      <w:r w:rsidR="00485746" w:rsidRPr="005623A6">
        <w:rPr>
          <w:rStyle w:val="FootnoteReference"/>
        </w:rPr>
        <w:footnoteReference w:id="143"/>
      </w:r>
      <w:r w:rsidR="00485746" w:rsidRPr="005623A6">
        <w:t xml:space="preserve"> </w:t>
      </w:r>
    </w:p>
    <w:p w14:paraId="5B60F48C" w14:textId="337F0035" w:rsidR="00A01BEC" w:rsidRPr="005623A6" w:rsidRDefault="006E0F3D" w:rsidP="00316BDE">
      <w:pPr>
        <w:pStyle w:val="ListParagraph"/>
        <w:ind w:left="0"/>
      </w:pPr>
      <w:r>
        <w:t xml:space="preserve">For some select </w:t>
      </w:r>
      <w:r w:rsidR="00790ADB">
        <w:t>carrier conditions</w:t>
      </w:r>
      <w:r>
        <w:t xml:space="preserve">, </w:t>
      </w:r>
      <w:r w:rsidR="00D11F2F">
        <w:t>the ACMA</w:t>
      </w:r>
      <w:r>
        <w:t xml:space="preserve"> has the additional option of issuing an infringement notice (within 12 months of the alleged breach). </w:t>
      </w:r>
      <w:r w:rsidR="0D96CDF0">
        <w:t>T</w:t>
      </w:r>
      <w:r w:rsidR="00D11F2F">
        <w:t>he ACMA</w:t>
      </w:r>
      <w:r>
        <w:t xml:space="preserve"> may </w:t>
      </w:r>
      <w:r w:rsidR="00A01BEC">
        <w:t xml:space="preserve">issue an infringement notice for breach of </w:t>
      </w:r>
      <w:r w:rsidR="008221FB">
        <w:t xml:space="preserve">a carrier licence condition set out in </w:t>
      </w:r>
      <w:r w:rsidR="002F3231">
        <w:t xml:space="preserve">a </w:t>
      </w:r>
      <w:r w:rsidR="00AA7AED">
        <w:t>Te</w:t>
      </w:r>
      <w:r w:rsidR="2660C81D">
        <w:t>l Act</w:t>
      </w:r>
      <w:r w:rsidR="002F3231">
        <w:t xml:space="preserve"> </w:t>
      </w:r>
      <w:r w:rsidR="002A0147">
        <w:t xml:space="preserve">provision </w:t>
      </w:r>
      <w:r w:rsidR="0E7D4E78">
        <w:t xml:space="preserve">(other than Part 1 of Schedule 1) </w:t>
      </w:r>
      <w:r w:rsidR="004C1859">
        <w:t xml:space="preserve">or </w:t>
      </w:r>
      <w:r w:rsidR="003B2203">
        <w:t>declar</w:t>
      </w:r>
      <w:r w:rsidR="6BB58ED6">
        <w:t xml:space="preserve">ed by the Minister under s 63 of the Tel Act </w:t>
      </w:r>
      <w:r w:rsidR="00A01BEC">
        <w:t>if:</w:t>
      </w:r>
    </w:p>
    <w:p w14:paraId="319280CB" w14:textId="38B01684" w:rsidR="00A01BEC" w:rsidRPr="005623A6" w:rsidRDefault="00D11F2F" w:rsidP="001019BA">
      <w:pPr>
        <w:pStyle w:val="ListParagraph"/>
        <w:numPr>
          <w:ilvl w:val="0"/>
          <w:numId w:val="21"/>
        </w:numPr>
      </w:pPr>
      <w:r>
        <w:lastRenderedPageBreak/>
        <w:t>the ACMA</w:t>
      </w:r>
      <w:r w:rsidR="00A01BEC" w:rsidRPr="005623A6">
        <w:t xml:space="preserve"> has declared the specific provision to be a listed infringement notice provision; and</w:t>
      </w:r>
    </w:p>
    <w:p w14:paraId="5C63AEBB" w14:textId="77777777" w:rsidR="00A01BEC" w:rsidRPr="005623A6" w:rsidRDefault="00A01BEC" w:rsidP="001019BA">
      <w:pPr>
        <w:pStyle w:val="ListParagraph"/>
        <w:numPr>
          <w:ilvl w:val="0"/>
          <w:numId w:val="21"/>
        </w:numPr>
      </w:pPr>
      <w:r w:rsidRPr="005623A6">
        <w:t>the provision has been a listed infringement notice provision for at least 3 months before the day on which the alleged breach occurred.</w:t>
      </w:r>
    </w:p>
    <w:p w14:paraId="7733249B" w14:textId="3718A4AE" w:rsidR="00523595" w:rsidRPr="005623A6" w:rsidRDefault="00523595" w:rsidP="00A01BEC">
      <w:r>
        <w:t xml:space="preserve">At of the date of writing, </w:t>
      </w:r>
      <w:r w:rsidR="00D11F2F">
        <w:t>the ACMA</w:t>
      </w:r>
      <w:r>
        <w:t xml:space="preserve"> has declared</w:t>
      </w:r>
      <w:r w:rsidR="007C1C2E">
        <w:t xml:space="preserve"> the following</w:t>
      </w:r>
      <w:r w:rsidR="00E61DDC">
        <w:t xml:space="preserve"> </w:t>
      </w:r>
      <w:r w:rsidR="001236B8">
        <w:t xml:space="preserve">select </w:t>
      </w:r>
      <w:r w:rsidR="00E61DDC">
        <w:t>carrier licence conditions</w:t>
      </w:r>
      <w:r w:rsidR="042A374C">
        <w:t xml:space="preserve"> </w:t>
      </w:r>
      <w:r w:rsidR="00E61DDC">
        <w:t xml:space="preserve">to be </w:t>
      </w:r>
      <w:r w:rsidR="007F3E09">
        <w:t>listed infringement notice provisions:</w:t>
      </w:r>
    </w:p>
    <w:p w14:paraId="00104500" w14:textId="6022121F" w:rsidR="00D62E9F" w:rsidRPr="005623A6" w:rsidRDefault="00D62E9F" w:rsidP="001019BA">
      <w:pPr>
        <w:pStyle w:val="ListParagraph"/>
        <w:numPr>
          <w:ilvl w:val="0"/>
          <w:numId w:val="22"/>
        </w:numPr>
      </w:pPr>
      <w:r w:rsidRPr="005623A6">
        <w:t xml:space="preserve">subsection 521(3) of the </w:t>
      </w:r>
      <w:r w:rsidR="00AA7AED">
        <w:t>Tel Act</w:t>
      </w:r>
      <w:r w:rsidRPr="005623A6">
        <w:t xml:space="preserve"> (the obligation to comply with </w:t>
      </w:r>
      <w:r w:rsidR="00D11F2F">
        <w:t>the ACMA</w:t>
      </w:r>
      <w:r w:rsidRPr="005623A6">
        <w:t xml:space="preserve"> requests for information and/or documentation)</w:t>
      </w:r>
    </w:p>
    <w:p w14:paraId="0B33B9B1" w14:textId="1C15FC2D" w:rsidR="00234CF5" w:rsidRPr="00316BDE" w:rsidRDefault="00CC1206" w:rsidP="001019BA">
      <w:pPr>
        <w:pStyle w:val="ListParagraph"/>
        <w:numPr>
          <w:ilvl w:val="0"/>
          <w:numId w:val="22"/>
        </w:numPr>
      </w:pPr>
      <w:r w:rsidRPr="00316BDE">
        <w:t xml:space="preserve">section 530 of the </w:t>
      </w:r>
      <w:r w:rsidR="00AA7AED">
        <w:t>Tel Act</w:t>
      </w:r>
      <w:r w:rsidRPr="00316BDE">
        <w:t xml:space="preserve"> (compliance with record-keeping rules)</w:t>
      </w:r>
      <w:r w:rsidR="0002505A" w:rsidRPr="00316BDE">
        <w:t>.</w:t>
      </w:r>
      <w:r w:rsidR="00F363E6" w:rsidRPr="00316BDE">
        <w:rPr>
          <w:rStyle w:val="FootnoteReference"/>
        </w:rPr>
        <w:footnoteReference w:id="144"/>
      </w:r>
    </w:p>
    <w:p w14:paraId="4AF26010" w14:textId="22C214D6" w:rsidR="00BA2068" w:rsidRPr="005623A6" w:rsidRDefault="00363997" w:rsidP="00BA2068">
      <w:r>
        <w:t>T</w:t>
      </w:r>
      <w:r w:rsidR="00D11F2F">
        <w:t>he ACMA</w:t>
      </w:r>
      <w:r w:rsidR="00C22E4D">
        <w:t xml:space="preserve"> has not declared the carrier licence conditions in the </w:t>
      </w:r>
      <w:r w:rsidR="00C22E4D" w:rsidRPr="7EFE6C20">
        <w:rPr>
          <w:i/>
          <w:iCs/>
        </w:rPr>
        <w:t>Telecommunications (Carrier Licence Conditions – Telstra Corporation Limited</w:t>
      </w:r>
      <w:r w:rsidR="7BD9DD9C" w:rsidRPr="7EFE6C20">
        <w:rPr>
          <w:i/>
          <w:iCs/>
        </w:rPr>
        <w:t>)</w:t>
      </w:r>
      <w:r w:rsidR="00C22E4D" w:rsidRPr="7EFE6C20">
        <w:rPr>
          <w:i/>
          <w:iCs/>
        </w:rPr>
        <w:t xml:space="preserve"> Declaration</w:t>
      </w:r>
      <w:r w:rsidR="00C22E4D">
        <w:t xml:space="preserve"> (Cth) </w:t>
      </w:r>
      <w:r w:rsidR="003118FE">
        <w:t xml:space="preserve">that now apply to Telstra Limited because of s 63A of the </w:t>
      </w:r>
      <w:r w:rsidR="00AA7AED">
        <w:t>Tel Act</w:t>
      </w:r>
      <w:r w:rsidR="003118FE">
        <w:t xml:space="preserve"> or the </w:t>
      </w:r>
      <w:r w:rsidR="00C22E4D" w:rsidRPr="7EFE6C20">
        <w:rPr>
          <w:i/>
          <w:iCs/>
        </w:rPr>
        <w:t xml:space="preserve">Telecommunications (Carrier Licence Conditions </w:t>
      </w:r>
      <w:r w:rsidR="00034FF3" w:rsidRPr="7EFE6C20">
        <w:rPr>
          <w:i/>
          <w:iCs/>
        </w:rPr>
        <w:t>–</w:t>
      </w:r>
      <w:r w:rsidR="00C22E4D" w:rsidRPr="7EFE6C20">
        <w:rPr>
          <w:i/>
          <w:iCs/>
        </w:rPr>
        <w:t xml:space="preserve"> Telstra Infraco Limited) Declaration 2019</w:t>
      </w:r>
      <w:r w:rsidR="00C22E4D">
        <w:t xml:space="preserve"> (Cth) to be listed infringement notice provisions.</w:t>
      </w:r>
      <w:r w:rsidR="008A36C8">
        <w:t xml:space="preserve"> </w:t>
      </w:r>
      <w:r w:rsidR="00362E52" w:rsidRPr="005623A6">
        <w:t>W</w:t>
      </w:r>
      <w:r w:rsidR="00B907CF" w:rsidRPr="005623A6">
        <w:t xml:space="preserve">hen </w:t>
      </w:r>
      <w:r w:rsidR="00362E52" w:rsidRPr="005623A6">
        <w:t xml:space="preserve">making its decision to </w:t>
      </w:r>
      <w:r w:rsidR="00B907CF" w:rsidRPr="005623A6">
        <w:t>declar</w:t>
      </w:r>
      <w:r w:rsidR="00362E52" w:rsidRPr="005623A6">
        <w:t xml:space="preserve">e the </w:t>
      </w:r>
      <w:r w:rsidR="00BA2068" w:rsidRPr="005623A6">
        <w:t xml:space="preserve">two </w:t>
      </w:r>
      <w:r w:rsidR="00B907CF" w:rsidRPr="005623A6">
        <w:t>carrier licence conditions</w:t>
      </w:r>
      <w:r w:rsidR="00362E52" w:rsidRPr="005623A6">
        <w:t xml:space="preserve"> listed above</w:t>
      </w:r>
      <w:r w:rsidR="00B907CF" w:rsidRPr="005623A6">
        <w:t xml:space="preserve">, </w:t>
      </w:r>
      <w:r w:rsidR="00D11F2F">
        <w:t>the ACMA</w:t>
      </w:r>
      <w:r w:rsidR="00B907CF" w:rsidRPr="005623A6">
        <w:t xml:space="preserve"> </w:t>
      </w:r>
      <w:r w:rsidR="00362E52" w:rsidRPr="005623A6">
        <w:t xml:space="preserve">took into account the </w:t>
      </w:r>
      <w:r w:rsidR="00337079" w:rsidRPr="005623A6">
        <w:t xml:space="preserve">factors </w:t>
      </w:r>
      <w:r w:rsidR="00362E52" w:rsidRPr="005623A6">
        <w:t xml:space="preserve">in </w:t>
      </w:r>
      <w:r w:rsidR="00633A88">
        <w:t>t</w:t>
      </w:r>
      <w:r w:rsidR="00362E52" w:rsidRPr="005623A6">
        <w:t xml:space="preserve">he </w:t>
      </w:r>
      <w:r w:rsidR="00463D38" w:rsidRPr="005623A6">
        <w:t>Attorney-General</w:t>
      </w:r>
      <w:r w:rsidR="00FB6D9A">
        <w:t>’s</w:t>
      </w:r>
      <w:r w:rsidR="00463D38" w:rsidRPr="005623A6">
        <w:t xml:space="preserve"> Department</w:t>
      </w:r>
      <w:r w:rsidR="00362E52" w:rsidRPr="005623A6">
        <w:t>’s</w:t>
      </w:r>
      <w:r w:rsidR="00463D38" w:rsidRPr="005623A6">
        <w:t xml:space="preserve"> </w:t>
      </w:r>
      <w:r w:rsidR="00463D38" w:rsidRPr="12EC14AA">
        <w:rPr>
          <w:i/>
          <w:iCs/>
        </w:rPr>
        <w:t>A Guide to Framing Commonwealth Offences, Infringement Notices and Enforcement Powers</w:t>
      </w:r>
      <w:r w:rsidR="00463D38" w:rsidRPr="005623A6">
        <w:t xml:space="preserve"> (September 2011)</w:t>
      </w:r>
      <w:r w:rsidR="00337079" w:rsidRPr="005623A6">
        <w:t xml:space="preserve"> discussed in section</w:t>
      </w:r>
      <w:r w:rsidR="00A50969">
        <w:t xml:space="preserve"> </w:t>
      </w:r>
      <w:r w:rsidR="00BA2068" w:rsidRPr="005623A6">
        <w:t>B</w:t>
      </w:r>
      <w:r w:rsidR="00337079" w:rsidRPr="005623A6">
        <w:t>(</w:t>
      </w:r>
      <w:r w:rsidR="00BA2068" w:rsidRPr="005623A6">
        <w:t>1</w:t>
      </w:r>
      <w:r w:rsidR="00337079" w:rsidRPr="005623A6">
        <w:t>)</w:t>
      </w:r>
      <w:r w:rsidR="00A50969">
        <w:t xml:space="preserve"> of Chapter 2,</w:t>
      </w:r>
      <w:r w:rsidR="00337079" w:rsidRPr="005623A6">
        <w:t xml:space="preserve"> </w:t>
      </w:r>
      <w:r w:rsidR="00292577">
        <w:t>abov</w:t>
      </w:r>
      <w:r w:rsidR="00E76E3D">
        <w:t>e</w:t>
      </w:r>
      <w:r w:rsidR="00463D38" w:rsidRPr="005623A6">
        <w:t>.</w:t>
      </w:r>
      <w:r w:rsidR="00463D38" w:rsidRPr="005623A6">
        <w:rPr>
          <w:rStyle w:val="FootnoteReference"/>
        </w:rPr>
        <w:footnoteReference w:id="145"/>
      </w:r>
      <w:r w:rsidR="00463D38" w:rsidRPr="005623A6">
        <w:t xml:space="preserve"> </w:t>
      </w:r>
      <w:r w:rsidR="00BA2068" w:rsidRPr="005623A6">
        <w:t>It also said it believed they were ‘suitable for enforcement via the infringement notice regime … because the physical elements of the contraventions are considered to be clear cut, and compliance is readily ascertainable.’</w:t>
      </w:r>
      <w:r w:rsidR="00BA2068" w:rsidRPr="005623A6">
        <w:rPr>
          <w:rStyle w:val="FootnoteReference"/>
        </w:rPr>
        <w:footnoteReference w:id="146"/>
      </w:r>
    </w:p>
    <w:p w14:paraId="697B4DE7" w14:textId="48B7349B" w:rsidR="000A613D" w:rsidRPr="005623A6" w:rsidRDefault="007262BB" w:rsidP="00322575">
      <w:r w:rsidRPr="00363997">
        <w:t>Figure 1</w:t>
      </w:r>
      <w:r w:rsidR="003362A0" w:rsidRPr="00363997">
        <w:t>3</w:t>
      </w:r>
      <w:r w:rsidRPr="00363997">
        <w:t xml:space="preserve"> presents an illustration of these enforcement mechanisms available for breach of one of the select carrier licence conditions.</w:t>
      </w:r>
    </w:p>
    <w:p w14:paraId="05D12219" w14:textId="5771BB99" w:rsidR="00034FF3" w:rsidRDefault="00D15083" w:rsidP="006F1093">
      <w:pPr>
        <w:jc w:val="center"/>
      </w:pPr>
      <w:r>
        <w:rPr>
          <w:noProof/>
        </w:rPr>
        <w:drawing>
          <wp:inline distT="0" distB="0" distL="0" distR="0" wp14:anchorId="4136C39C" wp14:editId="5443C3C5">
            <wp:extent cx="4572000" cy="3074078"/>
            <wp:effectExtent l="0" t="0" r="0" b="0"/>
            <wp:docPr id="14" name="Picture 14" descr="Figure 13: Carrier Licence Condition Enforcement Mechanisms &#10;&#10;The pyramid has three tiers. The largest and bottom tier is blue and says &quot;Administrative.&quot;  There are three blue ribbons protruding out of the right side of this tier. Each ribbon lists an Administrative enforcement action. These say Remedial direction, infringement notice (for declared provisions) and Formal Warning. On the left side of the tier, there is a green ribbon listing &quot;enforceable undertaking.&quot; The second tier is yellow and says &quot;Civil&quot;, with two yellow ribbons protruding out of the tier, each listing an enforcement action. The first ribbon lists civil penalty  and the second ribbon lists &quot;injunction&quot;. The top tier is red and says &quot;crimin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 13 UPDATED.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77824" cy="3077994"/>
                    </a:xfrm>
                    <a:prstGeom prst="rect">
                      <a:avLst/>
                    </a:prstGeom>
                  </pic:spPr>
                </pic:pic>
              </a:graphicData>
            </a:graphic>
          </wp:inline>
        </w:drawing>
      </w:r>
    </w:p>
    <w:p w14:paraId="3DDF48B2" w14:textId="77777777" w:rsidR="00363997" w:rsidRDefault="00363997" w:rsidP="00861DF1"/>
    <w:p w14:paraId="54F53DB0" w14:textId="766C900D" w:rsidR="00861DF1" w:rsidRPr="005623A6" w:rsidRDefault="00861DF1" w:rsidP="00861DF1">
      <w:r w:rsidRPr="005623A6">
        <w:lastRenderedPageBreak/>
        <w:t xml:space="preserve">If a </w:t>
      </w:r>
      <w:r w:rsidR="0029493F" w:rsidRPr="005623A6">
        <w:t xml:space="preserve">carrier </w:t>
      </w:r>
      <w:r w:rsidRPr="005623A6">
        <w:t xml:space="preserve">fails to comply with a remedial direction, </w:t>
      </w:r>
      <w:r w:rsidR="00D11F2F">
        <w:t>the ACMA</w:t>
      </w:r>
      <w:r w:rsidRPr="005623A6">
        <w:t xml:space="preserve"> may:</w:t>
      </w:r>
    </w:p>
    <w:p w14:paraId="5F4C5AFB" w14:textId="77777777" w:rsidR="00861DF1" w:rsidRPr="005623A6" w:rsidRDefault="00861DF1" w:rsidP="001019BA">
      <w:pPr>
        <w:pStyle w:val="ListParagraph"/>
        <w:numPr>
          <w:ilvl w:val="0"/>
          <w:numId w:val="20"/>
        </w:numPr>
      </w:pPr>
      <w:r>
        <w:t>issue a formal warning</w:t>
      </w:r>
    </w:p>
    <w:p w14:paraId="0F4B4B6B" w14:textId="64F65779" w:rsidR="00861DF1" w:rsidRPr="005623A6" w:rsidRDefault="4CAED3D7" w:rsidP="001019BA">
      <w:pPr>
        <w:pStyle w:val="ListParagraph"/>
        <w:numPr>
          <w:ilvl w:val="0"/>
          <w:numId w:val="15"/>
        </w:numPr>
      </w:pPr>
      <w:r w:rsidRPr="005623A6">
        <w:t>issue an infringement notice (within 12 months of the alleged breach) for 60 penalty units</w:t>
      </w:r>
      <w:r w:rsidR="005A5938">
        <w:t xml:space="preserve"> per contravention to a body corporate </w:t>
      </w:r>
      <w:r w:rsidR="006E0AA7">
        <w:t xml:space="preserve">and </w:t>
      </w:r>
      <w:r w:rsidR="005A5938">
        <w:t>12 penalty units per contravention to a person other than a body corporate</w:t>
      </w:r>
      <w:r w:rsidR="005A5938" w:rsidRPr="005623A6">
        <w:rPr>
          <w:rStyle w:val="FootnoteReference"/>
        </w:rPr>
        <w:t xml:space="preserve"> </w:t>
      </w:r>
      <w:r w:rsidR="00861DF1" w:rsidRPr="005623A6">
        <w:rPr>
          <w:rStyle w:val="FootnoteReference"/>
        </w:rPr>
        <w:footnoteReference w:id="147"/>
      </w:r>
    </w:p>
    <w:p w14:paraId="5699017D" w14:textId="77777777" w:rsidR="00861DF1" w:rsidRPr="005623A6" w:rsidRDefault="4CAED3D7" w:rsidP="001019BA">
      <w:pPr>
        <w:pStyle w:val="ListParagraph"/>
        <w:numPr>
          <w:ilvl w:val="0"/>
          <w:numId w:val="19"/>
        </w:numPr>
      </w:pPr>
      <w:r>
        <w:t>accept an enforceable undertaking</w:t>
      </w:r>
    </w:p>
    <w:p w14:paraId="46DB0C66" w14:textId="77777777" w:rsidR="00861DF1" w:rsidRPr="005623A6" w:rsidRDefault="4CAED3D7" w:rsidP="001019BA">
      <w:pPr>
        <w:pStyle w:val="ListParagraph"/>
        <w:numPr>
          <w:ilvl w:val="0"/>
          <w:numId w:val="19"/>
        </w:numPr>
      </w:pPr>
      <w:r>
        <w:t>seek an injunction from the Federal Court</w:t>
      </w:r>
    </w:p>
    <w:p w14:paraId="5C7785C9" w14:textId="18D16D13" w:rsidR="00A578F2" w:rsidRPr="005623A6" w:rsidRDefault="4CAED3D7" w:rsidP="001019BA">
      <w:pPr>
        <w:pStyle w:val="ListParagraph"/>
        <w:numPr>
          <w:ilvl w:val="0"/>
          <w:numId w:val="19"/>
        </w:numPr>
      </w:pPr>
      <w:r w:rsidRPr="005623A6">
        <w:t>seek an order from the Federal Court requiring payment of a civil penalty up to $10 million</w:t>
      </w:r>
      <w:r w:rsidR="00823907">
        <w:t xml:space="preserve">) and </w:t>
      </w:r>
      <w:r w:rsidR="009370EC">
        <w:t xml:space="preserve"> </w:t>
      </w:r>
      <w:r w:rsidR="00823907">
        <w:t>$50,000 (for persons other than body corporates) for each contravention</w:t>
      </w:r>
      <w:r w:rsidRPr="005623A6">
        <w:t>.</w:t>
      </w:r>
      <w:r w:rsidR="00E619C0" w:rsidRPr="005623A6">
        <w:rPr>
          <w:rStyle w:val="FootnoteReference"/>
        </w:rPr>
        <w:footnoteReference w:id="148"/>
      </w:r>
      <w:r w:rsidRPr="005623A6">
        <w:t xml:space="preserve"> </w:t>
      </w:r>
    </w:p>
    <w:p w14:paraId="6F7F4D9D" w14:textId="46BA3FFF" w:rsidR="000F43B6" w:rsidRPr="005623A6" w:rsidRDefault="0011239A" w:rsidP="009370EC">
      <w:r>
        <w:t xml:space="preserve">Finally, </w:t>
      </w:r>
      <w:r w:rsidR="00B16F54">
        <w:t xml:space="preserve">like the select  </w:t>
      </w:r>
      <w:r w:rsidR="00C735FA">
        <w:t xml:space="preserve">service provider, </w:t>
      </w:r>
      <w:r w:rsidR="00D11F2F">
        <w:t>the ACMA</w:t>
      </w:r>
      <w:r>
        <w:t xml:space="preserve"> may refer </w:t>
      </w:r>
      <w:r w:rsidR="00C735FA">
        <w:t xml:space="preserve">to the </w:t>
      </w:r>
      <w:r w:rsidR="00363997">
        <w:t>Commonwealth Director of Public Prosecutions</w:t>
      </w:r>
      <w:r w:rsidR="00C735FA">
        <w:t xml:space="preserve"> for prosecution </w:t>
      </w:r>
      <w:r>
        <w:t>any person</w:t>
      </w:r>
      <w:r w:rsidR="00C735FA">
        <w:t xml:space="preserve"> who breaches the specific provision concerning incorrect records in s 531. </w:t>
      </w:r>
      <w:r w:rsidR="000F43B6" w:rsidRPr="005623A6">
        <w:br w:type="page"/>
      </w:r>
    </w:p>
    <w:p w14:paraId="01D170CE" w14:textId="5B9A9A08" w:rsidR="006B7A2E" w:rsidRPr="005623A6" w:rsidRDefault="00A152BE" w:rsidP="00A152BE">
      <w:pPr>
        <w:pStyle w:val="Heading1"/>
      </w:pPr>
      <w:bookmarkStart w:id="125" w:name="_Toc139024395"/>
      <w:bookmarkStart w:id="126" w:name="_Toc139024716"/>
      <w:bookmarkStart w:id="127" w:name="_Toc139031359"/>
      <w:bookmarkStart w:id="128" w:name="_Toc146201036"/>
      <w:bookmarkStart w:id="129" w:name="_Toc161836165"/>
      <w:r w:rsidRPr="005623A6">
        <w:lastRenderedPageBreak/>
        <w:t>3</w:t>
      </w:r>
      <w:r w:rsidR="00E4292D" w:rsidRPr="005623A6">
        <w:tab/>
      </w:r>
      <w:bookmarkStart w:id="130" w:name="HowHasACMASaidItWillExcerciseItsDiscreti"/>
      <w:bookmarkEnd w:id="125"/>
      <w:bookmarkEnd w:id="126"/>
      <w:bookmarkEnd w:id="127"/>
      <w:bookmarkEnd w:id="128"/>
      <w:r w:rsidR="00FE1BCE">
        <w:t>Approach to Enforcement</w:t>
      </w:r>
      <w:bookmarkEnd w:id="129"/>
      <w:r w:rsidR="00522561" w:rsidRPr="005623A6">
        <w:t xml:space="preserve"> </w:t>
      </w:r>
      <w:bookmarkEnd w:id="130"/>
    </w:p>
    <w:p w14:paraId="5AE1508C" w14:textId="77777777" w:rsidR="00D91CFB" w:rsidRPr="005623A6" w:rsidRDefault="00D91CFB" w:rsidP="005B551B"/>
    <w:p w14:paraId="10DBF02B" w14:textId="0A3007F8" w:rsidR="00A76CDB" w:rsidRPr="005623A6" w:rsidRDefault="008C781F" w:rsidP="0024684E">
      <w:r w:rsidRPr="005623A6">
        <w:t xml:space="preserve">If a carrier or service provider breaches industry codes, industry standards, select service provider rules, and/or select carrier licence conditions, </w:t>
      </w:r>
      <w:r w:rsidR="00D11F2F">
        <w:t>the ACMA</w:t>
      </w:r>
      <w:r w:rsidR="00204C6A" w:rsidRPr="005623A6">
        <w:t xml:space="preserve"> is empowered to </w:t>
      </w:r>
      <w:r w:rsidRPr="005623A6">
        <w:t xml:space="preserve">take </w:t>
      </w:r>
      <w:r w:rsidR="00380FDB" w:rsidRPr="005623A6">
        <w:t xml:space="preserve">the </w:t>
      </w:r>
      <w:r w:rsidRPr="005623A6">
        <w:t xml:space="preserve">various </w:t>
      </w:r>
      <w:r w:rsidR="00380FDB" w:rsidRPr="005623A6">
        <w:t xml:space="preserve">actions described </w:t>
      </w:r>
      <w:r w:rsidR="00A152BE" w:rsidRPr="005623A6">
        <w:t xml:space="preserve">in </w:t>
      </w:r>
      <w:r w:rsidR="00A50969">
        <w:t>Chapter</w:t>
      </w:r>
      <w:r w:rsidR="00A152BE" w:rsidRPr="005623A6">
        <w:t xml:space="preserve"> 2</w:t>
      </w:r>
      <w:r w:rsidRPr="005623A6">
        <w:t xml:space="preserve">. However, </w:t>
      </w:r>
      <w:r w:rsidR="00D11F2F">
        <w:t>the ACMA</w:t>
      </w:r>
      <w:r w:rsidR="00D91CFB" w:rsidRPr="005623A6">
        <w:t xml:space="preserve"> is not required to take any enforcement action or accept an enforceable undertaking even if a carrier or service provider breaches one or more of these rules. The decision whether and how to enforce is entirely up to </w:t>
      </w:r>
      <w:r w:rsidR="00D11F2F">
        <w:t>the ACMA</w:t>
      </w:r>
      <w:r w:rsidR="00D91CFB" w:rsidRPr="005623A6">
        <w:t>, provided it acts in accordance with Australian administrative law</w:t>
      </w:r>
      <w:r w:rsidR="00A76CDB" w:rsidRPr="005623A6">
        <w:t xml:space="preserve"> and the </w:t>
      </w:r>
      <w:r w:rsidR="00AA7AED">
        <w:t>Tel Act</w:t>
      </w:r>
      <w:r w:rsidR="00835CA3">
        <w:t xml:space="preserve"> </w:t>
      </w:r>
      <w:r w:rsidR="00A76CDB" w:rsidRPr="005623A6">
        <w:t>and TCPSS Act</w:t>
      </w:r>
      <w:r w:rsidR="00D91CFB" w:rsidRPr="005623A6">
        <w:t xml:space="preserve">. </w:t>
      </w:r>
    </w:p>
    <w:p w14:paraId="70EE6D90" w14:textId="5D36EBF8" w:rsidR="005C0D10" w:rsidRDefault="00AD5B57" w:rsidP="00D91CFB">
      <w:r w:rsidRPr="00AD5B57">
        <w:t xml:space="preserve">Despite this, some general guidance as to whether and how </w:t>
      </w:r>
      <w:r w:rsidR="00D11F2F">
        <w:t>the ACMA</w:t>
      </w:r>
      <w:r w:rsidRPr="00AD5B57">
        <w:t xml:space="preserve"> will enforce industry codes, industry standards, select service provider rules, and select carrier licence conditions can be found in </w:t>
      </w:r>
      <w:r w:rsidR="00D11F2F">
        <w:t>the ACMA</w:t>
      </w:r>
      <w:r w:rsidRPr="00AD5B57">
        <w:t>’s Compliance and Enforcement Policy,</w:t>
      </w:r>
      <w:r w:rsidRPr="00AD5B57">
        <w:rPr>
          <w:vertAlign w:val="superscript"/>
        </w:rPr>
        <w:footnoteReference w:id="149"/>
      </w:r>
      <w:r w:rsidRPr="00AD5B57">
        <w:t xml:space="preserve"> its Regulatory Guides,</w:t>
      </w:r>
      <w:r w:rsidRPr="00AD5B57">
        <w:rPr>
          <w:vertAlign w:val="superscript"/>
        </w:rPr>
        <w:footnoteReference w:id="150"/>
      </w:r>
      <w:r w:rsidRPr="00AD5B57">
        <w:t xml:space="preserve"> and the Telecommunications (Infringement Notices) Guidelines 2022 (Cth). </w:t>
      </w:r>
    </w:p>
    <w:p w14:paraId="60995BEA" w14:textId="567C95A5" w:rsidR="00213767" w:rsidRPr="005623A6" w:rsidRDefault="00AD5B57" w:rsidP="00D91CFB">
      <w:r w:rsidRPr="00AD5B57">
        <w:t xml:space="preserve">We begin by explaining </w:t>
      </w:r>
      <w:r w:rsidR="00D11F2F">
        <w:t>the ACMA</w:t>
      </w:r>
      <w:r w:rsidRPr="00AD5B57">
        <w:t xml:space="preserve">’s general approach to compliance and enforcement and the general factors it says influence its enforcement decisions. Next we highlight the additional factors that </w:t>
      </w:r>
      <w:r w:rsidR="00D11F2F">
        <w:t>the ACMA</w:t>
      </w:r>
      <w:r w:rsidRPr="00AD5B57">
        <w:t xml:space="preserve"> says it considers before issuing an infringement notice, accepting an enforceable undertaking, or issuing a remedial direction. </w:t>
      </w:r>
      <w:r w:rsidRPr="008D1447">
        <w:t xml:space="preserve">We then compare </w:t>
      </w:r>
      <w:r w:rsidR="00D11F2F">
        <w:t>the ACMA</w:t>
      </w:r>
      <w:r w:rsidRPr="008D1447">
        <w:t xml:space="preserve">’s approach to responsiveness and the factors </w:t>
      </w:r>
      <w:r w:rsidRPr="00303937">
        <w:t xml:space="preserve">it takes into account against the concept of responsive regulation outlined in </w:t>
      </w:r>
      <w:r w:rsidR="0070506E" w:rsidRPr="00303937">
        <w:t xml:space="preserve">section A </w:t>
      </w:r>
      <w:r w:rsidR="0070506E">
        <w:t xml:space="preserve">of </w:t>
      </w:r>
      <w:r w:rsidR="005C0E5C">
        <w:t xml:space="preserve">Chapter 1 </w:t>
      </w:r>
      <w:r w:rsidR="0070506E">
        <w:t>above</w:t>
      </w:r>
      <w:r w:rsidRPr="00303937">
        <w:t>.</w:t>
      </w:r>
      <w:r w:rsidRPr="00AD5B57">
        <w:t xml:space="preserve"> This section of the report concludes with discussion of </w:t>
      </w:r>
      <w:r w:rsidR="00D11F2F">
        <w:t>the ACMA</w:t>
      </w:r>
      <w:r w:rsidRPr="00AD5B57">
        <w:t xml:space="preserve">’s enforcement priorities as they will have influenced the allocation of </w:t>
      </w:r>
      <w:r w:rsidR="00D11F2F">
        <w:t>the ACMA</w:t>
      </w:r>
      <w:r w:rsidRPr="00AD5B57">
        <w:t xml:space="preserve">’s compliance and enforcement resources. </w:t>
      </w:r>
    </w:p>
    <w:p w14:paraId="766805FB" w14:textId="18B74B5B" w:rsidR="00CA72F8" w:rsidRPr="00515C60" w:rsidRDefault="00515C60" w:rsidP="00515C60">
      <w:pPr>
        <w:pStyle w:val="Heading2"/>
      </w:pPr>
      <w:bookmarkStart w:id="131" w:name="_Toc146201037"/>
      <w:bookmarkStart w:id="132" w:name="_Toc161836166"/>
      <w:r w:rsidRPr="00515C60">
        <w:t>A</w:t>
      </w:r>
      <w:bookmarkStart w:id="133" w:name="ApproachesAndFactorsInfluencingACMA"/>
      <w:r>
        <w:tab/>
      </w:r>
      <w:r w:rsidR="00CA72F8" w:rsidRPr="00515C60">
        <w:t xml:space="preserve">General </w:t>
      </w:r>
      <w:r w:rsidR="00831BC4" w:rsidRPr="00515C60">
        <w:t xml:space="preserve">Compliance and </w:t>
      </w:r>
      <w:r w:rsidR="00FD0C14" w:rsidRPr="00515C60">
        <w:t>Enforcement Ap</w:t>
      </w:r>
      <w:r w:rsidR="00794497" w:rsidRPr="00515C60">
        <w:t xml:space="preserve">proach and </w:t>
      </w:r>
      <w:r w:rsidR="00FD0C14" w:rsidRPr="00515C60">
        <w:t>Fa</w:t>
      </w:r>
      <w:r w:rsidR="00CA72F8" w:rsidRPr="00515C60">
        <w:t>ctors</w:t>
      </w:r>
      <w:r w:rsidR="00351F6A" w:rsidRPr="00515C60">
        <w:t xml:space="preserve"> Influencing </w:t>
      </w:r>
      <w:r w:rsidR="00D11F2F">
        <w:t>the ACMA</w:t>
      </w:r>
      <w:r w:rsidR="00351F6A" w:rsidRPr="00515C60">
        <w:t>’s Approach</w:t>
      </w:r>
      <w:bookmarkEnd w:id="131"/>
      <w:bookmarkEnd w:id="132"/>
      <w:bookmarkEnd w:id="133"/>
    </w:p>
    <w:p w14:paraId="0FBA768E" w14:textId="1255CA8C" w:rsidR="00573A65" w:rsidRPr="005623A6" w:rsidRDefault="00D60FC3" w:rsidP="00D91CFB">
      <w:r w:rsidRPr="005623A6">
        <w:t>I</w:t>
      </w:r>
      <w:r w:rsidR="00F90F3E" w:rsidRPr="005623A6">
        <w:t xml:space="preserve">n its Compliance and Enforcement Policy, </w:t>
      </w:r>
      <w:r w:rsidR="00D11F2F">
        <w:t>the ACMA</w:t>
      </w:r>
      <w:r w:rsidR="00066328" w:rsidRPr="005623A6">
        <w:t xml:space="preserve"> </w:t>
      </w:r>
      <w:r w:rsidR="00462C71" w:rsidRPr="005623A6">
        <w:t xml:space="preserve">states </w:t>
      </w:r>
      <w:r w:rsidR="00066328" w:rsidRPr="005623A6">
        <w:t>it has adopted a ‘graduated and strategic risk-based approach’ to compliance and enforcement</w:t>
      </w:r>
      <w:r w:rsidR="003B143B" w:rsidRPr="005623A6">
        <w:t xml:space="preserve"> – an approach that has been influenced </w:t>
      </w:r>
      <w:r w:rsidR="00115943" w:rsidRPr="005623A6">
        <w:t xml:space="preserve">at least in part </w:t>
      </w:r>
      <w:r w:rsidR="003B143B" w:rsidRPr="005623A6">
        <w:t xml:space="preserve">by </w:t>
      </w:r>
      <w:r w:rsidR="00812A04" w:rsidRPr="005623A6">
        <w:t xml:space="preserve">the </w:t>
      </w:r>
      <w:r w:rsidR="006C6738" w:rsidRPr="005623A6">
        <w:t xml:space="preserve">statement of </w:t>
      </w:r>
      <w:r w:rsidR="00115943" w:rsidRPr="005623A6">
        <w:t xml:space="preserve">regulatory policy </w:t>
      </w:r>
      <w:r w:rsidR="006C6738" w:rsidRPr="005623A6">
        <w:t xml:space="preserve">in s 4 of the </w:t>
      </w:r>
      <w:r w:rsidR="00AA7AED">
        <w:t>Tel Act</w:t>
      </w:r>
      <w:r w:rsidR="00D479C0" w:rsidRPr="005623A6">
        <w:t>, which states that</w:t>
      </w:r>
      <w:r w:rsidR="00573A65" w:rsidRPr="005623A6">
        <w:t>:</w:t>
      </w:r>
    </w:p>
    <w:p w14:paraId="7F62EF89" w14:textId="77777777" w:rsidR="00C424F1" w:rsidRPr="005623A6" w:rsidRDefault="00573A65" w:rsidP="00C424F1">
      <w:pPr>
        <w:spacing w:after="0" w:line="240" w:lineRule="auto"/>
        <w:ind w:left="720"/>
      </w:pPr>
      <w:r w:rsidRPr="005623A6">
        <w:t xml:space="preserve">The </w:t>
      </w:r>
      <w:r w:rsidR="00D479C0" w:rsidRPr="005623A6">
        <w:t>Parliament intends that telecommunications be regulated in a manner that</w:t>
      </w:r>
      <w:r w:rsidR="00C55AE3" w:rsidRPr="005623A6">
        <w:t xml:space="preserve">: </w:t>
      </w:r>
    </w:p>
    <w:p w14:paraId="118C65B1" w14:textId="5EF9225F" w:rsidR="00C424F1" w:rsidRPr="005623A6" w:rsidRDefault="00C55AE3" w:rsidP="00C424F1">
      <w:pPr>
        <w:spacing w:after="0" w:line="240" w:lineRule="auto"/>
        <w:ind w:left="720"/>
      </w:pPr>
      <w:r w:rsidRPr="005623A6">
        <w:t>(a) promotes the greatest practicable use of industry self-regulat</w:t>
      </w:r>
      <w:r w:rsidR="00C246B4">
        <w:t>ion</w:t>
      </w:r>
      <w:r w:rsidRPr="005623A6">
        <w:t>; and</w:t>
      </w:r>
    </w:p>
    <w:p w14:paraId="5225E1C9" w14:textId="77777777" w:rsidR="00C424F1" w:rsidRPr="005623A6" w:rsidRDefault="00C55AE3" w:rsidP="00C424F1">
      <w:pPr>
        <w:spacing w:after="0" w:line="240" w:lineRule="auto"/>
        <w:ind w:left="720"/>
      </w:pPr>
      <w:r w:rsidRPr="005623A6">
        <w:t xml:space="preserve">(b) does not </w:t>
      </w:r>
      <w:r w:rsidR="002A5D85" w:rsidRPr="005623A6">
        <w:t>im</w:t>
      </w:r>
      <w:r w:rsidRPr="005623A6">
        <w:t xml:space="preserve">pose </w:t>
      </w:r>
      <w:r w:rsidR="002A5D85" w:rsidRPr="005623A6">
        <w:t>undue financial and administrative burdens on participants in the Australian telecommunications sector</w:t>
      </w:r>
      <w:r w:rsidR="00022596" w:rsidRPr="005623A6">
        <w:t xml:space="preserve">; </w:t>
      </w:r>
    </w:p>
    <w:p w14:paraId="1253B57D" w14:textId="77777777" w:rsidR="00066328" w:rsidRPr="005623A6" w:rsidRDefault="00022596" w:rsidP="00C424F1">
      <w:pPr>
        <w:spacing w:after="0" w:line="240" w:lineRule="auto"/>
        <w:ind w:left="720"/>
      </w:pPr>
      <w:r w:rsidRPr="005623A6">
        <w:t>but does not compromise the effectiveness of regulation in achieving the objects [of the Act]</w:t>
      </w:r>
      <w:r w:rsidR="00573A65" w:rsidRPr="005623A6">
        <w:t>.</w:t>
      </w:r>
    </w:p>
    <w:p w14:paraId="30662B3E" w14:textId="77777777" w:rsidR="00C424F1" w:rsidRPr="005623A6" w:rsidRDefault="00C424F1" w:rsidP="00C424F1">
      <w:pPr>
        <w:spacing w:after="0" w:line="240" w:lineRule="auto"/>
        <w:ind w:left="720"/>
      </w:pPr>
    </w:p>
    <w:p w14:paraId="5A95B127" w14:textId="2F7F515A" w:rsidR="00B130E4" w:rsidRPr="005623A6" w:rsidRDefault="003362A0" w:rsidP="00B130E4">
      <w:r>
        <w:t>T</w:t>
      </w:r>
      <w:r w:rsidR="00D11F2F">
        <w:t>he ACMA</w:t>
      </w:r>
      <w:r w:rsidR="00024166" w:rsidRPr="005623A6">
        <w:t xml:space="preserve">’s approach </w:t>
      </w:r>
      <w:r w:rsidR="00FD4200" w:rsidRPr="005623A6">
        <w:t xml:space="preserve">has also been influenced by obligations of </w:t>
      </w:r>
      <w:r w:rsidR="00AF0F45" w:rsidRPr="005623A6">
        <w:t xml:space="preserve">its </w:t>
      </w:r>
      <w:r w:rsidR="00FD4200" w:rsidRPr="005623A6">
        <w:t xml:space="preserve">chair under the </w:t>
      </w:r>
      <w:r w:rsidR="00B130E4" w:rsidRPr="12EC14AA">
        <w:rPr>
          <w:i/>
          <w:iCs/>
        </w:rPr>
        <w:t>Public Governance, Performance and Accountability Act 2013</w:t>
      </w:r>
      <w:r w:rsidR="00B130E4" w:rsidRPr="005623A6">
        <w:t xml:space="preserve"> (Cth)</w:t>
      </w:r>
      <w:r w:rsidR="00FD4200" w:rsidRPr="005623A6">
        <w:t xml:space="preserve">. As mentioned in </w:t>
      </w:r>
      <w:r w:rsidR="00A50969">
        <w:t xml:space="preserve">section B of </w:t>
      </w:r>
      <w:r w:rsidR="005C0E5C">
        <w:t xml:space="preserve">Chapter 1 </w:t>
      </w:r>
      <w:r w:rsidR="00A50969">
        <w:t>above</w:t>
      </w:r>
      <w:r w:rsidR="00FD4200" w:rsidRPr="005623A6">
        <w:t>, a</w:t>
      </w:r>
      <w:r w:rsidR="00B130E4" w:rsidRPr="005623A6">
        <w:t xml:space="preserve">ll ‘accountable authorities’ of ‘Commonwealth entities’ </w:t>
      </w:r>
      <w:r w:rsidR="00FD4200" w:rsidRPr="005623A6">
        <w:t xml:space="preserve">are required </w:t>
      </w:r>
      <w:r w:rsidR="00B130E4" w:rsidRPr="005623A6">
        <w:t xml:space="preserve">‘to establish and maintain … an appropriate system of risk oversight and management for the </w:t>
      </w:r>
      <w:r w:rsidR="00B130E4" w:rsidRPr="005623A6">
        <w:lastRenderedPageBreak/>
        <w:t>entity’.</w:t>
      </w:r>
      <w:r w:rsidR="00B130E4" w:rsidRPr="005623A6">
        <w:rPr>
          <w:rStyle w:val="FootnoteReference"/>
        </w:rPr>
        <w:footnoteReference w:id="151"/>
      </w:r>
      <w:r w:rsidR="00B130E4" w:rsidRPr="005623A6">
        <w:t xml:space="preserve"> For the purposes of the Act, the </w:t>
      </w:r>
      <w:r w:rsidR="00987D9E">
        <w:t>C</w:t>
      </w:r>
      <w:r w:rsidR="00B130E4" w:rsidRPr="005623A6">
        <w:t xml:space="preserve">hair of </w:t>
      </w:r>
      <w:r w:rsidR="00D11F2F">
        <w:t>the ACMA</w:t>
      </w:r>
      <w:r w:rsidR="00B130E4" w:rsidRPr="005623A6">
        <w:t xml:space="preserve"> is an accountable authority</w:t>
      </w:r>
      <w:r w:rsidR="00B130E4" w:rsidRPr="005623A6">
        <w:rPr>
          <w:rStyle w:val="FootnoteReference"/>
        </w:rPr>
        <w:footnoteReference w:id="152"/>
      </w:r>
      <w:r w:rsidR="00B130E4" w:rsidRPr="005623A6">
        <w:t xml:space="preserve"> and </w:t>
      </w:r>
      <w:r w:rsidR="00D11F2F">
        <w:t>the ACMA</w:t>
      </w:r>
      <w:r w:rsidR="00B130E4" w:rsidRPr="005623A6">
        <w:t xml:space="preserve"> is a Commonwealth entity.</w:t>
      </w:r>
      <w:r w:rsidR="00B130E4" w:rsidRPr="005623A6">
        <w:rPr>
          <w:rStyle w:val="FootnoteReference"/>
        </w:rPr>
        <w:footnoteReference w:id="153"/>
      </w:r>
    </w:p>
    <w:p w14:paraId="3BBA17E2" w14:textId="2499E125" w:rsidR="00914679" w:rsidRPr="005623A6" w:rsidRDefault="003362A0" w:rsidP="00D91CFB">
      <w:r>
        <w:t>T</w:t>
      </w:r>
      <w:r w:rsidR="00D11F2F">
        <w:t>he ACMA</w:t>
      </w:r>
      <w:r w:rsidR="00E13CC2" w:rsidRPr="005623A6">
        <w:t xml:space="preserve"> </w:t>
      </w:r>
      <w:r w:rsidR="008274CC" w:rsidRPr="005623A6">
        <w:t>emphasises, for example, that it</w:t>
      </w:r>
      <w:r w:rsidR="00CD7FB2" w:rsidRPr="005623A6">
        <w:t xml:space="preserve"> wants to ‘foster industry compliance with, and contribution to, the regulatory framework without imposing </w:t>
      </w:r>
      <w:r w:rsidR="005854BA">
        <w:t>u</w:t>
      </w:r>
      <w:r w:rsidR="00CD7FB2" w:rsidRPr="005623A6">
        <w:t>ndue financial or admi</w:t>
      </w:r>
      <w:r w:rsidR="007364E0" w:rsidRPr="005623A6">
        <w:t>nis</w:t>
      </w:r>
      <w:r w:rsidR="00CD7FB2" w:rsidRPr="005623A6">
        <w:t>tra</w:t>
      </w:r>
      <w:r w:rsidR="007364E0" w:rsidRPr="005623A6">
        <w:t>t</w:t>
      </w:r>
      <w:r w:rsidR="00CD7FB2" w:rsidRPr="005623A6">
        <w:t>ive</w:t>
      </w:r>
      <w:r w:rsidR="007364E0" w:rsidRPr="005623A6">
        <w:t xml:space="preserve"> burdens’.</w:t>
      </w:r>
      <w:r w:rsidR="00FE7E2C" w:rsidRPr="005623A6">
        <w:t xml:space="preserve"> It also </w:t>
      </w:r>
      <w:r w:rsidR="00C167F6" w:rsidRPr="005623A6">
        <w:t xml:space="preserve">says </w:t>
      </w:r>
      <w:r w:rsidR="003449DC" w:rsidRPr="005623A6">
        <w:t>enforcement action will be ‘commensurate with the seriousness of the breach and the level of harm</w:t>
      </w:r>
      <w:r w:rsidR="00880C64" w:rsidRPr="005623A6">
        <w:t>,</w:t>
      </w:r>
      <w:r w:rsidR="003449DC" w:rsidRPr="005623A6">
        <w:t xml:space="preserve">’ and </w:t>
      </w:r>
      <w:r w:rsidR="00D11F2F">
        <w:t>the ACMA</w:t>
      </w:r>
      <w:r w:rsidR="00C0691A" w:rsidRPr="005623A6">
        <w:t xml:space="preserve"> </w:t>
      </w:r>
      <w:r w:rsidR="00880C64" w:rsidRPr="005623A6">
        <w:t>will ‘generally use the minimum power or intervention necessary to achieve the desire</w:t>
      </w:r>
      <w:r w:rsidR="00BE358A" w:rsidRPr="005623A6">
        <w:t>d result, which, in many cases, is compliance with the relevant obligation.’</w:t>
      </w:r>
      <w:r w:rsidR="00BE358A" w:rsidRPr="005623A6">
        <w:rPr>
          <w:rStyle w:val="FootnoteReference"/>
        </w:rPr>
        <w:footnoteReference w:id="154"/>
      </w:r>
      <w:r w:rsidR="000D52BD" w:rsidRPr="005623A6">
        <w:t xml:space="preserve"> </w:t>
      </w:r>
      <w:r w:rsidR="00E14C81" w:rsidRPr="005623A6">
        <w:t xml:space="preserve"> </w:t>
      </w:r>
      <w:r w:rsidR="000D52BD" w:rsidRPr="005623A6">
        <w:t xml:space="preserve">This means that if </w:t>
      </w:r>
      <w:r w:rsidR="00D36210" w:rsidRPr="005623A6">
        <w:t xml:space="preserve">its </w:t>
      </w:r>
      <w:r w:rsidR="000D52BD" w:rsidRPr="005623A6">
        <w:t>efforts</w:t>
      </w:r>
      <w:r w:rsidR="00C167AD" w:rsidRPr="005623A6">
        <w:t xml:space="preserve"> to encourage voluntary compliance </w:t>
      </w:r>
      <w:r w:rsidR="00E44945" w:rsidRPr="005623A6">
        <w:t xml:space="preserve">– efforts </w:t>
      </w:r>
      <w:r w:rsidR="0085236B" w:rsidRPr="005623A6">
        <w:t>that involve ‘educating and informing’</w:t>
      </w:r>
      <w:r w:rsidR="00170C36" w:rsidRPr="005623A6">
        <w:rPr>
          <w:rStyle w:val="FootnoteReference"/>
        </w:rPr>
        <w:footnoteReference w:id="155"/>
      </w:r>
      <w:r w:rsidR="0085236B" w:rsidRPr="005623A6">
        <w:t xml:space="preserve"> – </w:t>
      </w:r>
      <w:r w:rsidR="00E9029D" w:rsidRPr="005623A6">
        <w:t xml:space="preserve">have </w:t>
      </w:r>
      <w:r w:rsidR="00C167AD" w:rsidRPr="005623A6">
        <w:t>fail</w:t>
      </w:r>
      <w:r w:rsidR="00E9029D" w:rsidRPr="005623A6">
        <w:t>ed</w:t>
      </w:r>
      <w:r w:rsidR="00C167AD" w:rsidRPr="005623A6">
        <w:t xml:space="preserve">, </w:t>
      </w:r>
      <w:r w:rsidR="00D11F2F">
        <w:t>the ACMA</w:t>
      </w:r>
      <w:r w:rsidR="00C167AD" w:rsidRPr="005623A6">
        <w:t xml:space="preserve"> will consider informal resolution </w:t>
      </w:r>
      <w:r w:rsidR="00257DC9" w:rsidRPr="005623A6">
        <w:t xml:space="preserve">before </w:t>
      </w:r>
      <w:r w:rsidR="00C0691A" w:rsidRPr="005623A6">
        <w:t xml:space="preserve">resorting to </w:t>
      </w:r>
      <w:r w:rsidR="00BF54DA" w:rsidRPr="005623A6">
        <w:t>administrative</w:t>
      </w:r>
      <w:r w:rsidR="00801B97" w:rsidRPr="005623A6">
        <w:t xml:space="preserve"> and</w:t>
      </w:r>
      <w:r w:rsidR="008651D0" w:rsidRPr="005623A6">
        <w:t xml:space="preserve"> </w:t>
      </w:r>
      <w:r w:rsidR="00BF54DA" w:rsidRPr="005623A6">
        <w:t>civil</w:t>
      </w:r>
      <w:r w:rsidR="008651D0" w:rsidRPr="005623A6">
        <w:t xml:space="preserve"> </w:t>
      </w:r>
      <w:r w:rsidR="00BF54DA" w:rsidRPr="005623A6">
        <w:t xml:space="preserve">enforcement mechanisms. </w:t>
      </w:r>
      <w:r w:rsidR="00760CB0" w:rsidRPr="005623A6">
        <w:t xml:space="preserve">Informal resolution involves </w:t>
      </w:r>
      <w:r w:rsidR="00842E99" w:rsidRPr="005623A6">
        <w:t>approaching the regulated entity</w:t>
      </w:r>
      <w:r w:rsidR="007B67DB" w:rsidRPr="005623A6">
        <w:t xml:space="preserve"> with ‘issues of concern’ and encouraging them to</w:t>
      </w:r>
      <w:r w:rsidR="0083129C" w:rsidRPr="005623A6">
        <w:t xml:space="preserve"> address an issue. It may also involve accepting a</w:t>
      </w:r>
      <w:r w:rsidR="005348B4" w:rsidRPr="005623A6">
        <w:t xml:space="preserve"> non-legally bi</w:t>
      </w:r>
      <w:r w:rsidR="00C0333F" w:rsidRPr="005623A6">
        <w:t>nding</w:t>
      </w:r>
      <w:r w:rsidR="006D6612" w:rsidRPr="005623A6">
        <w:t xml:space="preserve"> </w:t>
      </w:r>
      <w:r w:rsidR="00C65458" w:rsidRPr="005623A6">
        <w:t>written commitment that steps ‘will be taken to rectify non-compliance’.</w:t>
      </w:r>
      <w:r w:rsidR="00C65458" w:rsidRPr="005623A6">
        <w:rPr>
          <w:rStyle w:val="FootnoteReference"/>
        </w:rPr>
        <w:footnoteReference w:id="156"/>
      </w:r>
      <w:r w:rsidR="00C65458" w:rsidRPr="005623A6">
        <w:t xml:space="preserve"> </w:t>
      </w:r>
    </w:p>
    <w:p w14:paraId="0B049EAC" w14:textId="77777777" w:rsidR="00A22AB0" w:rsidRDefault="003362A0" w:rsidP="000F0102">
      <w:r>
        <w:t>T</w:t>
      </w:r>
      <w:r w:rsidR="00D11F2F">
        <w:t>he ACMA</w:t>
      </w:r>
      <w:r w:rsidR="000F0102" w:rsidRPr="005623A6">
        <w:t xml:space="preserve">’s precise compliance and enforcement response, however, will be influenced by a range of factors. </w:t>
      </w:r>
    </w:p>
    <w:p w14:paraId="6D331676" w14:textId="4B47E1C2" w:rsidR="000F0102" w:rsidRPr="005623A6" w:rsidRDefault="000F0102" w:rsidP="000F0102">
      <w:r w:rsidRPr="005623A6">
        <w:t>In addition to all relevant facts,</w:t>
      </w:r>
      <w:r w:rsidRPr="005623A6">
        <w:rPr>
          <w:rStyle w:val="FootnoteReference"/>
        </w:rPr>
        <w:footnoteReference w:id="157"/>
      </w:r>
      <w:r w:rsidRPr="005623A6">
        <w:t xml:space="preserve"> these factors include:</w:t>
      </w:r>
    </w:p>
    <w:p w14:paraId="5BF19325" w14:textId="77777777" w:rsidR="000F0102" w:rsidRPr="005623A6" w:rsidRDefault="000F0102" w:rsidP="001019BA">
      <w:pPr>
        <w:pStyle w:val="ListParagraph"/>
        <w:numPr>
          <w:ilvl w:val="0"/>
          <w:numId w:val="27"/>
        </w:numPr>
        <w:ind w:left="851" w:hanging="491"/>
      </w:pPr>
      <w:r w:rsidRPr="005623A6">
        <w:t>the relevant regulatory objective</w:t>
      </w:r>
      <w:r w:rsidR="00F71CDE">
        <w:t>;</w:t>
      </w:r>
    </w:p>
    <w:p w14:paraId="5DA6CA08" w14:textId="77777777" w:rsidR="000F0102" w:rsidRPr="005623A6" w:rsidRDefault="000F0102" w:rsidP="001019BA">
      <w:pPr>
        <w:pStyle w:val="ListParagraph"/>
        <w:numPr>
          <w:ilvl w:val="0"/>
          <w:numId w:val="27"/>
        </w:numPr>
        <w:ind w:left="851" w:hanging="491"/>
      </w:pPr>
      <w:r w:rsidRPr="005623A6">
        <w:t>whether the conduct was deliberate, inadvertent or reckless;</w:t>
      </w:r>
    </w:p>
    <w:p w14:paraId="62A17BB5" w14:textId="77777777" w:rsidR="000F0102" w:rsidRPr="005623A6" w:rsidRDefault="000F0102" w:rsidP="001019BA">
      <w:pPr>
        <w:pStyle w:val="ListParagraph"/>
        <w:numPr>
          <w:ilvl w:val="0"/>
          <w:numId w:val="27"/>
        </w:numPr>
        <w:ind w:left="851" w:hanging="491"/>
      </w:pPr>
      <w:r w:rsidRPr="005623A6">
        <w:t>whether the conduct has caused, or may cause, detriment to another person, and the nature, seriousness and extent of that detriment;</w:t>
      </w:r>
    </w:p>
    <w:p w14:paraId="6813B0AF" w14:textId="56EAFE5E" w:rsidR="000F0102" w:rsidRPr="005623A6" w:rsidRDefault="000F0102" w:rsidP="001019BA">
      <w:pPr>
        <w:pStyle w:val="ListParagraph"/>
        <w:numPr>
          <w:ilvl w:val="0"/>
          <w:numId w:val="27"/>
        </w:numPr>
        <w:ind w:left="851" w:hanging="491"/>
      </w:pPr>
      <w:r w:rsidRPr="005623A6">
        <w:t>whether the conduct involve</w:t>
      </w:r>
      <w:r w:rsidR="005854BA">
        <w:t>d</w:t>
      </w:r>
      <w:r w:rsidRPr="005623A6">
        <w:t xml:space="preserve"> indicates systemic issues which may pose ongoing compliance or enforcement issues;</w:t>
      </w:r>
    </w:p>
    <w:p w14:paraId="566E12EC" w14:textId="77777777" w:rsidR="000F0102" w:rsidRPr="005623A6" w:rsidRDefault="000F0102" w:rsidP="001019BA">
      <w:pPr>
        <w:pStyle w:val="ListParagraph"/>
        <w:numPr>
          <w:ilvl w:val="0"/>
          <w:numId w:val="27"/>
        </w:numPr>
        <w:ind w:left="851" w:hanging="491"/>
      </w:pPr>
      <w:r w:rsidRPr="005623A6">
        <w:t>whether the regulated entity or person has been the subject of prior compliance or enforcement action and the outcome of that action;</w:t>
      </w:r>
    </w:p>
    <w:p w14:paraId="57D8D068" w14:textId="77777777" w:rsidR="000F0102" w:rsidRPr="005623A6" w:rsidRDefault="000F0102" w:rsidP="001019BA">
      <w:pPr>
        <w:pStyle w:val="ListParagraph"/>
        <w:numPr>
          <w:ilvl w:val="0"/>
          <w:numId w:val="27"/>
        </w:numPr>
        <w:ind w:left="851" w:hanging="491"/>
      </w:pPr>
      <w:r w:rsidRPr="005623A6">
        <w:t xml:space="preserve">the personal and general educative/deterrent effect of acting; </w:t>
      </w:r>
    </w:p>
    <w:p w14:paraId="33C01C78" w14:textId="77777777" w:rsidR="000F0102" w:rsidRPr="005623A6" w:rsidRDefault="000F0102" w:rsidP="001019BA">
      <w:pPr>
        <w:pStyle w:val="ListParagraph"/>
        <w:numPr>
          <w:ilvl w:val="0"/>
          <w:numId w:val="27"/>
        </w:numPr>
        <w:ind w:left="851" w:hanging="491"/>
      </w:pPr>
      <w:r w:rsidRPr="005623A6">
        <w:t>the seniority and level of experience of the person/s involved in the conduct;</w:t>
      </w:r>
    </w:p>
    <w:p w14:paraId="6C10F6A4" w14:textId="77777777" w:rsidR="000F0102" w:rsidRPr="005623A6" w:rsidRDefault="000F0102" w:rsidP="001019BA">
      <w:pPr>
        <w:pStyle w:val="ListParagraph"/>
        <w:numPr>
          <w:ilvl w:val="0"/>
          <w:numId w:val="27"/>
        </w:numPr>
        <w:ind w:left="851" w:hanging="491"/>
      </w:pPr>
      <w:r w:rsidRPr="005623A6">
        <w:t xml:space="preserve">what, if any, action has been taken to remedy and address the consequences of the conduct; </w:t>
      </w:r>
    </w:p>
    <w:p w14:paraId="61D2E39E" w14:textId="1FACAEF0" w:rsidR="000F0102" w:rsidRDefault="000F0102" w:rsidP="001019BA">
      <w:pPr>
        <w:pStyle w:val="ListParagraph"/>
        <w:numPr>
          <w:ilvl w:val="0"/>
          <w:numId w:val="27"/>
        </w:numPr>
        <w:ind w:left="851" w:hanging="491"/>
      </w:pPr>
      <w:r w:rsidRPr="005623A6">
        <w:t xml:space="preserve">whether the subject of the investigation has co-operated with [the </w:t>
      </w:r>
      <w:r w:rsidR="00D11F2F">
        <w:t>ACMA</w:t>
      </w:r>
      <w:r w:rsidRPr="005623A6">
        <w:t>];</w:t>
      </w:r>
    </w:p>
    <w:p w14:paraId="72730FEB" w14:textId="3EBFF066" w:rsidR="000F0102" w:rsidRPr="005623A6" w:rsidRDefault="000F0102" w:rsidP="001019BA">
      <w:pPr>
        <w:pStyle w:val="ListParagraph"/>
        <w:numPr>
          <w:ilvl w:val="0"/>
          <w:numId w:val="27"/>
        </w:numPr>
        <w:tabs>
          <w:tab w:val="left" w:pos="851"/>
        </w:tabs>
        <w:ind w:left="851" w:hanging="491"/>
      </w:pPr>
      <w:r w:rsidRPr="005623A6">
        <w:t xml:space="preserve">whether the issues involved require urgent action or invention by [the </w:t>
      </w:r>
      <w:r w:rsidR="00D11F2F">
        <w:t>ACMA</w:t>
      </w:r>
      <w:r w:rsidRPr="005623A6">
        <w:t>].</w:t>
      </w:r>
      <w:r w:rsidRPr="005623A6">
        <w:rPr>
          <w:rStyle w:val="FootnoteReference"/>
        </w:rPr>
        <w:footnoteReference w:id="158"/>
      </w:r>
      <w:r w:rsidRPr="005623A6">
        <w:t xml:space="preserve"> </w:t>
      </w:r>
    </w:p>
    <w:p w14:paraId="1D5976A0" w14:textId="77777777" w:rsidR="00A22AB0" w:rsidRDefault="00A22AB0">
      <w:pPr>
        <w:jc w:val="left"/>
      </w:pPr>
      <w:r>
        <w:br w:type="page"/>
      </w:r>
    </w:p>
    <w:p w14:paraId="43369D50" w14:textId="44D7941A" w:rsidR="00C0333F" w:rsidRPr="005623A6" w:rsidRDefault="003362A0" w:rsidP="00D91CFB">
      <w:r>
        <w:lastRenderedPageBreak/>
        <w:t>T</w:t>
      </w:r>
      <w:r w:rsidR="00D11F2F">
        <w:t>he ACMA</w:t>
      </w:r>
      <w:r w:rsidR="00716C80" w:rsidRPr="005623A6">
        <w:t xml:space="preserve"> </w:t>
      </w:r>
      <w:r w:rsidR="00A600F0" w:rsidRPr="005623A6">
        <w:t xml:space="preserve">uses </w:t>
      </w:r>
      <w:r w:rsidR="00716C80" w:rsidRPr="005623A6">
        <w:t>the</w:t>
      </w:r>
      <w:r w:rsidR="00A600F0" w:rsidRPr="005623A6">
        <w:t xml:space="preserve"> following ‘compliance pyramid’ to illustrate its </w:t>
      </w:r>
      <w:r w:rsidR="000F0102" w:rsidRPr="005623A6">
        <w:t xml:space="preserve">current </w:t>
      </w:r>
      <w:r w:rsidR="00303622" w:rsidRPr="005623A6">
        <w:t>approach:</w:t>
      </w:r>
      <w:r w:rsidR="00CB74FC">
        <w:rPr>
          <w:rStyle w:val="FootnoteReference"/>
        </w:rPr>
        <w:footnoteReference w:id="159"/>
      </w:r>
    </w:p>
    <w:p w14:paraId="213DD21E" w14:textId="77777777" w:rsidR="00BE2B30" w:rsidRPr="005623A6" w:rsidRDefault="00EC19D1" w:rsidP="00B37D32">
      <w:pPr>
        <w:jc w:val="center"/>
      </w:pPr>
      <w:r w:rsidRPr="00CB74FC">
        <w:rPr>
          <w:noProof/>
        </w:rPr>
        <w:drawing>
          <wp:inline distT="0" distB="0" distL="0" distR="0" wp14:anchorId="19206AB4" wp14:editId="5D2DB39A">
            <wp:extent cx="3645651" cy="2819400"/>
            <wp:effectExtent l="0" t="0" r="0" b="0"/>
            <wp:docPr id="7" name="Picture 7" descr="Figure 14. This is a diagram of the Australian Communications and Media Authority's compliance pyramid. At the base of the pyramid is encouraging voluntary compliance, and working up to the apex of the pyramid is informal resolution, then administrative action and finally civil and criminal action. The pyramid presents itself as a continuum with no clear elimination between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is is a diagram of the Australian Communications and Media Authority's compliance pyramid. At the base of the pyramid is encouraging voluntary compliance, and working up to the apex of the pyramid is informal resolution, then administrative action and finally civil and criminal action. The pyramid presents itself as a continuum with no clear elimination between levels."/>
                    <pic:cNvPicPr/>
                  </pic:nvPicPr>
                  <pic:blipFill>
                    <a:blip r:embed="rId28"/>
                    <a:stretch>
                      <a:fillRect/>
                    </a:stretch>
                  </pic:blipFill>
                  <pic:spPr>
                    <a:xfrm>
                      <a:off x="0" y="0"/>
                      <a:ext cx="3650897" cy="2823457"/>
                    </a:xfrm>
                    <a:prstGeom prst="rect">
                      <a:avLst/>
                    </a:prstGeom>
                  </pic:spPr>
                </pic:pic>
              </a:graphicData>
            </a:graphic>
          </wp:inline>
        </w:drawing>
      </w:r>
    </w:p>
    <w:p w14:paraId="5BB28A62" w14:textId="15A02E4F" w:rsidR="00CB74FC" w:rsidRPr="002B7082" w:rsidRDefault="00CB74FC" w:rsidP="002B7082">
      <w:pPr>
        <w:jc w:val="center"/>
        <w:rPr>
          <w:sz w:val="16"/>
          <w:szCs w:val="16"/>
        </w:rPr>
      </w:pPr>
      <w:r w:rsidRPr="002B7082">
        <w:rPr>
          <w:sz w:val="16"/>
          <w:szCs w:val="16"/>
        </w:rPr>
        <w:t>Figure 1</w:t>
      </w:r>
      <w:r w:rsidR="003362A0">
        <w:rPr>
          <w:sz w:val="16"/>
          <w:szCs w:val="16"/>
        </w:rPr>
        <w:t>4</w:t>
      </w:r>
      <w:r w:rsidRPr="002B7082">
        <w:rPr>
          <w:sz w:val="16"/>
          <w:szCs w:val="16"/>
        </w:rPr>
        <w:t xml:space="preserve">: </w:t>
      </w:r>
      <w:r w:rsidR="00D11F2F">
        <w:rPr>
          <w:sz w:val="16"/>
          <w:szCs w:val="16"/>
        </w:rPr>
        <w:t>the ACMA</w:t>
      </w:r>
      <w:r w:rsidRPr="002B7082">
        <w:rPr>
          <w:sz w:val="16"/>
          <w:szCs w:val="16"/>
        </w:rPr>
        <w:t>’s Compliance Pyramid</w:t>
      </w:r>
    </w:p>
    <w:p w14:paraId="2A903461" w14:textId="77777777" w:rsidR="00A22AB0" w:rsidRDefault="002B7082" w:rsidP="000730CE">
      <w:r>
        <w:br/>
      </w:r>
      <w:r w:rsidR="00864373" w:rsidRPr="00763F66">
        <w:t xml:space="preserve">In </w:t>
      </w:r>
      <w:r w:rsidR="0070506E">
        <w:t xml:space="preserve">section C of </w:t>
      </w:r>
      <w:r w:rsidR="005C0E5C">
        <w:t xml:space="preserve">Chapter </w:t>
      </w:r>
      <w:r w:rsidR="00864373" w:rsidRPr="00763F66">
        <w:t>4</w:t>
      </w:r>
      <w:r w:rsidR="0070506E">
        <w:t xml:space="preserve"> below,</w:t>
      </w:r>
      <w:r w:rsidR="00BF739F" w:rsidRPr="00763F66">
        <w:t xml:space="preserve"> we </w:t>
      </w:r>
      <w:r w:rsidR="00763F66">
        <w:t xml:space="preserve">provide some examples of </w:t>
      </w:r>
      <w:r w:rsidR="00BF739F" w:rsidRPr="00763F66">
        <w:t xml:space="preserve">how </w:t>
      </w:r>
      <w:r w:rsidR="00D11F2F">
        <w:t>the ACMA</w:t>
      </w:r>
      <w:r w:rsidR="00763F66">
        <w:t xml:space="preserve"> has exercised its </w:t>
      </w:r>
      <w:r w:rsidR="00954C86">
        <w:t xml:space="preserve">enforcement </w:t>
      </w:r>
      <w:r w:rsidR="00763F66">
        <w:t>powers to enforce various consumer protection-related provisions</w:t>
      </w:r>
      <w:r w:rsidR="00954C86">
        <w:t xml:space="preserve"> that are the focus of this report</w:t>
      </w:r>
      <w:r w:rsidR="00A22AB0">
        <w:t xml:space="preserve">. </w:t>
      </w:r>
    </w:p>
    <w:p w14:paraId="31DEA11D" w14:textId="77777777" w:rsidR="00A22AB0" w:rsidRDefault="00A22AB0" w:rsidP="000730CE">
      <w:r w:rsidRPr="00A22AB0">
        <w:t>In Figure 15, we illustrate how ACMA's own 'compliance pyramid' maps onto the enforcement pyramids for the select consumer protection provisions that are the focus of this report, using the enforcement of industry standards as an example. We do so to highlight that ACMA's preferred approach is to seek to encourage voluntary compliance and informal resolution (shown as the first two bases of the pyramid), in the first instance, before utilising the enforcement mechanisms explained in the previous chapter to achieve compliance. Thus, if a provider has breached an industry standard, ACMA will first try to bring about compliance informally rather than issuing a formal warning, an infringement notice, and a remedial direction, or applying to the Federal Court for a civil penalty or an injunction. If the matter cannot be resolved informally, ACMA will then consider whether a formal warning will bring about compliance. If not, ACMA may decide to issue an infringement notice and/or a remedial direction. If neither tool yields success, ACMA might decide to escalate up the pyramid by pursuing a civil penalty and/or an injunction. ACMA's actual response in the event of breach of an industry standard will depend on the range of factors set out earlier in this section, but Figure 15 provides an indicator of how it is likely to use its enforcement mechanisms.</w:t>
      </w:r>
    </w:p>
    <w:p w14:paraId="737312F9" w14:textId="1031A5AA" w:rsidR="008739CD" w:rsidRDefault="00D15083" w:rsidP="000730CE">
      <w:r>
        <w:rPr>
          <w:noProof/>
        </w:rPr>
        <w:lastRenderedPageBreak/>
        <w:drawing>
          <wp:inline distT="0" distB="0" distL="0" distR="0" wp14:anchorId="5BAD20B4" wp14:editId="5A4FC4A7">
            <wp:extent cx="5566410" cy="4728845"/>
            <wp:effectExtent l="0" t="0" r="0" b="0"/>
            <wp:docPr id="18" name="Picture 18" descr="Figure 15. ACMA's Industry Standard Enforcement Approach. This pyramid has five layers (from base to top): encouraging voluntary compliance, informal resolution, administrative, civil, criminal. The Administrative layer has enforceable undertakings on the right and remedial directions, infringement notices and formal warnings on the right. The Civil layer has civil penalties and injunctions on the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15.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66410" cy="4728845"/>
                    </a:xfrm>
                    <a:prstGeom prst="rect">
                      <a:avLst/>
                    </a:prstGeom>
                  </pic:spPr>
                </pic:pic>
              </a:graphicData>
            </a:graphic>
          </wp:inline>
        </w:drawing>
      </w:r>
    </w:p>
    <w:p w14:paraId="782A8297" w14:textId="77777777" w:rsidR="008739CD" w:rsidRPr="005623A6" w:rsidRDefault="008739CD" w:rsidP="000730CE"/>
    <w:p w14:paraId="6093CB13" w14:textId="55BAD5AF" w:rsidR="00066328" w:rsidRPr="005623A6" w:rsidRDefault="00515C60" w:rsidP="00515C60">
      <w:pPr>
        <w:pStyle w:val="Heading3"/>
      </w:pPr>
      <w:bookmarkStart w:id="134" w:name="_Toc146201038"/>
      <w:bookmarkStart w:id="135" w:name="_Toc161836167"/>
      <w:r>
        <w:t>1</w:t>
      </w:r>
      <w:r w:rsidR="00066328" w:rsidRPr="005623A6">
        <w:tab/>
      </w:r>
      <w:bookmarkStart w:id="136" w:name="InfringementNoticeFactors"/>
      <w:r w:rsidR="00066328" w:rsidRPr="005623A6">
        <w:t>Infringement Notice Factors</w:t>
      </w:r>
      <w:bookmarkEnd w:id="134"/>
      <w:bookmarkEnd w:id="135"/>
      <w:bookmarkEnd w:id="136"/>
    </w:p>
    <w:p w14:paraId="20E27989" w14:textId="6AE35FAA" w:rsidR="005B551B" w:rsidRPr="005623A6" w:rsidRDefault="005B551B" w:rsidP="005B551B">
      <w:r w:rsidRPr="005623A6">
        <w:t xml:space="preserve">Before issuing an infringement notice, </w:t>
      </w:r>
      <w:r w:rsidR="00D11F2F">
        <w:t>the ACMA</w:t>
      </w:r>
      <w:r w:rsidRPr="005623A6">
        <w:t xml:space="preserve"> is required to have regard to any related guidelines it has adopted under s 572M(2) of the </w:t>
      </w:r>
      <w:r w:rsidR="00AA7AED">
        <w:t>Tel Act</w:t>
      </w:r>
      <w:r w:rsidRPr="005623A6">
        <w:t xml:space="preserve">. </w:t>
      </w:r>
      <w:r w:rsidR="003050AA">
        <w:t>In 2022</w:t>
      </w:r>
      <w:r w:rsidRPr="005623A6">
        <w:t xml:space="preserve">, </w:t>
      </w:r>
      <w:r w:rsidR="00D11F2F">
        <w:t>the ACMA</w:t>
      </w:r>
      <w:r w:rsidRPr="005623A6">
        <w:t xml:space="preserve"> adopted the </w:t>
      </w:r>
      <w:r w:rsidRPr="005623A6">
        <w:rPr>
          <w:i/>
          <w:iCs/>
        </w:rPr>
        <w:t>Telecommunications (Infringement Notices) Guidelines 2022</w:t>
      </w:r>
      <w:r w:rsidRPr="005623A6">
        <w:t xml:space="preserve"> (Cth) which state that</w:t>
      </w:r>
      <w:r w:rsidR="00E13D4B">
        <w:t>,</w:t>
      </w:r>
      <w:r w:rsidRPr="005623A6">
        <w:t xml:space="preserve"> in addition to taking into account all relevant facts and circumstances</w:t>
      </w:r>
      <w:r w:rsidR="000C40C8" w:rsidRPr="005623A6">
        <w:t xml:space="preserve"> and the compliance history and culture of the regulated entity</w:t>
      </w:r>
      <w:r w:rsidRPr="005623A6">
        <w:t xml:space="preserve">, </w:t>
      </w:r>
      <w:r w:rsidR="00D11F2F">
        <w:t>the ACMA</w:t>
      </w:r>
      <w:r w:rsidRPr="005623A6">
        <w:t xml:space="preserve"> may consider </w:t>
      </w:r>
      <w:r w:rsidR="00044C7B" w:rsidRPr="005623A6">
        <w:t xml:space="preserve">the </w:t>
      </w:r>
      <w:r w:rsidR="00E46D1E" w:rsidRPr="005623A6">
        <w:t xml:space="preserve">same </w:t>
      </w:r>
      <w:r w:rsidR="00044C7B" w:rsidRPr="005623A6">
        <w:t>10 factors</w:t>
      </w:r>
      <w:r w:rsidR="00703DE6" w:rsidRPr="005623A6">
        <w:t xml:space="preserve"> </w:t>
      </w:r>
      <w:r w:rsidR="00712DD4" w:rsidRPr="005623A6">
        <w:t xml:space="preserve">listed </w:t>
      </w:r>
      <w:r w:rsidR="00350233" w:rsidRPr="005623A6">
        <w:t>in its Compliance and Enforcement Policy</w:t>
      </w:r>
      <w:r w:rsidR="00240E45" w:rsidRPr="005623A6">
        <w:t xml:space="preserve"> and set out above</w:t>
      </w:r>
      <w:r w:rsidRPr="005623A6">
        <w:t xml:space="preserve">. </w:t>
      </w:r>
      <w:r w:rsidR="00E46D1E" w:rsidRPr="005623A6">
        <w:t xml:space="preserve">However, it made clear that </w:t>
      </w:r>
      <w:r w:rsidR="00EB1727" w:rsidRPr="005623A6">
        <w:t xml:space="preserve">these </w:t>
      </w:r>
      <w:r w:rsidRPr="005623A6">
        <w:t xml:space="preserve">factors </w:t>
      </w:r>
      <w:r w:rsidR="00EB1727" w:rsidRPr="005623A6">
        <w:t>were</w:t>
      </w:r>
      <w:r w:rsidRPr="005623A6">
        <w:t xml:space="preserve"> not exhaustive.  </w:t>
      </w:r>
    </w:p>
    <w:p w14:paraId="2B5D4A3F" w14:textId="06BC5AA4" w:rsidR="005B551B" w:rsidRPr="005623A6" w:rsidRDefault="001A1956" w:rsidP="005B551B">
      <w:r>
        <w:t>T</w:t>
      </w:r>
      <w:r w:rsidR="00D11F2F">
        <w:t>he ACMA</w:t>
      </w:r>
      <w:r w:rsidR="005B551B" w:rsidRPr="005623A6">
        <w:t xml:space="preserve"> also said it may not be appropriate to issue an infringement notice when:</w:t>
      </w:r>
    </w:p>
    <w:p w14:paraId="34F625AF" w14:textId="70981C06" w:rsidR="005B551B" w:rsidRPr="005623A6" w:rsidRDefault="005B551B" w:rsidP="001019BA">
      <w:pPr>
        <w:pStyle w:val="ListParagraph"/>
        <w:numPr>
          <w:ilvl w:val="0"/>
          <w:numId w:val="23"/>
        </w:numPr>
      </w:pPr>
      <w:r w:rsidRPr="005623A6">
        <w:t xml:space="preserve">the </w:t>
      </w:r>
      <w:r w:rsidR="00D11F2F">
        <w:t>ACMA</w:t>
      </w:r>
      <w:r w:rsidRPr="005623A6">
        <w:t xml:space="preserve"> has previously taken action against the relevant person or entity for similar contraventions;</w:t>
      </w:r>
    </w:p>
    <w:p w14:paraId="62107966" w14:textId="77777777" w:rsidR="005B551B" w:rsidRPr="005623A6" w:rsidRDefault="005B551B" w:rsidP="001019BA">
      <w:pPr>
        <w:pStyle w:val="ListParagraph"/>
        <w:numPr>
          <w:ilvl w:val="0"/>
          <w:numId w:val="23"/>
        </w:numPr>
      </w:pPr>
      <w:r w:rsidRPr="005623A6">
        <w:t>the contr</w:t>
      </w:r>
      <w:r w:rsidR="00EB1727" w:rsidRPr="005623A6">
        <w:t>a</w:t>
      </w:r>
      <w:r w:rsidRPr="005623A6">
        <w:t>ventions have occurred over an extended period of time;</w:t>
      </w:r>
    </w:p>
    <w:p w14:paraId="2D0E1B31" w14:textId="77777777" w:rsidR="005B551B" w:rsidRPr="005623A6" w:rsidRDefault="005B551B" w:rsidP="001019BA">
      <w:pPr>
        <w:pStyle w:val="ListParagraph"/>
        <w:numPr>
          <w:ilvl w:val="0"/>
          <w:numId w:val="23"/>
        </w:numPr>
      </w:pPr>
      <w:r w:rsidRPr="005623A6">
        <w:t>the person or entity has, as a consequence of the contraventions, obtained a financial or other advantage, to the detriment of others;</w:t>
      </w:r>
      <w:r w:rsidR="00C2733A" w:rsidRPr="005623A6">
        <w:t xml:space="preserve"> and</w:t>
      </w:r>
    </w:p>
    <w:p w14:paraId="1135F82D" w14:textId="167812FC" w:rsidR="005B551B" w:rsidRPr="005623A6" w:rsidRDefault="005B551B" w:rsidP="001019BA">
      <w:pPr>
        <w:pStyle w:val="ListParagraph"/>
        <w:numPr>
          <w:ilvl w:val="0"/>
          <w:numId w:val="23"/>
        </w:numPr>
      </w:pPr>
      <w:r w:rsidRPr="005623A6">
        <w:t>the conduct should more properly b</w:t>
      </w:r>
      <w:r w:rsidR="008A6216">
        <w:t>e</w:t>
      </w:r>
      <w:r w:rsidRPr="005623A6">
        <w:t xml:space="preserve"> the subject of other compliance or enforcement action by the </w:t>
      </w:r>
      <w:r w:rsidR="00D11F2F">
        <w:t>ACMA</w:t>
      </w:r>
      <w:r w:rsidRPr="005623A6">
        <w:t xml:space="preserve"> because, for example, it is not serious enough to warrant the issue </w:t>
      </w:r>
      <w:r w:rsidRPr="005623A6">
        <w:lastRenderedPageBreak/>
        <w:t>of an infringement notice or because it is too serious to be adequately dealt with by an infringement notice.</w:t>
      </w:r>
      <w:r w:rsidRPr="005623A6">
        <w:rPr>
          <w:rStyle w:val="FootnoteReference"/>
        </w:rPr>
        <w:footnoteReference w:id="160"/>
      </w:r>
    </w:p>
    <w:p w14:paraId="5E7E93DD" w14:textId="02DAB961" w:rsidR="003645C2" w:rsidRPr="00515C60" w:rsidRDefault="00515C60" w:rsidP="00515C60">
      <w:pPr>
        <w:pStyle w:val="Heading3"/>
      </w:pPr>
      <w:bookmarkStart w:id="137" w:name="_Toc146201039"/>
      <w:bookmarkStart w:id="138" w:name="_Toc161836168"/>
      <w:r>
        <w:t>2</w:t>
      </w:r>
      <w:r w:rsidR="00753189" w:rsidRPr="00515C60">
        <w:tab/>
      </w:r>
      <w:bookmarkStart w:id="139" w:name="EnforceableUndertakingFactors"/>
      <w:r w:rsidR="003645C2" w:rsidRPr="00515C60">
        <w:t>Enforceable Undertaking</w:t>
      </w:r>
      <w:r w:rsidR="00753189" w:rsidRPr="00515C60">
        <w:t xml:space="preserve"> Factors</w:t>
      </w:r>
      <w:bookmarkEnd w:id="137"/>
      <w:bookmarkEnd w:id="138"/>
      <w:bookmarkEnd w:id="139"/>
    </w:p>
    <w:p w14:paraId="38FB63FF" w14:textId="7120C2DD" w:rsidR="00AB2C6D" w:rsidRPr="005623A6" w:rsidRDefault="00AB2C6D" w:rsidP="00D95035">
      <w:r w:rsidRPr="005623A6">
        <w:t xml:space="preserve">When deciding whether to accept an enforceable undertaking, </w:t>
      </w:r>
      <w:r w:rsidR="00D11F2F">
        <w:t>the ACMA</w:t>
      </w:r>
      <w:r w:rsidRPr="005623A6">
        <w:t xml:space="preserve"> has said</w:t>
      </w:r>
      <w:r w:rsidR="00667577" w:rsidRPr="005623A6">
        <w:t xml:space="preserve"> that</w:t>
      </w:r>
      <w:r w:rsidRPr="005623A6">
        <w:t xml:space="preserve"> </w:t>
      </w:r>
      <w:r w:rsidR="008D01DB" w:rsidRPr="005623A6">
        <w:t xml:space="preserve">in addition to </w:t>
      </w:r>
      <w:r w:rsidR="0005039F" w:rsidRPr="005623A6">
        <w:t>the compliance history and culture of the regulated entity</w:t>
      </w:r>
      <w:r w:rsidR="00667577" w:rsidRPr="005623A6">
        <w:t>, it will consider</w:t>
      </w:r>
      <w:r w:rsidR="006A415A" w:rsidRPr="005623A6">
        <w:t xml:space="preserve"> </w:t>
      </w:r>
      <w:r w:rsidR="0005039F" w:rsidRPr="005623A6">
        <w:t xml:space="preserve">the same 10 factors </w:t>
      </w:r>
      <w:r w:rsidR="00281E23" w:rsidRPr="005623A6">
        <w:t xml:space="preserve">listed </w:t>
      </w:r>
      <w:r w:rsidR="0005039F" w:rsidRPr="005623A6">
        <w:t>in its Compliance and Enforcement Policy</w:t>
      </w:r>
      <w:r w:rsidR="00281E23" w:rsidRPr="005623A6">
        <w:t xml:space="preserve"> and set out above</w:t>
      </w:r>
      <w:r w:rsidRPr="005623A6">
        <w:t>.</w:t>
      </w:r>
      <w:r w:rsidRPr="005623A6">
        <w:rPr>
          <w:rStyle w:val="FootnoteReference"/>
        </w:rPr>
        <w:footnoteReference w:id="161"/>
      </w:r>
      <w:r w:rsidRPr="005623A6">
        <w:t xml:space="preserve"> </w:t>
      </w:r>
    </w:p>
    <w:p w14:paraId="1F37F7E5" w14:textId="0021CC9F" w:rsidR="00AB2C6D" w:rsidRPr="005623A6" w:rsidRDefault="001A1956" w:rsidP="00AB2C6D">
      <w:r>
        <w:t>T</w:t>
      </w:r>
      <w:r w:rsidR="00D11F2F">
        <w:t>he ACMA</w:t>
      </w:r>
      <w:r w:rsidR="00AB2C6D" w:rsidRPr="005623A6">
        <w:t xml:space="preserve"> has also said it will consider:</w:t>
      </w:r>
    </w:p>
    <w:p w14:paraId="412DBFE4" w14:textId="177D0A51" w:rsidR="00AB2C6D" w:rsidRPr="005623A6" w:rsidRDefault="00561DA5" w:rsidP="001019BA">
      <w:pPr>
        <w:pStyle w:val="ListParagraph"/>
        <w:numPr>
          <w:ilvl w:val="0"/>
          <w:numId w:val="26"/>
        </w:numPr>
      </w:pPr>
      <w:r w:rsidRPr="005623A6">
        <w:t xml:space="preserve">whether </w:t>
      </w:r>
      <w:r w:rsidR="00AB2C6D" w:rsidRPr="005623A6">
        <w:t xml:space="preserve">the person is prepared to publicly acknowledge the </w:t>
      </w:r>
      <w:r w:rsidR="00D11F2F">
        <w:t>ACMA</w:t>
      </w:r>
      <w:r w:rsidR="00AB2C6D" w:rsidRPr="005623A6">
        <w:t>’s concerns about the conduct and the need for corrective action</w:t>
      </w:r>
    </w:p>
    <w:p w14:paraId="13277468" w14:textId="77777777" w:rsidR="00AB2C6D" w:rsidRPr="005623A6" w:rsidRDefault="00AB2C6D" w:rsidP="001019BA">
      <w:pPr>
        <w:pStyle w:val="ListParagraph"/>
        <w:numPr>
          <w:ilvl w:val="0"/>
          <w:numId w:val="26"/>
        </w:numPr>
      </w:pPr>
      <w:r w:rsidRPr="005623A6">
        <w:t>whether the terms of the undertaking will achieve an effective outcome for those who may have been disadvantaged by the conduct (if any)</w:t>
      </w:r>
    </w:p>
    <w:p w14:paraId="6BA986CE" w14:textId="77777777" w:rsidR="00AB2C6D" w:rsidRPr="005623A6" w:rsidRDefault="00AB2C6D" w:rsidP="001019BA">
      <w:pPr>
        <w:pStyle w:val="ListParagraph"/>
        <w:numPr>
          <w:ilvl w:val="0"/>
          <w:numId w:val="26"/>
        </w:numPr>
      </w:pPr>
      <w:r w:rsidRPr="005623A6">
        <w:t>whether it is likely that undertakings given will be fulfilled.</w:t>
      </w:r>
      <w:r w:rsidRPr="005623A6">
        <w:rPr>
          <w:rStyle w:val="FootnoteReference"/>
        </w:rPr>
        <w:footnoteReference w:id="162"/>
      </w:r>
    </w:p>
    <w:p w14:paraId="61A5828C" w14:textId="49136717" w:rsidR="009851C2" w:rsidRPr="005623A6" w:rsidRDefault="00163504" w:rsidP="00AB2C6D">
      <w:r w:rsidRPr="005623A6">
        <w:t xml:space="preserve">When deciding when to </w:t>
      </w:r>
      <w:r w:rsidR="00011896" w:rsidRPr="005623A6">
        <w:t xml:space="preserve">enforce </w:t>
      </w:r>
      <w:r w:rsidR="009851C2" w:rsidRPr="005623A6">
        <w:t xml:space="preserve">the term(s) of </w:t>
      </w:r>
      <w:r w:rsidR="00011896" w:rsidRPr="005623A6">
        <w:t xml:space="preserve">an enforceable undertaking </w:t>
      </w:r>
      <w:r w:rsidR="0043629D" w:rsidRPr="005623A6">
        <w:t xml:space="preserve">in court, </w:t>
      </w:r>
      <w:r w:rsidR="00D11F2F">
        <w:t>the ACMA</w:t>
      </w:r>
      <w:r w:rsidR="00AB2C6D" w:rsidRPr="005623A6">
        <w:t xml:space="preserve"> </w:t>
      </w:r>
      <w:r w:rsidR="0043629D" w:rsidRPr="005623A6">
        <w:t xml:space="preserve">has indicated that </w:t>
      </w:r>
      <w:r w:rsidR="009851C2" w:rsidRPr="005623A6">
        <w:t xml:space="preserve">although it </w:t>
      </w:r>
      <w:r w:rsidR="00AB2C6D" w:rsidRPr="005623A6">
        <w:t>may proceed directly to court if an enforceable undertaking is breached</w:t>
      </w:r>
      <w:r w:rsidR="009851C2" w:rsidRPr="005623A6">
        <w:t xml:space="preserve">, </w:t>
      </w:r>
      <w:r w:rsidR="00AB2C6D" w:rsidRPr="005623A6">
        <w:t>it would bring the breach to the attention of the provider in the first instance.</w:t>
      </w:r>
      <w:r w:rsidR="00AB2C6D" w:rsidRPr="005623A6">
        <w:rPr>
          <w:rStyle w:val="FootnoteReference"/>
        </w:rPr>
        <w:footnoteReference w:id="163"/>
      </w:r>
    </w:p>
    <w:p w14:paraId="258E1C7D" w14:textId="4BA2C24A" w:rsidR="00AB2C6D" w:rsidRPr="005623A6" w:rsidRDefault="00515C60" w:rsidP="00515C60">
      <w:pPr>
        <w:pStyle w:val="Heading3"/>
      </w:pPr>
      <w:bookmarkStart w:id="140" w:name="_Toc146201040"/>
      <w:bookmarkStart w:id="141" w:name="_Toc161836169"/>
      <w:r>
        <w:t>3</w:t>
      </w:r>
      <w:r w:rsidR="009851C2" w:rsidRPr="005623A6">
        <w:tab/>
      </w:r>
      <w:bookmarkStart w:id="142" w:name="RemedialDirections"/>
      <w:r w:rsidR="009851C2" w:rsidRPr="005623A6">
        <w:t>Remedial Directions</w:t>
      </w:r>
      <w:r>
        <w:t xml:space="preserve"> Factors</w:t>
      </w:r>
      <w:bookmarkEnd w:id="140"/>
      <w:bookmarkEnd w:id="141"/>
      <w:r w:rsidR="00AB2C6D" w:rsidRPr="005623A6">
        <w:t xml:space="preserve"> </w:t>
      </w:r>
      <w:bookmarkEnd w:id="142"/>
    </w:p>
    <w:p w14:paraId="57E7A2E7" w14:textId="680D4525" w:rsidR="009851C2" w:rsidRPr="005623A6" w:rsidRDefault="00F81849" w:rsidP="00AB2C6D">
      <w:r w:rsidRPr="005623A6">
        <w:t xml:space="preserve">When deciding whether to issue a remedial direction, </w:t>
      </w:r>
      <w:r w:rsidR="00D11F2F">
        <w:t>the ACMA</w:t>
      </w:r>
      <w:r w:rsidRPr="005623A6">
        <w:t xml:space="preserve"> has said</w:t>
      </w:r>
      <w:r w:rsidR="00B716DA" w:rsidRPr="005623A6">
        <w:t xml:space="preserve"> it would consider the following non-exhaustive factors:</w:t>
      </w:r>
    </w:p>
    <w:p w14:paraId="6C615A4C" w14:textId="77777777" w:rsidR="00B716DA" w:rsidRPr="005623A6" w:rsidRDefault="001348C2" w:rsidP="001019BA">
      <w:pPr>
        <w:pStyle w:val="ListParagraph"/>
        <w:numPr>
          <w:ilvl w:val="0"/>
          <w:numId w:val="28"/>
        </w:numPr>
      </w:pPr>
      <w:r w:rsidRPr="005623A6">
        <w:t>the nature and seriousness of the conduct</w:t>
      </w:r>
    </w:p>
    <w:p w14:paraId="6DD20267" w14:textId="77777777" w:rsidR="001348C2" w:rsidRPr="005623A6" w:rsidRDefault="001348C2" w:rsidP="001019BA">
      <w:pPr>
        <w:pStyle w:val="ListParagraph"/>
        <w:numPr>
          <w:ilvl w:val="0"/>
          <w:numId w:val="28"/>
        </w:numPr>
      </w:pPr>
      <w:r w:rsidRPr="005623A6">
        <w:t>whether the conduct was deliberate, reckless or inadvertent</w:t>
      </w:r>
    </w:p>
    <w:p w14:paraId="2CB31FBB" w14:textId="426562B5" w:rsidR="001348C2" w:rsidRPr="005623A6" w:rsidRDefault="001348C2" w:rsidP="001019BA">
      <w:pPr>
        <w:pStyle w:val="ListParagraph"/>
        <w:numPr>
          <w:ilvl w:val="0"/>
          <w:numId w:val="28"/>
        </w:numPr>
      </w:pPr>
      <w:r w:rsidRPr="005623A6">
        <w:t xml:space="preserve">what, if any, action was taken following the </w:t>
      </w:r>
      <w:r w:rsidR="00D11F2F">
        <w:t>ACMA</w:t>
      </w:r>
      <w:r w:rsidRPr="005623A6">
        <w:t xml:space="preserve"> brin</w:t>
      </w:r>
      <w:r w:rsidR="001C51C0" w:rsidRPr="005623A6">
        <w:t>g</w:t>
      </w:r>
      <w:r w:rsidRPr="005623A6">
        <w:t>ing the issues of concern to the person’s attention (for example, through a formal warning)</w:t>
      </w:r>
    </w:p>
    <w:p w14:paraId="6ED51B94" w14:textId="46888056" w:rsidR="001348C2" w:rsidRPr="005623A6" w:rsidRDefault="001348C2" w:rsidP="001019BA">
      <w:pPr>
        <w:pStyle w:val="ListParagraph"/>
        <w:numPr>
          <w:ilvl w:val="0"/>
          <w:numId w:val="28"/>
        </w:numPr>
      </w:pPr>
      <w:r w:rsidRPr="005623A6">
        <w:t xml:space="preserve">whether the remedial direction will promptly and effectively redress and address the conduct and issues of concern to the </w:t>
      </w:r>
      <w:r w:rsidR="00D11F2F">
        <w:t>ACMA</w:t>
      </w:r>
    </w:p>
    <w:p w14:paraId="008FE405" w14:textId="762DCDF2" w:rsidR="001348C2" w:rsidRDefault="001348C2" w:rsidP="001019BA">
      <w:pPr>
        <w:pStyle w:val="ListParagraph"/>
        <w:numPr>
          <w:ilvl w:val="0"/>
          <w:numId w:val="28"/>
        </w:numPr>
      </w:pPr>
      <w:r w:rsidRPr="005623A6">
        <w:t xml:space="preserve">the impact of issuing the remedial direction on other enforcement action in progress or that may be taken by the </w:t>
      </w:r>
      <w:r w:rsidR="00D11F2F">
        <w:t>ACMA</w:t>
      </w:r>
      <w:r w:rsidR="00B1029D">
        <w:t>.</w:t>
      </w:r>
    </w:p>
    <w:p w14:paraId="5642C4AF" w14:textId="77777777" w:rsidR="00EE3083" w:rsidRDefault="00EE3083" w:rsidP="00EE3083">
      <w:pPr>
        <w:pStyle w:val="ListParagraph"/>
      </w:pPr>
    </w:p>
    <w:p w14:paraId="2B2B52FC" w14:textId="55789D02" w:rsidR="00254022" w:rsidRPr="00515C60" w:rsidRDefault="00515C60" w:rsidP="00515C60">
      <w:pPr>
        <w:pStyle w:val="Heading2"/>
      </w:pPr>
      <w:bookmarkStart w:id="143" w:name="_Toc146201041"/>
      <w:bookmarkStart w:id="144" w:name="_Toc161836170"/>
      <w:r>
        <w:t>B</w:t>
      </w:r>
      <w:r>
        <w:tab/>
      </w:r>
      <w:r w:rsidR="00254022" w:rsidRPr="00515C60">
        <w:t xml:space="preserve">Comparing </w:t>
      </w:r>
      <w:r w:rsidR="00D11F2F">
        <w:t>the ACMA</w:t>
      </w:r>
      <w:r w:rsidR="00254022" w:rsidRPr="00515C60">
        <w:t>’s Responsive Approach with Responsive Regulation Theory</w:t>
      </w:r>
      <w:bookmarkEnd w:id="143"/>
      <w:bookmarkEnd w:id="144"/>
    </w:p>
    <w:p w14:paraId="381B45BF" w14:textId="378BD6E3" w:rsidR="008B3DD0" w:rsidRPr="006A0EF9" w:rsidRDefault="001C7BCA" w:rsidP="00F02B09">
      <w:pPr>
        <w:rPr>
          <w:rStyle w:val="cf01"/>
          <w:rFonts w:ascii="Arial" w:hAnsi="Arial" w:cs="Arial"/>
          <w:sz w:val="21"/>
          <w:szCs w:val="21"/>
        </w:rPr>
      </w:pPr>
      <w:r w:rsidRPr="7EFE6C20">
        <w:rPr>
          <w:rFonts w:cs="Arial"/>
        </w:rPr>
        <w:t>In the next sub-section, w</w:t>
      </w:r>
      <w:r w:rsidR="00EA0E11" w:rsidRPr="7EFE6C20">
        <w:rPr>
          <w:rFonts w:cs="Arial"/>
        </w:rPr>
        <w:t xml:space="preserve">e </w:t>
      </w:r>
      <w:r w:rsidR="0045145C" w:rsidRPr="7EFE6C20">
        <w:rPr>
          <w:rFonts w:cs="Arial"/>
        </w:rPr>
        <w:t xml:space="preserve">outline </w:t>
      </w:r>
      <w:r w:rsidR="00D11F2F">
        <w:rPr>
          <w:rFonts w:cs="Arial"/>
        </w:rPr>
        <w:t>the ACMA</w:t>
      </w:r>
      <w:r w:rsidR="0045145C" w:rsidRPr="7EFE6C20">
        <w:rPr>
          <w:rFonts w:cs="Arial"/>
        </w:rPr>
        <w:t xml:space="preserve">’s enforcement priorities. </w:t>
      </w:r>
      <w:r w:rsidR="005A515B" w:rsidRPr="7EFE6C20">
        <w:rPr>
          <w:rFonts w:cs="Arial"/>
        </w:rPr>
        <w:t xml:space="preserve">In </w:t>
      </w:r>
      <w:r w:rsidR="00795DBE">
        <w:rPr>
          <w:rFonts w:cs="Arial"/>
        </w:rPr>
        <w:t xml:space="preserve">Chapter </w:t>
      </w:r>
      <w:r w:rsidR="005A515B" w:rsidRPr="7EFE6C20">
        <w:rPr>
          <w:rFonts w:cs="Arial"/>
        </w:rPr>
        <w:t>4, w</w:t>
      </w:r>
      <w:r w:rsidR="0045145C" w:rsidRPr="7EFE6C20">
        <w:rPr>
          <w:rFonts w:cs="Arial"/>
        </w:rPr>
        <w:t xml:space="preserve">e also </w:t>
      </w:r>
      <w:r w:rsidR="00D375A3" w:rsidRPr="7EFE6C20">
        <w:rPr>
          <w:rFonts w:cs="Arial"/>
        </w:rPr>
        <w:t xml:space="preserve">consider </w:t>
      </w:r>
      <w:r w:rsidR="00171AC3" w:rsidRPr="7EFE6C20">
        <w:rPr>
          <w:rFonts w:cs="Arial"/>
        </w:rPr>
        <w:t xml:space="preserve">how </w:t>
      </w:r>
      <w:r w:rsidR="00D11F2F">
        <w:rPr>
          <w:rStyle w:val="cf01"/>
          <w:rFonts w:ascii="Arial" w:hAnsi="Arial" w:cs="Arial"/>
          <w:sz w:val="21"/>
          <w:szCs w:val="21"/>
        </w:rPr>
        <w:t>the ACMA</w:t>
      </w:r>
      <w:r w:rsidR="00171AC3" w:rsidRPr="7EFE6C20">
        <w:rPr>
          <w:rStyle w:val="cf01"/>
          <w:rFonts w:ascii="Arial" w:hAnsi="Arial" w:cs="Arial"/>
          <w:sz w:val="21"/>
          <w:szCs w:val="21"/>
        </w:rPr>
        <w:t xml:space="preserve"> </w:t>
      </w:r>
      <w:r w:rsidR="006D67D1" w:rsidRPr="7EFE6C20">
        <w:rPr>
          <w:rStyle w:val="cf01"/>
          <w:rFonts w:ascii="Arial" w:hAnsi="Arial" w:cs="Arial"/>
          <w:sz w:val="21"/>
          <w:szCs w:val="21"/>
        </w:rPr>
        <w:t xml:space="preserve">applies its </w:t>
      </w:r>
      <w:r w:rsidR="00705E13" w:rsidRPr="7EFE6C20">
        <w:rPr>
          <w:rStyle w:val="cf01"/>
          <w:rFonts w:ascii="Arial" w:hAnsi="Arial" w:cs="Arial"/>
          <w:sz w:val="21"/>
          <w:szCs w:val="21"/>
        </w:rPr>
        <w:t xml:space="preserve">responsive enforcement </w:t>
      </w:r>
      <w:r w:rsidR="006D67D1" w:rsidRPr="7EFE6C20">
        <w:rPr>
          <w:rStyle w:val="cf01"/>
          <w:rFonts w:ascii="Arial" w:hAnsi="Arial" w:cs="Arial"/>
          <w:sz w:val="21"/>
          <w:szCs w:val="21"/>
        </w:rPr>
        <w:t>approach</w:t>
      </w:r>
      <w:r w:rsidR="00D1201B" w:rsidRPr="7EFE6C20">
        <w:rPr>
          <w:rStyle w:val="cf01"/>
          <w:rFonts w:ascii="Arial" w:hAnsi="Arial" w:cs="Arial"/>
          <w:sz w:val="21"/>
          <w:szCs w:val="21"/>
        </w:rPr>
        <w:t xml:space="preserve">. </w:t>
      </w:r>
      <w:r w:rsidR="006D67D1" w:rsidRPr="7EFE6C20">
        <w:rPr>
          <w:rStyle w:val="cf01"/>
          <w:rFonts w:ascii="Arial" w:hAnsi="Arial" w:cs="Arial"/>
          <w:sz w:val="21"/>
          <w:szCs w:val="21"/>
        </w:rPr>
        <w:t>However, before</w:t>
      </w:r>
      <w:r w:rsidR="009940DA" w:rsidRPr="7EFE6C20">
        <w:rPr>
          <w:rStyle w:val="cf01"/>
          <w:rFonts w:ascii="Arial" w:hAnsi="Arial" w:cs="Arial"/>
          <w:sz w:val="21"/>
          <w:szCs w:val="21"/>
        </w:rPr>
        <w:t xml:space="preserve"> </w:t>
      </w:r>
      <w:r w:rsidRPr="7EFE6C20">
        <w:rPr>
          <w:rStyle w:val="cf01"/>
          <w:rFonts w:ascii="Arial" w:hAnsi="Arial" w:cs="Arial"/>
          <w:sz w:val="21"/>
          <w:szCs w:val="21"/>
        </w:rPr>
        <w:t xml:space="preserve">doing so, </w:t>
      </w:r>
      <w:r w:rsidR="00B54F85" w:rsidRPr="7EFE6C20">
        <w:rPr>
          <w:rStyle w:val="cf01"/>
          <w:rFonts w:ascii="Arial" w:hAnsi="Arial" w:cs="Arial"/>
          <w:sz w:val="21"/>
          <w:szCs w:val="21"/>
        </w:rPr>
        <w:t xml:space="preserve">we </w:t>
      </w:r>
      <w:r w:rsidR="00776598" w:rsidRPr="7EFE6C20">
        <w:rPr>
          <w:rStyle w:val="cf01"/>
          <w:rFonts w:ascii="Arial" w:hAnsi="Arial" w:cs="Arial"/>
          <w:sz w:val="21"/>
          <w:szCs w:val="21"/>
        </w:rPr>
        <w:t xml:space="preserve">highlight </w:t>
      </w:r>
      <w:r w:rsidR="00B4289A" w:rsidRPr="7EFE6C20">
        <w:rPr>
          <w:rStyle w:val="cf01"/>
          <w:rFonts w:ascii="Arial" w:hAnsi="Arial" w:cs="Arial"/>
          <w:sz w:val="21"/>
          <w:szCs w:val="21"/>
        </w:rPr>
        <w:t xml:space="preserve">a few </w:t>
      </w:r>
      <w:r w:rsidR="00B54F85" w:rsidRPr="7EFE6C20">
        <w:rPr>
          <w:rStyle w:val="cf01"/>
          <w:rFonts w:ascii="Arial" w:hAnsi="Arial" w:cs="Arial"/>
          <w:sz w:val="21"/>
          <w:szCs w:val="21"/>
        </w:rPr>
        <w:t xml:space="preserve">points of </w:t>
      </w:r>
      <w:r w:rsidR="00C56562" w:rsidRPr="7EFE6C20">
        <w:rPr>
          <w:rStyle w:val="cf01"/>
          <w:rFonts w:ascii="Arial" w:hAnsi="Arial" w:cs="Arial"/>
          <w:sz w:val="21"/>
          <w:szCs w:val="21"/>
        </w:rPr>
        <w:t xml:space="preserve">difference between </w:t>
      </w:r>
      <w:r w:rsidR="00D11F2F">
        <w:rPr>
          <w:rStyle w:val="cf01"/>
          <w:rFonts w:ascii="Arial" w:hAnsi="Arial" w:cs="Arial"/>
          <w:sz w:val="21"/>
          <w:szCs w:val="21"/>
        </w:rPr>
        <w:t>the ACMA</w:t>
      </w:r>
      <w:r w:rsidR="008B3DD0" w:rsidRPr="7EFE6C20">
        <w:rPr>
          <w:rStyle w:val="cf01"/>
          <w:rFonts w:ascii="Arial" w:hAnsi="Arial" w:cs="Arial"/>
          <w:sz w:val="21"/>
          <w:szCs w:val="21"/>
        </w:rPr>
        <w:t>’s approach</w:t>
      </w:r>
      <w:r w:rsidR="00DD060B" w:rsidRPr="7EFE6C20">
        <w:rPr>
          <w:rStyle w:val="cf01"/>
          <w:rFonts w:ascii="Arial" w:hAnsi="Arial" w:cs="Arial"/>
          <w:sz w:val="21"/>
          <w:szCs w:val="21"/>
        </w:rPr>
        <w:t xml:space="preserve"> to responsiveness</w:t>
      </w:r>
      <w:r w:rsidR="00C56562" w:rsidRPr="7EFE6C20">
        <w:rPr>
          <w:rStyle w:val="cf01"/>
          <w:rFonts w:ascii="Arial" w:hAnsi="Arial" w:cs="Arial"/>
          <w:sz w:val="21"/>
          <w:szCs w:val="21"/>
        </w:rPr>
        <w:t xml:space="preserve"> and </w:t>
      </w:r>
      <w:r w:rsidR="007210E1" w:rsidRPr="7EFE6C20">
        <w:rPr>
          <w:rStyle w:val="cf01"/>
          <w:rFonts w:ascii="Arial" w:hAnsi="Arial" w:cs="Arial"/>
          <w:sz w:val="21"/>
          <w:szCs w:val="21"/>
        </w:rPr>
        <w:t xml:space="preserve">Ayres and </w:t>
      </w:r>
      <w:r w:rsidR="6E645B33" w:rsidRPr="7EFE6C20">
        <w:rPr>
          <w:rStyle w:val="cf01"/>
          <w:rFonts w:ascii="Arial" w:hAnsi="Arial" w:cs="Arial"/>
          <w:sz w:val="21"/>
          <w:szCs w:val="21"/>
        </w:rPr>
        <w:t>Braithwaite’s conception</w:t>
      </w:r>
      <w:r w:rsidR="00B4289A" w:rsidRPr="7EFE6C20">
        <w:rPr>
          <w:rStyle w:val="cf01"/>
          <w:rFonts w:ascii="Arial" w:hAnsi="Arial" w:cs="Arial"/>
          <w:sz w:val="21"/>
          <w:szCs w:val="21"/>
        </w:rPr>
        <w:t xml:space="preserve"> </w:t>
      </w:r>
      <w:r w:rsidR="00C56562" w:rsidRPr="7EFE6C20">
        <w:rPr>
          <w:rStyle w:val="cf01"/>
          <w:rFonts w:ascii="Arial" w:hAnsi="Arial" w:cs="Arial"/>
          <w:sz w:val="21"/>
          <w:szCs w:val="21"/>
        </w:rPr>
        <w:t>of responsive</w:t>
      </w:r>
      <w:r w:rsidR="002A2011" w:rsidRPr="7EFE6C20">
        <w:rPr>
          <w:rStyle w:val="cf01"/>
          <w:rFonts w:ascii="Arial" w:hAnsi="Arial" w:cs="Arial"/>
          <w:sz w:val="21"/>
          <w:szCs w:val="21"/>
        </w:rPr>
        <w:t xml:space="preserve"> regulation</w:t>
      </w:r>
      <w:r w:rsidR="00600CAC" w:rsidRPr="7EFE6C20">
        <w:rPr>
          <w:rStyle w:val="cf01"/>
          <w:rFonts w:ascii="Arial" w:hAnsi="Arial" w:cs="Arial"/>
          <w:sz w:val="21"/>
          <w:szCs w:val="21"/>
        </w:rPr>
        <w:t>.</w:t>
      </w:r>
      <w:r w:rsidR="00C95776" w:rsidRPr="7EFE6C20">
        <w:rPr>
          <w:rStyle w:val="cf01"/>
          <w:rFonts w:ascii="Arial" w:hAnsi="Arial" w:cs="Arial"/>
          <w:sz w:val="21"/>
          <w:szCs w:val="21"/>
        </w:rPr>
        <w:t xml:space="preserve"> We do not make these comments as criticisms of </w:t>
      </w:r>
      <w:r w:rsidR="00D11F2F">
        <w:rPr>
          <w:rStyle w:val="cf01"/>
          <w:rFonts w:ascii="Arial" w:hAnsi="Arial" w:cs="Arial"/>
          <w:sz w:val="21"/>
          <w:szCs w:val="21"/>
        </w:rPr>
        <w:t>the ACMA</w:t>
      </w:r>
      <w:r w:rsidR="00C95776" w:rsidRPr="7EFE6C20">
        <w:rPr>
          <w:rStyle w:val="cf01"/>
          <w:rFonts w:ascii="Arial" w:hAnsi="Arial" w:cs="Arial"/>
          <w:sz w:val="21"/>
          <w:szCs w:val="21"/>
        </w:rPr>
        <w:t xml:space="preserve">; instead, they are observations on some differences between the understanding of responsiveness advanced by Ayres and Braithwaite and the version that </w:t>
      </w:r>
      <w:r w:rsidR="00D11F2F">
        <w:rPr>
          <w:rStyle w:val="cf01"/>
          <w:rFonts w:ascii="Arial" w:hAnsi="Arial" w:cs="Arial"/>
          <w:sz w:val="21"/>
          <w:szCs w:val="21"/>
        </w:rPr>
        <w:t>the ACMA</w:t>
      </w:r>
      <w:r w:rsidR="00C95776" w:rsidRPr="7EFE6C20">
        <w:rPr>
          <w:rStyle w:val="cf01"/>
          <w:rFonts w:ascii="Arial" w:hAnsi="Arial" w:cs="Arial"/>
          <w:sz w:val="21"/>
          <w:szCs w:val="21"/>
        </w:rPr>
        <w:t xml:space="preserve"> has adopted for enforcement action in the telecommunications sector.</w:t>
      </w:r>
    </w:p>
    <w:p w14:paraId="094F7836" w14:textId="0A7B274C" w:rsidR="00994996" w:rsidRPr="006A0EF9" w:rsidRDefault="00517151" w:rsidP="00F02B09">
      <w:pPr>
        <w:rPr>
          <w:rFonts w:cs="Arial"/>
          <w:szCs w:val="21"/>
        </w:rPr>
      </w:pPr>
      <w:r w:rsidRPr="006A0EF9">
        <w:rPr>
          <w:rStyle w:val="cf01"/>
          <w:rFonts w:ascii="Arial" w:hAnsi="Arial" w:cs="Arial"/>
          <w:sz w:val="21"/>
          <w:szCs w:val="21"/>
        </w:rPr>
        <w:lastRenderedPageBreak/>
        <w:t>First, w</w:t>
      </w:r>
      <w:r w:rsidR="00AB686E" w:rsidRPr="006A0EF9">
        <w:rPr>
          <w:rStyle w:val="cf01"/>
          <w:rFonts w:ascii="Arial" w:hAnsi="Arial" w:cs="Arial"/>
          <w:sz w:val="21"/>
          <w:szCs w:val="21"/>
        </w:rPr>
        <w:t xml:space="preserve">hile </w:t>
      </w:r>
      <w:r w:rsidR="00D11F2F">
        <w:rPr>
          <w:rStyle w:val="cf01"/>
          <w:rFonts w:ascii="Arial" w:hAnsi="Arial" w:cs="Arial"/>
          <w:sz w:val="21"/>
          <w:szCs w:val="21"/>
        </w:rPr>
        <w:t>the ACMA</w:t>
      </w:r>
      <w:r w:rsidR="00AB686E" w:rsidRPr="006A0EF9">
        <w:rPr>
          <w:rStyle w:val="cf01"/>
          <w:rFonts w:ascii="Arial" w:hAnsi="Arial" w:cs="Arial"/>
          <w:sz w:val="21"/>
          <w:szCs w:val="21"/>
        </w:rPr>
        <w:t xml:space="preserve"> has embraced </w:t>
      </w:r>
      <w:r w:rsidR="00B077F4" w:rsidRPr="006A0EF9">
        <w:rPr>
          <w:rStyle w:val="cf01"/>
          <w:rFonts w:ascii="Arial" w:hAnsi="Arial" w:cs="Arial"/>
          <w:sz w:val="21"/>
          <w:szCs w:val="21"/>
        </w:rPr>
        <w:t xml:space="preserve">Ayres and Braithwaite’s </w:t>
      </w:r>
      <w:r w:rsidR="00AB686E" w:rsidRPr="006A0EF9">
        <w:rPr>
          <w:rStyle w:val="cf01"/>
          <w:rFonts w:ascii="Arial" w:hAnsi="Arial" w:cs="Arial"/>
          <w:sz w:val="21"/>
          <w:szCs w:val="21"/>
        </w:rPr>
        <w:t xml:space="preserve">enforcement </w:t>
      </w:r>
      <w:r w:rsidR="00B077F4" w:rsidRPr="006A0EF9">
        <w:rPr>
          <w:rStyle w:val="cf01"/>
          <w:rFonts w:ascii="Arial" w:hAnsi="Arial" w:cs="Arial"/>
          <w:sz w:val="21"/>
          <w:szCs w:val="21"/>
        </w:rPr>
        <w:t>pyramid</w:t>
      </w:r>
      <w:r w:rsidR="008F7172" w:rsidRPr="006A0EF9">
        <w:rPr>
          <w:rStyle w:val="cf01"/>
          <w:rFonts w:ascii="Arial" w:hAnsi="Arial" w:cs="Arial"/>
          <w:sz w:val="21"/>
          <w:szCs w:val="21"/>
        </w:rPr>
        <w:t xml:space="preserve"> </w:t>
      </w:r>
      <w:r w:rsidR="00D072AA" w:rsidRPr="006A0EF9">
        <w:rPr>
          <w:rStyle w:val="cf01"/>
          <w:rFonts w:ascii="Arial" w:hAnsi="Arial" w:cs="Arial"/>
          <w:sz w:val="21"/>
          <w:szCs w:val="21"/>
        </w:rPr>
        <w:t>and some types of responsiveness</w:t>
      </w:r>
      <w:r w:rsidR="009D17F8" w:rsidRPr="006A0EF9">
        <w:rPr>
          <w:rStyle w:val="cf01"/>
          <w:rFonts w:ascii="Arial" w:hAnsi="Arial" w:cs="Arial"/>
          <w:sz w:val="21"/>
          <w:szCs w:val="21"/>
        </w:rPr>
        <w:t xml:space="preserve"> described in section A</w:t>
      </w:r>
      <w:r w:rsidR="005C0D10" w:rsidRPr="006A0EF9">
        <w:rPr>
          <w:rStyle w:val="cf01"/>
          <w:rFonts w:ascii="Arial" w:hAnsi="Arial" w:cs="Arial"/>
          <w:sz w:val="21"/>
          <w:szCs w:val="21"/>
        </w:rPr>
        <w:t>(2)</w:t>
      </w:r>
      <w:r w:rsidR="0070506E">
        <w:rPr>
          <w:rStyle w:val="cf01"/>
          <w:rFonts w:ascii="Arial" w:hAnsi="Arial" w:cs="Arial"/>
          <w:sz w:val="21"/>
          <w:szCs w:val="21"/>
        </w:rPr>
        <w:t xml:space="preserve"> of Chapter 1 above</w:t>
      </w:r>
      <w:r w:rsidR="00B077F4" w:rsidRPr="006A0EF9">
        <w:rPr>
          <w:rStyle w:val="cf01"/>
          <w:rFonts w:ascii="Arial" w:hAnsi="Arial" w:cs="Arial"/>
          <w:sz w:val="21"/>
          <w:szCs w:val="21"/>
        </w:rPr>
        <w:t xml:space="preserve">, it </w:t>
      </w:r>
      <w:r w:rsidR="0099077E" w:rsidRPr="006A0EF9">
        <w:rPr>
          <w:rStyle w:val="cf01"/>
          <w:rFonts w:ascii="Arial" w:hAnsi="Arial" w:cs="Arial"/>
          <w:sz w:val="21"/>
          <w:szCs w:val="21"/>
        </w:rPr>
        <w:t xml:space="preserve">appears </w:t>
      </w:r>
      <w:r w:rsidR="00776598" w:rsidRPr="006A0EF9">
        <w:rPr>
          <w:rStyle w:val="cf01"/>
          <w:rFonts w:ascii="Arial" w:hAnsi="Arial" w:cs="Arial"/>
          <w:sz w:val="21"/>
          <w:szCs w:val="21"/>
        </w:rPr>
        <w:t xml:space="preserve">to </w:t>
      </w:r>
      <w:r w:rsidR="00007564" w:rsidRPr="006A0EF9">
        <w:rPr>
          <w:rStyle w:val="cf01"/>
          <w:rFonts w:ascii="Arial" w:hAnsi="Arial" w:cs="Arial"/>
          <w:sz w:val="21"/>
          <w:szCs w:val="21"/>
        </w:rPr>
        <w:t xml:space="preserve">take </w:t>
      </w:r>
      <w:r w:rsidR="00FD612F" w:rsidRPr="006A0EF9">
        <w:rPr>
          <w:rStyle w:val="cf01"/>
          <w:rFonts w:ascii="Arial" w:hAnsi="Arial" w:cs="Arial"/>
          <w:sz w:val="21"/>
          <w:szCs w:val="21"/>
        </w:rPr>
        <w:t xml:space="preserve">into account </w:t>
      </w:r>
      <w:r w:rsidR="00B077F4" w:rsidRPr="006A0EF9">
        <w:rPr>
          <w:rStyle w:val="cf01"/>
          <w:rFonts w:ascii="Arial" w:hAnsi="Arial" w:cs="Arial"/>
          <w:sz w:val="21"/>
          <w:szCs w:val="21"/>
        </w:rPr>
        <w:t xml:space="preserve">(at least on paper) </w:t>
      </w:r>
      <w:r w:rsidR="00F62FEE" w:rsidRPr="006A0EF9">
        <w:rPr>
          <w:rStyle w:val="cf01"/>
          <w:rFonts w:ascii="Arial" w:hAnsi="Arial" w:cs="Arial"/>
          <w:sz w:val="21"/>
          <w:szCs w:val="21"/>
        </w:rPr>
        <w:t xml:space="preserve">some </w:t>
      </w:r>
      <w:r w:rsidR="008F7172" w:rsidRPr="006A0EF9">
        <w:rPr>
          <w:rStyle w:val="cf01"/>
          <w:rFonts w:ascii="Arial" w:hAnsi="Arial" w:cs="Arial"/>
          <w:sz w:val="21"/>
          <w:szCs w:val="21"/>
        </w:rPr>
        <w:t xml:space="preserve">factors that </w:t>
      </w:r>
      <w:r w:rsidR="00363D7E" w:rsidRPr="006A0EF9">
        <w:rPr>
          <w:rStyle w:val="cf01"/>
          <w:rFonts w:ascii="Arial" w:hAnsi="Arial" w:cs="Arial"/>
          <w:sz w:val="21"/>
          <w:szCs w:val="21"/>
        </w:rPr>
        <w:t>Ayres and Braithwaite</w:t>
      </w:r>
      <w:r w:rsidR="00FA62E5" w:rsidRPr="006A0EF9">
        <w:rPr>
          <w:rStyle w:val="cf01"/>
          <w:rFonts w:ascii="Arial" w:hAnsi="Arial" w:cs="Arial"/>
          <w:sz w:val="21"/>
          <w:szCs w:val="21"/>
        </w:rPr>
        <w:t xml:space="preserve"> would not</w:t>
      </w:r>
      <w:r w:rsidR="00711151" w:rsidRPr="006A0EF9">
        <w:rPr>
          <w:rStyle w:val="cf01"/>
          <w:rFonts w:ascii="Arial" w:hAnsi="Arial" w:cs="Arial"/>
          <w:sz w:val="21"/>
          <w:szCs w:val="21"/>
        </w:rPr>
        <w:t xml:space="preserve"> </w:t>
      </w:r>
      <w:r w:rsidR="005228B1" w:rsidRPr="006A0EF9">
        <w:rPr>
          <w:rStyle w:val="cf01"/>
          <w:rFonts w:ascii="Arial" w:hAnsi="Arial" w:cs="Arial"/>
          <w:sz w:val="21"/>
          <w:szCs w:val="21"/>
        </w:rPr>
        <w:t xml:space="preserve">consider </w:t>
      </w:r>
      <w:r w:rsidR="00711151" w:rsidRPr="006A0EF9">
        <w:rPr>
          <w:rStyle w:val="cf01"/>
          <w:rFonts w:ascii="Arial" w:hAnsi="Arial" w:cs="Arial"/>
          <w:sz w:val="21"/>
          <w:szCs w:val="21"/>
        </w:rPr>
        <w:t>(at least</w:t>
      </w:r>
      <w:r w:rsidR="005228B1" w:rsidRPr="006A0EF9">
        <w:rPr>
          <w:rStyle w:val="cf01"/>
          <w:rFonts w:ascii="Arial" w:hAnsi="Arial" w:cs="Arial"/>
          <w:sz w:val="21"/>
          <w:szCs w:val="21"/>
        </w:rPr>
        <w:t xml:space="preserve"> in the first instance</w:t>
      </w:r>
      <w:r w:rsidR="00562A9A" w:rsidRPr="006A0EF9">
        <w:rPr>
          <w:rStyle w:val="cf01"/>
          <w:rFonts w:ascii="Arial" w:hAnsi="Arial" w:cs="Arial"/>
          <w:sz w:val="21"/>
          <w:szCs w:val="21"/>
        </w:rPr>
        <w:t>)</w:t>
      </w:r>
      <w:r w:rsidR="0089643A" w:rsidRPr="006A0EF9">
        <w:rPr>
          <w:rStyle w:val="cf01"/>
          <w:rFonts w:ascii="Arial" w:hAnsi="Arial" w:cs="Arial"/>
          <w:sz w:val="21"/>
          <w:szCs w:val="21"/>
        </w:rPr>
        <w:t xml:space="preserve"> when confronted by a non-compliant provider</w:t>
      </w:r>
      <w:r w:rsidR="00FA62E5" w:rsidRPr="006A0EF9">
        <w:rPr>
          <w:rStyle w:val="cf01"/>
          <w:rFonts w:ascii="Arial" w:hAnsi="Arial" w:cs="Arial"/>
          <w:sz w:val="21"/>
          <w:szCs w:val="21"/>
        </w:rPr>
        <w:t xml:space="preserve">. </w:t>
      </w:r>
      <w:r w:rsidR="00DC73D7" w:rsidRPr="006A0EF9">
        <w:rPr>
          <w:rStyle w:val="cf01"/>
          <w:rFonts w:ascii="Arial" w:hAnsi="Arial" w:cs="Arial"/>
          <w:sz w:val="21"/>
          <w:szCs w:val="21"/>
        </w:rPr>
        <w:t>For example, l</w:t>
      </w:r>
      <w:r w:rsidR="00301198" w:rsidRPr="006A0EF9">
        <w:rPr>
          <w:rStyle w:val="cf01"/>
          <w:rFonts w:ascii="Arial" w:hAnsi="Arial" w:cs="Arial"/>
          <w:sz w:val="21"/>
          <w:szCs w:val="21"/>
        </w:rPr>
        <w:t xml:space="preserve">ike Ayres and Braithwaite, </w:t>
      </w:r>
      <w:r w:rsidR="00D11F2F">
        <w:rPr>
          <w:rStyle w:val="cf01"/>
          <w:rFonts w:ascii="Arial" w:hAnsi="Arial" w:cs="Arial"/>
          <w:sz w:val="21"/>
          <w:szCs w:val="21"/>
        </w:rPr>
        <w:t>the ACMA</w:t>
      </w:r>
      <w:r w:rsidR="00D62229" w:rsidRPr="006A0EF9">
        <w:rPr>
          <w:rStyle w:val="cf01"/>
          <w:rFonts w:ascii="Arial" w:hAnsi="Arial" w:cs="Arial"/>
          <w:sz w:val="21"/>
          <w:szCs w:val="21"/>
        </w:rPr>
        <w:t xml:space="preserve"> </w:t>
      </w:r>
      <w:r w:rsidR="001B28DB" w:rsidRPr="006A0EF9">
        <w:rPr>
          <w:rStyle w:val="cf01"/>
          <w:rFonts w:ascii="Arial" w:hAnsi="Arial" w:cs="Arial"/>
          <w:sz w:val="21"/>
          <w:szCs w:val="21"/>
        </w:rPr>
        <w:t xml:space="preserve">may </w:t>
      </w:r>
      <w:r w:rsidR="00B61BA7" w:rsidRPr="006A0EF9">
        <w:rPr>
          <w:rStyle w:val="cf01"/>
          <w:rFonts w:ascii="Arial" w:hAnsi="Arial" w:cs="Arial"/>
          <w:sz w:val="21"/>
          <w:szCs w:val="21"/>
        </w:rPr>
        <w:t xml:space="preserve">give consideration to </w:t>
      </w:r>
      <w:r w:rsidR="001B28DB" w:rsidRPr="006A0EF9">
        <w:rPr>
          <w:rFonts w:cs="Arial"/>
          <w:szCs w:val="21"/>
        </w:rPr>
        <w:t>the desire of regulatees to improve their behaviour</w:t>
      </w:r>
      <w:r w:rsidR="00523710" w:rsidRPr="006A0EF9">
        <w:rPr>
          <w:rFonts w:cs="Arial"/>
          <w:szCs w:val="21"/>
        </w:rPr>
        <w:t xml:space="preserve"> (eg, ‘whether the subject of the investigation has co-operated with</w:t>
      </w:r>
      <w:r w:rsidR="000D5877" w:rsidRPr="006A0EF9">
        <w:rPr>
          <w:rFonts w:cs="Arial"/>
          <w:szCs w:val="21"/>
        </w:rPr>
        <w:t xml:space="preserve"> [the</w:t>
      </w:r>
      <w:r w:rsidR="00D11F2F">
        <w:rPr>
          <w:rFonts w:cs="Arial"/>
          <w:szCs w:val="21"/>
        </w:rPr>
        <w:t xml:space="preserve"> ACMA</w:t>
      </w:r>
      <w:r w:rsidR="000D5877" w:rsidRPr="006A0EF9">
        <w:rPr>
          <w:rFonts w:cs="Arial"/>
          <w:szCs w:val="21"/>
        </w:rPr>
        <w:t>]’</w:t>
      </w:r>
      <w:r w:rsidR="00950A2E" w:rsidRPr="006A0EF9">
        <w:rPr>
          <w:rFonts w:cs="Arial"/>
          <w:szCs w:val="21"/>
        </w:rPr>
        <w:t>)</w:t>
      </w:r>
      <w:r w:rsidR="00E54231" w:rsidRPr="006A0EF9">
        <w:rPr>
          <w:rFonts w:cs="Arial"/>
          <w:szCs w:val="21"/>
        </w:rPr>
        <w:t xml:space="preserve"> (</w:t>
      </w:r>
      <w:r w:rsidR="00180F7C" w:rsidRPr="006A0EF9">
        <w:rPr>
          <w:rFonts w:cs="Arial"/>
          <w:szCs w:val="21"/>
        </w:rPr>
        <w:t>attitudinal responsiveness)</w:t>
      </w:r>
      <w:r w:rsidR="008C6168" w:rsidRPr="006A0EF9">
        <w:rPr>
          <w:rFonts w:cs="Arial"/>
          <w:szCs w:val="21"/>
        </w:rPr>
        <w:t>. However</w:t>
      </w:r>
      <w:r w:rsidR="000D5877" w:rsidRPr="006A0EF9">
        <w:rPr>
          <w:rFonts w:cs="Arial"/>
          <w:szCs w:val="21"/>
        </w:rPr>
        <w:t xml:space="preserve">, </w:t>
      </w:r>
      <w:r w:rsidR="00D11F2F">
        <w:rPr>
          <w:rFonts w:cs="Arial"/>
          <w:szCs w:val="21"/>
        </w:rPr>
        <w:t>the ACMA</w:t>
      </w:r>
      <w:r w:rsidR="00814D09" w:rsidRPr="006A0EF9">
        <w:rPr>
          <w:rFonts w:cs="Arial"/>
          <w:szCs w:val="21"/>
        </w:rPr>
        <w:t xml:space="preserve"> </w:t>
      </w:r>
      <w:r w:rsidR="00536311" w:rsidRPr="006A0EF9">
        <w:rPr>
          <w:rFonts w:cs="Arial"/>
          <w:szCs w:val="21"/>
        </w:rPr>
        <w:t xml:space="preserve">will </w:t>
      </w:r>
      <w:r w:rsidR="00727410" w:rsidRPr="006A0EF9">
        <w:rPr>
          <w:rFonts w:cs="Arial"/>
          <w:szCs w:val="21"/>
        </w:rPr>
        <w:t xml:space="preserve">also </w:t>
      </w:r>
      <w:r w:rsidR="00536311" w:rsidRPr="006A0EF9">
        <w:rPr>
          <w:rFonts w:cs="Arial"/>
          <w:szCs w:val="21"/>
        </w:rPr>
        <w:t xml:space="preserve">consider factors </w:t>
      </w:r>
      <w:r w:rsidR="004C6790" w:rsidRPr="006A0EF9">
        <w:rPr>
          <w:rFonts w:cs="Arial"/>
          <w:szCs w:val="21"/>
        </w:rPr>
        <w:t xml:space="preserve">important for legalistic responsiveness </w:t>
      </w:r>
      <w:r w:rsidR="0003513F" w:rsidRPr="006A0EF9">
        <w:rPr>
          <w:rFonts w:cs="Arial"/>
          <w:szCs w:val="21"/>
        </w:rPr>
        <w:t>such as t</w:t>
      </w:r>
      <w:r w:rsidR="00994996" w:rsidRPr="006A0EF9">
        <w:rPr>
          <w:rFonts w:cs="Arial"/>
          <w:szCs w:val="21"/>
        </w:rPr>
        <w:t>he type, number and gravity of breaches committed by regulatees</w:t>
      </w:r>
      <w:r w:rsidR="00786AF5" w:rsidRPr="006A0EF9">
        <w:rPr>
          <w:rFonts w:cs="Arial"/>
          <w:szCs w:val="21"/>
        </w:rPr>
        <w:t xml:space="preserve"> (eg, </w:t>
      </w:r>
      <w:r w:rsidR="00CB1C8C" w:rsidRPr="006A0EF9">
        <w:rPr>
          <w:rFonts w:cs="Arial"/>
          <w:szCs w:val="21"/>
        </w:rPr>
        <w:t xml:space="preserve">whether the conduct was </w:t>
      </w:r>
      <w:r w:rsidR="00795DBE">
        <w:rPr>
          <w:rFonts w:cs="Arial"/>
          <w:szCs w:val="21"/>
        </w:rPr>
        <w:t>‘</w:t>
      </w:r>
      <w:r w:rsidR="00CB1C8C" w:rsidRPr="006A0EF9">
        <w:rPr>
          <w:rFonts w:cs="Arial"/>
          <w:szCs w:val="21"/>
        </w:rPr>
        <w:t>deliberate, inadvertent or reckless’ and ‘whether the conduct involve</w:t>
      </w:r>
      <w:r w:rsidR="004F2D76" w:rsidRPr="006A0EF9">
        <w:rPr>
          <w:rFonts w:cs="Arial"/>
          <w:szCs w:val="21"/>
        </w:rPr>
        <w:t>d indicates systemic issues which may pose ongoing compliance or enforcement issues’)</w:t>
      </w:r>
      <w:r w:rsidR="007974E2" w:rsidRPr="006A0EF9">
        <w:rPr>
          <w:rFonts w:cs="Arial"/>
          <w:szCs w:val="21"/>
        </w:rPr>
        <w:t>; and</w:t>
      </w:r>
      <w:r w:rsidR="00994996" w:rsidRPr="006A0EF9">
        <w:rPr>
          <w:rFonts w:cs="Arial"/>
          <w:szCs w:val="21"/>
        </w:rPr>
        <w:t xml:space="preserve"> </w:t>
      </w:r>
      <w:r w:rsidR="00F147FA" w:rsidRPr="006A0EF9">
        <w:rPr>
          <w:rFonts w:cs="Arial"/>
          <w:szCs w:val="21"/>
        </w:rPr>
        <w:t xml:space="preserve">factors </w:t>
      </w:r>
      <w:r w:rsidR="000711CD" w:rsidRPr="006A0EF9">
        <w:rPr>
          <w:rFonts w:cs="Arial"/>
          <w:szCs w:val="21"/>
        </w:rPr>
        <w:t xml:space="preserve">important for long-memory responsiveness </w:t>
      </w:r>
      <w:r w:rsidR="008A2B23" w:rsidRPr="006A0EF9">
        <w:rPr>
          <w:rFonts w:cs="Arial"/>
          <w:szCs w:val="21"/>
        </w:rPr>
        <w:t xml:space="preserve">or </w:t>
      </w:r>
      <w:r w:rsidR="00994996" w:rsidRPr="006A0EF9">
        <w:rPr>
          <w:rFonts w:cs="Arial"/>
          <w:szCs w:val="21"/>
        </w:rPr>
        <w:t>the historical performance of regulatees over time</w:t>
      </w:r>
      <w:r w:rsidR="004F2D76" w:rsidRPr="006A0EF9">
        <w:rPr>
          <w:rFonts w:cs="Arial"/>
          <w:szCs w:val="21"/>
        </w:rPr>
        <w:t xml:space="preserve"> (eg, </w:t>
      </w:r>
      <w:r w:rsidR="00B737D8" w:rsidRPr="006A0EF9">
        <w:rPr>
          <w:rFonts w:cs="Arial"/>
          <w:szCs w:val="21"/>
        </w:rPr>
        <w:t>‘</w:t>
      </w:r>
      <w:r w:rsidR="008258F2" w:rsidRPr="006A0EF9">
        <w:rPr>
          <w:rFonts w:cs="Arial"/>
          <w:szCs w:val="21"/>
        </w:rPr>
        <w:t xml:space="preserve">whether the compliance entity or person has been the subject of prior compliance or enforcement action and the outcome of that </w:t>
      </w:r>
      <w:r w:rsidR="00B737D8" w:rsidRPr="006A0EF9">
        <w:rPr>
          <w:rFonts w:cs="Arial"/>
          <w:szCs w:val="21"/>
        </w:rPr>
        <w:t>action’</w:t>
      </w:r>
      <w:r w:rsidR="001A2A04" w:rsidRPr="006A0EF9">
        <w:rPr>
          <w:rFonts w:cs="Arial"/>
          <w:szCs w:val="21"/>
        </w:rPr>
        <w:t>)</w:t>
      </w:r>
      <w:r w:rsidR="004C6790" w:rsidRPr="006A0EF9">
        <w:rPr>
          <w:rFonts w:cs="Arial"/>
          <w:szCs w:val="21"/>
        </w:rPr>
        <w:t>. These</w:t>
      </w:r>
      <w:r w:rsidR="00CA4BBA" w:rsidRPr="006A0EF9">
        <w:rPr>
          <w:rFonts w:cs="Arial"/>
          <w:szCs w:val="21"/>
        </w:rPr>
        <w:t xml:space="preserve"> </w:t>
      </w:r>
      <w:r w:rsidR="004C6790" w:rsidRPr="006A0EF9">
        <w:rPr>
          <w:rFonts w:cs="Arial"/>
          <w:szCs w:val="21"/>
        </w:rPr>
        <w:t xml:space="preserve">are </w:t>
      </w:r>
      <w:r w:rsidR="00DC73D7" w:rsidRPr="006A0EF9">
        <w:rPr>
          <w:rFonts w:cs="Arial"/>
          <w:szCs w:val="21"/>
        </w:rPr>
        <w:t xml:space="preserve">factors that </w:t>
      </w:r>
      <w:r w:rsidR="005B33AD" w:rsidRPr="006A0EF9">
        <w:rPr>
          <w:rFonts w:cs="Arial"/>
          <w:szCs w:val="21"/>
        </w:rPr>
        <w:t xml:space="preserve">Ayres and Braithwaite </w:t>
      </w:r>
      <w:r w:rsidR="00C849A5" w:rsidRPr="006A0EF9">
        <w:rPr>
          <w:rFonts w:cs="Arial"/>
          <w:szCs w:val="21"/>
        </w:rPr>
        <w:t xml:space="preserve">have suggested can </w:t>
      </w:r>
      <w:r w:rsidR="00814797" w:rsidRPr="006A0EF9">
        <w:rPr>
          <w:rFonts w:cs="Arial"/>
          <w:szCs w:val="21"/>
        </w:rPr>
        <w:t xml:space="preserve">lead to </w:t>
      </w:r>
      <w:r w:rsidR="00380FBC" w:rsidRPr="006A0EF9">
        <w:rPr>
          <w:rFonts w:cs="Arial"/>
          <w:szCs w:val="21"/>
        </w:rPr>
        <w:t>less cost-efficient compliance outcomes</w:t>
      </w:r>
      <w:r w:rsidR="00430829" w:rsidRPr="006A0EF9">
        <w:rPr>
          <w:rFonts w:cs="Arial"/>
          <w:szCs w:val="21"/>
        </w:rPr>
        <w:t xml:space="preserve"> in the longer term</w:t>
      </w:r>
      <w:r w:rsidR="008961AF">
        <w:rPr>
          <w:rFonts w:cs="Arial"/>
          <w:szCs w:val="21"/>
        </w:rPr>
        <w:t xml:space="preserve"> although, as we note in section A</w:t>
      </w:r>
      <w:r w:rsidR="00A50969">
        <w:rPr>
          <w:rFonts w:cs="Arial"/>
          <w:szCs w:val="21"/>
        </w:rPr>
        <w:t xml:space="preserve"> of Chapter 1</w:t>
      </w:r>
      <w:r w:rsidR="008961AF">
        <w:rPr>
          <w:rFonts w:cs="Arial"/>
          <w:szCs w:val="21"/>
        </w:rPr>
        <w:t xml:space="preserve"> above, this is not a view shared by all scholars</w:t>
      </w:r>
      <w:r w:rsidR="00380FBC" w:rsidRPr="006A0EF9">
        <w:rPr>
          <w:rFonts w:cs="Arial"/>
          <w:szCs w:val="21"/>
        </w:rPr>
        <w:t xml:space="preserve">.  </w:t>
      </w:r>
    </w:p>
    <w:p w14:paraId="48C353E2" w14:textId="59150623" w:rsidR="00F23D83" w:rsidRPr="002B7082" w:rsidRDefault="0059683D" w:rsidP="00F02B09">
      <w:r w:rsidRPr="002B7082">
        <w:t>Second,</w:t>
      </w:r>
      <w:r w:rsidR="000B40C0" w:rsidRPr="002B7082">
        <w:t xml:space="preserve"> the </w:t>
      </w:r>
      <w:r w:rsidR="00AA7AED">
        <w:t>Tel Act</w:t>
      </w:r>
      <w:r w:rsidR="000B40C0" w:rsidRPr="002B7082">
        <w:t xml:space="preserve"> and </w:t>
      </w:r>
      <w:r w:rsidR="007D5437" w:rsidRPr="002B7082">
        <w:t xml:space="preserve">TCPSS Act </w:t>
      </w:r>
      <w:r w:rsidR="008C54C0" w:rsidRPr="002B7082">
        <w:t>make it difficult to escalate up the pyramid in the way that Ayres and Braithwaite suggest</w:t>
      </w:r>
      <w:r w:rsidR="00A940C1" w:rsidRPr="002B7082">
        <w:t xml:space="preserve">. </w:t>
      </w:r>
      <w:r w:rsidR="008961AF">
        <w:t>I</w:t>
      </w:r>
      <w:r w:rsidR="0027121F" w:rsidRPr="002B7082">
        <w:t xml:space="preserve">n the case of </w:t>
      </w:r>
      <w:r w:rsidR="00877AE3" w:rsidRPr="002B7082">
        <w:t>the three consumer codes</w:t>
      </w:r>
      <w:r w:rsidR="00FD7E2E" w:rsidRPr="002B7082">
        <w:t xml:space="preserve"> </w:t>
      </w:r>
      <w:r w:rsidR="00340768" w:rsidRPr="002B7082">
        <w:t xml:space="preserve">developed by </w:t>
      </w:r>
      <w:r w:rsidR="008E73B2" w:rsidRPr="002B7082">
        <w:t xml:space="preserve">Comms Alliance and </w:t>
      </w:r>
      <w:r w:rsidR="00FD7E2E" w:rsidRPr="002B7082">
        <w:t xml:space="preserve">registered with </w:t>
      </w:r>
      <w:r w:rsidR="00D11F2F">
        <w:t>the ACMA</w:t>
      </w:r>
      <w:r w:rsidR="00FD7E2E" w:rsidRPr="002B7082">
        <w:t xml:space="preserve"> – the Mobile Premium Services Code, the TCP Code and the Information </w:t>
      </w:r>
      <w:r w:rsidR="00320D46" w:rsidRPr="002B7082">
        <w:t>on Accessibility Features for</w:t>
      </w:r>
      <w:r w:rsidR="00C25DB9" w:rsidRPr="002B7082">
        <w:t xml:space="preserve"> </w:t>
      </w:r>
      <w:r w:rsidR="00320D46" w:rsidRPr="002B7082">
        <w:t>Telephone Equipment</w:t>
      </w:r>
      <w:r w:rsidR="00F147FA" w:rsidRPr="002B7082">
        <w:t xml:space="preserve"> Code</w:t>
      </w:r>
      <w:r w:rsidR="00147183" w:rsidRPr="002B7082">
        <w:t xml:space="preserve"> -</w:t>
      </w:r>
      <w:r w:rsidR="00AA4547" w:rsidRPr="002B7082">
        <w:t xml:space="preserve"> </w:t>
      </w:r>
      <w:r w:rsidR="00D11F2F">
        <w:t>the ACMA</w:t>
      </w:r>
      <w:r w:rsidR="00561A86" w:rsidRPr="002B7082">
        <w:t xml:space="preserve"> </w:t>
      </w:r>
      <w:r w:rsidR="00C25DB9" w:rsidRPr="002B7082">
        <w:t xml:space="preserve">has access to a formal warning and direction to comply </w:t>
      </w:r>
      <w:r w:rsidR="001F237D" w:rsidRPr="002B7082">
        <w:t xml:space="preserve">to enforce compliance. </w:t>
      </w:r>
      <w:r w:rsidR="00E377C8" w:rsidRPr="002B7082">
        <w:t>O</w:t>
      </w:r>
      <w:r w:rsidR="001F237D" w:rsidRPr="002B7082">
        <w:t xml:space="preserve">nly </w:t>
      </w:r>
      <w:r w:rsidR="00E377C8" w:rsidRPr="002B7082">
        <w:t xml:space="preserve">if </w:t>
      </w:r>
      <w:r w:rsidR="001F237D" w:rsidRPr="002B7082">
        <w:t xml:space="preserve">a direction to comply </w:t>
      </w:r>
      <w:r w:rsidR="00F93906" w:rsidRPr="002B7082">
        <w:t xml:space="preserve">with these </w:t>
      </w:r>
      <w:r w:rsidR="008961AF">
        <w:t>c</w:t>
      </w:r>
      <w:r w:rsidR="00F93906" w:rsidRPr="002B7082">
        <w:t>ode</w:t>
      </w:r>
      <w:r w:rsidR="00F9644B" w:rsidRPr="002B7082">
        <w:t>s</w:t>
      </w:r>
      <w:r w:rsidR="00F93906" w:rsidRPr="002B7082">
        <w:t xml:space="preserve"> </w:t>
      </w:r>
      <w:r w:rsidR="001F237D" w:rsidRPr="002B7082">
        <w:t xml:space="preserve">is breached </w:t>
      </w:r>
      <w:r w:rsidR="00055679" w:rsidRPr="002B7082">
        <w:t xml:space="preserve">can </w:t>
      </w:r>
      <w:r w:rsidR="00D11F2F">
        <w:t>the ACMA</w:t>
      </w:r>
      <w:r w:rsidR="009F1C4E" w:rsidRPr="002B7082">
        <w:t xml:space="preserve"> access </w:t>
      </w:r>
      <w:r w:rsidR="00F9644B" w:rsidRPr="002B7082">
        <w:t xml:space="preserve">a more fulsome </w:t>
      </w:r>
      <w:r w:rsidR="009F1C4E" w:rsidRPr="002B7082">
        <w:t xml:space="preserve">range of </w:t>
      </w:r>
      <w:r w:rsidR="00E13DC4" w:rsidRPr="002B7082">
        <w:t xml:space="preserve">enforcement </w:t>
      </w:r>
      <w:r w:rsidR="009F1C4E" w:rsidRPr="002B7082">
        <w:t>mechanisms</w:t>
      </w:r>
      <w:r w:rsidR="008914BB" w:rsidRPr="002B7082">
        <w:t>.</w:t>
      </w:r>
      <w:r w:rsidR="00F93906" w:rsidRPr="002B7082">
        <w:t xml:space="preserve"> </w:t>
      </w:r>
      <w:r w:rsidR="008961AF" w:rsidRPr="002B7082">
        <w:t>In</w:t>
      </w:r>
      <w:r w:rsidR="008961AF">
        <w:t xml:space="preserve"> addition, in</w:t>
      </w:r>
      <w:r w:rsidR="008961AF" w:rsidRPr="002B7082">
        <w:t xml:space="preserve"> the event a provider </w:t>
      </w:r>
      <w:r w:rsidR="008961AF">
        <w:t xml:space="preserve">seriously and repeatedly </w:t>
      </w:r>
      <w:r w:rsidR="008961AF" w:rsidRPr="002B7082">
        <w:t xml:space="preserve">fails to comply with </w:t>
      </w:r>
      <w:r w:rsidR="004D700F">
        <w:t xml:space="preserve">most </w:t>
      </w:r>
      <w:r w:rsidR="008961AF" w:rsidRPr="002B7082">
        <w:t xml:space="preserve">of the consumer protection provisions discussed in this report, for example, </w:t>
      </w:r>
      <w:r w:rsidR="00D11F2F">
        <w:t>the ACMA</w:t>
      </w:r>
      <w:r w:rsidR="008961AF" w:rsidRPr="002B7082">
        <w:t xml:space="preserve"> cannot impose criminal penalties, suspend licences and/or seek to exclude the offending provider from the market</w:t>
      </w:r>
      <w:r w:rsidR="008961AF">
        <w:t xml:space="preserve"> – actions that appear in the regulatory literature as a result of </w:t>
      </w:r>
      <w:r w:rsidR="00E8572F">
        <w:t>their presence in other industries/jurisdictions</w:t>
      </w:r>
      <w:r w:rsidR="008961AF" w:rsidRPr="002B7082">
        <w:t>.</w:t>
      </w:r>
    </w:p>
    <w:p w14:paraId="0875DBA6" w14:textId="4CEE13E2" w:rsidR="00B61BA7" w:rsidRDefault="00EF2141" w:rsidP="00F02B09">
      <w:r w:rsidRPr="002B7082">
        <w:t>Third, to</w:t>
      </w:r>
      <w:r w:rsidR="00525A39" w:rsidRPr="002B7082">
        <w:t xml:space="preserve"> date, </w:t>
      </w:r>
      <w:r w:rsidR="00D11F2F">
        <w:t>the ACMA</w:t>
      </w:r>
      <w:r w:rsidR="00525A39" w:rsidRPr="002B7082">
        <w:t xml:space="preserve"> has not incorporated a strengths-based </w:t>
      </w:r>
      <w:r w:rsidR="00B12157" w:rsidRPr="002B7082">
        <w:t xml:space="preserve">pyramid </w:t>
      </w:r>
      <w:r w:rsidR="00525A39" w:rsidRPr="002B7082">
        <w:t xml:space="preserve">in its </w:t>
      </w:r>
      <w:r w:rsidR="008914BB" w:rsidRPr="002B7082">
        <w:t>C</w:t>
      </w:r>
      <w:r w:rsidR="00525A39" w:rsidRPr="002B7082">
        <w:t xml:space="preserve">ompliance and </w:t>
      </w:r>
      <w:r w:rsidR="008914BB" w:rsidRPr="002B7082">
        <w:t>E</w:t>
      </w:r>
      <w:r w:rsidR="00525A39" w:rsidRPr="002B7082">
        <w:t xml:space="preserve">nforcement </w:t>
      </w:r>
      <w:r w:rsidR="008914BB" w:rsidRPr="002B7082">
        <w:t>P</w:t>
      </w:r>
      <w:r w:rsidR="00525A39" w:rsidRPr="002B7082">
        <w:t>olicy.</w:t>
      </w:r>
      <w:r w:rsidR="008914BB" w:rsidRPr="002B7082">
        <w:t xml:space="preserve"> </w:t>
      </w:r>
      <w:r w:rsidR="008961AF">
        <w:t xml:space="preserve">Again, we are not suggesting here that it should; we are just observing how </w:t>
      </w:r>
      <w:r w:rsidR="00D11F2F">
        <w:t>the ACMA</w:t>
      </w:r>
      <w:r w:rsidR="008961AF">
        <w:t xml:space="preserve">’s practice is different from some aspects canvassed in the regulatory literature. </w:t>
      </w:r>
    </w:p>
    <w:p w14:paraId="74C37753" w14:textId="77777777" w:rsidR="00EE3083" w:rsidRPr="002B7082" w:rsidRDefault="00EE3083" w:rsidP="00F02B09"/>
    <w:p w14:paraId="2C781AEA" w14:textId="7C9202CD" w:rsidR="00DC7893" w:rsidRPr="005623A6" w:rsidRDefault="00515C60" w:rsidP="00515C60">
      <w:pPr>
        <w:pStyle w:val="Heading2"/>
      </w:pPr>
      <w:bookmarkStart w:id="145" w:name="_Toc146201042"/>
      <w:bookmarkStart w:id="146" w:name="_Toc161836171"/>
      <w:r>
        <w:t>C</w:t>
      </w:r>
      <w:r w:rsidR="00DC7893" w:rsidRPr="005623A6">
        <w:tab/>
      </w:r>
      <w:bookmarkStart w:id="147" w:name="EnforcementPriorities"/>
      <w:r w:rsidR="00DC7893" w:rsidRPr="005623A6">
        <w:t>Enforcement Priorities</w:t>
      </w:r>
      <w:bookmarkEnd w:id="145"/>
      <w:bookmarkEnd w:id="146"/>
      <w:r w:rsidR="00DC7893" w:rsidRPr="005623A6">
        <w:t xml:space="preserve"> </w:t>
      </w:r>
      <w:bookmarkEnd w:id="147"/>
    </w:p>
    <w:p w14:paraId="16AD51E9" w14:textId="05414CC1" w:rsidR="003B2298" w:rsidRPr="005623A6" w:rsidRDefault="003B2298" w:rsidP="003A4641">
      <w:r w:rsidRPr="005623A6">
        <w:t xml:space="preserve">In </w:t>
      </w:r>
      <w:r w:rsidR="00B33DEF" w:rsidRPr="005623A6">
        <w:t xml:space="preserve">April </w:t>
      </w:r>
      <w:r w:rsidRPr="005623A6">
        <w:t xml:space="preserve">2019, </w:t>
      </w:r>
      <w:r w:rsidR="00B91B59" w:rsidRPr="005623A6">
        <w:t>in keeping with other regulators such as the ACCC</w:t>
      </w:r>
      <w:r w:rsidR="00C512BF" w:rsidRPr="005623A6">
        <w:t>,</w:t>
      </w:r>
      <w:r w:rsidR="00B91B59" w:rsidRPr="005623A6">
        <w:rPr>
          <w:rStyle w:val="FootnoteReference"/>
        </w:rPr>
        <w:footnoteReference w:id="164"/>
      </w:r>
      <w:r w:rsidR="00B91B59" w:rsidRPr="005623A6">
        <w:t xml:space="preserve"> </w:t>
      </w:r>
      <w:r w:rsidR="00D11F2F">
        <w:t>the ACMA</w:t>
      </w:r>
      <w:r w:rsidR="00C512BF" w:rsidRPr="005623A6">
        <w:t xml:space="preserve"> adopted annual compliance priorities for the first time.</w:t>
      </w:r>
      <w:bookmarkStart w:id="148" w:name="_Ref161679331"/>
      <w:r w:rsidR="001F356D" w:rsidRPr="005623A6">
        <w:rPr>
          <w:rStyle w:val="FootnoteReference"/>
        </w:rPr>
        <w:footnoteReference w:id="165"/>
      </w:r>
      <w:bookmarkEnd w:id="148"/>
      <w:r w:rsidR="00C512BF" w:rsidRPr="005623A6">
        <w:t xml:space="preserve"> These annual compliance priorities, once adopted, become the </w:t>
      </w:r>
      <w:r w:rsidR="00491C44" w:rsidRPr="005623A6">
        <w:t>‘</w:t>
      </w:r>
      <w:r w:rsidR="001F356D" w:rsidRPr="005623A6">
        <w:t xml:space="preserve">performance </w:t>
      </w:r>
      <w:r w:rsidR="00491C44" w:rsidRPr="005623A6">
        <w:t xml:space="preserve">measures’ </w:t>
      </w:r>
      <w:r w:rsidR="006C4474" w:rsidRPr="005623A6">
        <w:t xml:space="preserve">against which </w:t>
      </w:r>
      <w:r w:rsidR="00C512BF" w:rsidRPr="005623A6">
        <w:t xml:space="preserve">it evaluates </w:t>
      </w:r>
      <w:r w:rsidR="001F356D" w:rsidRPr="005623A6">
        <w:t xml:space="preserve">the effectiveness of its strategies </w:t>
      </w:r>
      <w:r w:rsidR="00210A11" w:rsidRPr="005623A6">
        <w:t>to achieve the</w:t>
      </w:r>
      <w:r w:rsidR="00833C15" w:rsidRPr="005623A6">
        <w:t xml:space="preserve"> objectives </w:t>
      </w:r>
      <w:r w:rsidR="006C4474" w:rsidRPr="005623A6">
        <w:t>adopted in its corporate plan</w:t>
      </w:r>
      <w:r w:rsidR="00C512BF" w:rsidRPr="005623A6">
        <w:t>.</w:t>
      </w:r>
      <w:r w:rsidR="006C4474" w:rsidRPr="005623A6">
        <w:rPr>
          <w:rStyle w:val="FootnoteReference"/>
        </w:rPr>
        <w:footnoteReference w:id="166"/>
      </w:r>
      <w:r w:rsidR="00B91B59" w:rsidRPr="005623A6">
        <w:t xml:space="preserve"> It </w:t>
      </w:r>
      <w:r w:rsidRPr="005623A6">
        <w:t xml:space="preserve">has consulted with stakeholders before adopting its </w:t>
      </w:r>
      <w:r w:rsidR="00B33DEF" w:rsidRPr="005623A6">
        <w:t xml:space="preserve">annual </w:t>
      </w:r>
      <w:r w:rsidRPr="005623A6">
        <w:t>compliance priorities</w:t>
      </w:r>
      <w:r w:rsidR="00F1358A" w:rsidRPr="005623A6">
        <w:t xml:space="preserve"> since 2020</w:t>
      </w:r>
      <w:r w:rsidRPr="005623A6">
        <w:t>.</w:t>
      </w:r>
      <w:r w:rsidRPr="005623A6">
        <w:rPr>
          <w:rStyle w:val="FootnoteReference"/>
        </w:rPr>
        <w:footnoteReference w:id="167"/>
      </w:r>
    </w:p>
    <w:p w14:paraId="122C1563" w14:textId="2F73AA95" w:rsidR="003A4641" w:rsidRPr="006A0EF9" w:rsidRDefault="003A4641" w:rsidP="00D722FB">
      <w:pPr>
        <w:pStyle w:val="paragraph"/>
        <w:textAlignment w:val="baseline"/>
        <w:rPr>
          <w:rFonts w:ascii="Arial" w:hAnsi="Arial" w:cs="Arial"/>
          <w:sz w:val="21"/>
          <w:szCs w:val="21"/>
        </w:rPr>
      </w:pPr>
      <w:r w:rsidRPr="006A0EF9">
        <w:rPr>
          <w:rStyle w:val="normaltextrun"/>
          <w:rFonts w:ascii="Arial" w:hAnsi="Arial" w:cs="Arial"/>
          <w:color w:val="000000"/>
          <w:sz w:val="21"/>
          <w:szCs w:val="21"/>
        </w:rPr>
        <w:lastRenderedPageBreak/>
        <w:t>In 2019-2020,</w:t>
      </w:r>
      <w:r w:rsidR="00116141" w:rsidRPr="006A0EF9">
        <w:rPr>
          <w:rStyle w:val="FootnoteReference"/>
          <w:rFonts w:ascii="Arial" w:hAnsi="Arial" w:cs="Arial"/>
          <w:color w:val="000000"/>
          <w:sz w:val="21"/>
          <w:szCs w:val="21"/>
        </w:rPr>
        <w:footnoteReference w:id="168"/>
      </w:r>
      <w:r w:rsidRPr="006A0EF9">
        <w:rPr>
          <w:rStyle w:val="normaltextrun"/>
          <w:rFonts w:ascii="Arial" w:hAnsi="Arial" w:cs="Arial"/>
          <w:color w:val="000000"/>
          <w:sz w:val="21"/>
          <w:szCs w:val="21"/>
        </w:rPr>
        <w:t xml:space="preserve"> </w:t>
      </w:r>
      <w:r w:rsidR="00D11F2F">
        <w:rPr>
          <w:rStyle w:val="normaltextrun"/>
          <w:rFonts w:ascii="Arial" w:hAnsi="Arial" w:cs="Arial"/>
          <w:color w:val="000000"/>
          <w:sz w:val="21"/>
          <w:szCs w:val="21"/>
        </w:rPr>
        <w:t>the ACMA</w:t>
      </w:r>
      <w:r w:rsidRPr="006A0EF9">
        <w:rPr>
          <w:rStyle w:val="normaltextrun"/>
          <w:rFonts w:ascii="Arial" w:hAnsi="Arial" w:cs="Arial"/>
          <w:color w:val="000000"/>
          <w:sz w:val="21"/>
          <w:szCs w:val="21"/>
        </w:rPr>
        <w:t xml:space="preserve">’s compliance </w:t>
      </w:r>
      <w:r w:rsidR="00AC270A" w:rsidRPr="006A0EF9">
        <w:rPr>
          <w:rStyle w:val="normaltextrun"/>
          <w:rFonts w:ascii="Arial" w:hAnsi="Arial" w:cs="Arial"/>
          <w:color w:val="000000"/>
          <w:sz w:val="21"/>
          <w:szCs w:val="21"/>
        </w:rPr>
        <w:t>p</w:t>
      </w:r>
      <w:r w:rsidRPr="006A0EF9">
        <w:rPr>
          <w:rStyle w:val="normaltextrun"/>
          <w:rFonts w:ascii="Arial" w:hAnsi="Arial" w:cs="Arial"/>
          <w:color w:val="000000"/>
          <w:sz w:val="21"/>
          <w:szCs w:val="21"/>
        </w:rPr>
        <w:t>riorities</w:t>
      </w:r>
      <w:r w:rsidR="00D8000C" w:rsidRPr="006A0EF9">
        <w:rPr>
          <w:rStyle w:val="normaltextrun"/>
          <w:rFonts w:ascii="Arial" w:hAnsi="Arial" w:cs="Arial"/>
          <w:color w:val="000000"/>
          <w:sz w:val="21"/>
          <w:szCs w:val="21"/>
        </w:rPr>
        <w:t xml:space="preserve"> include</w:t>
      </w:r>
      <w:r w:rsidR="00E82A2E" w:rsidRPr="006A0EF9">
        <w:rPr>
          <w:rStyle w:val="normaltextrun"/>
          <w:rFonts w:ascii="Arial" w:hAnsi="Arial" w:cs="Arial"/>
          <w:color w:val="000000"/>
          <w:sz w:val="21"/>
          <w:szCs w:val="21"/>
        </w:rPr>
        <w:t>d</w:t>
      </w:r>
      <w:r w:rsidR="00D8000C" w:rsidRPr="006A0EF9">
        <w:rPr>
          <w:rStyle w:val="normaltextrun"/>
          <w:rFonts w:ascii="Arial" w:hAnsi="Arial" w:cs="Arial"/>
          <w:color w:val="000000"/>
          <w:sz w:val="21"/>
          <w:szCs w:val="21"/>
        </w:rPr>
        <w:t>:</w:t>
      </w:r>
    </w:p>
    <w:p w14:paraId="403D4437" w14:textId="518B1D64" w:rsidR="003A4641" w:rsidRPr="006A0EF9" w:rsidRDefault="7E904894" w:rsidP="001019BA">
      <w:pPr>
        <w:pStyle w:val="Bullets"/>
        <w:numPr>
          <w:ilvl w:val="0"/>
          <w:numId w:val="66"/>
        </w:numPr>
        <w:spacing w:after="0"/>
        <w:rPr>
          <w:rFonts w:cs="Arial"/>
          <w:szCs w:val="21"/>
        </w:rPr>
      </w:pPr>
      <w:r w:rsidRPr="31481F43">
        <w:rPr>
          <w:rStyle w:val="normaltextrun"/>
          <w:rFonts w:cs="Arial"/>
          <w:color w:val="000000" w:themeColor="text1"/>
        </w:rPr>
        <w:t xml:space="preserve">the industry standards adopted to </w:t>
      </w:r>
      <w:r w:rsidR="09B0F29A" w:rsidRPr="31481F43">
        <w:rPr>
          <w:rStyle w:val="normaltextrun"/>
          <w:rFonts w:cs="Arial"/>
          <w:color w:val="000000" w:themeColor="text1"/>
        </w:rPr>
        <w:t>help consumers moving to the NBN</w:t>
      </w:r>
      <w:r w:rsidR="00E8572F">
        <w:rPr>
          <w:rStyle w:val="normaltextrun"/>
          <w:rFonts w:cs="Arial"/>
          <w:color w:val="000000" w:themeColor="text1"/>
        </w:rPr>
        <w:t>;</w:t>
      </w:r>
      <w:r w:rsidR="09B0F29A" w:rsidRPr="31481F43">
        <w:rPr>
          <w:rStyle w:val="eop"/>
          <w:rFonts w:cs="Arial"/>
          <w:color w:val="000000" w:themeColor="text1"/>
        </w:rPr>
        <w:t> </w:t>
      </w:r>
    </w:p>
    <w:p w14:paraId="096ED63D" w14:textId="6B2DA7CC" w:rsidR="00D8000C" w:rsidRPr="006A0EF9" w:rsidRDefault="4DE7862B" w:rsidP="001019BA">
      <w:pPr>
        <w:pStyle w:val="Bullets"/>
        <w:numPr>
          <w:ilvl w:val="0"/>
          <w:numId w:val="66"/>
        </w:numPr>
        <w:spacing w:after="0"/>
        <w:rPr>
          <w:rStyle w:val="eop"/>
          <w:rFonts w:cs="Arial"/>
          <w:szCs w:val="21"/>
        </w:rPr>
      </w:pPr>
      <w:r w:rsidRPr="31481F43">
        <w:rPr>
          <w:rStyle w:val="normaltextrun"/>
          <w:rFonts w:cs="Arial"/>
          <w:color w:val="000000" w:themeColor="text1"/>
        </w:rPr>
        <w:t xml:space="preserve">the </w:t>
      </w:r>
      <w:r w:rsidR="09B0F29A" w:rsidRPr="31481F43">
        <w:rPr>
          <w:rStyle w:val="normaltextrun"/>
          <w:rFonts w:cs="Arial"/>
          <w:color w:val="000000" w:themeColor="text1"/>
        </w:rPr>
        <w:t>consumer complaint</w:t>
      </w:r>
      <w:r w:rsidR="5004F745" w:rsidRPr="31481F43">
        <w:rPr>
          <w:rStyle w:val="normaltextrun"/>
          <w:rFonts w:cs="Arial"/>
          <w:color w:val="000000" w:themeColor="text1"/>
        </w:rPr>
        <w:t>s</w:t>
      </w:r>
      <w:r w:rsidR="7E904894" w:rsidRPr="31481F43">
        <w:rPr>
          <w:rStyle w:val="normaltextrun"/>
          <w:rFonts w:cs="Arial"/>
          <w:color w:val="000000" w:themeColor="text1"/>
        </w:rPr>
        <w:t xml:space="preserve"> handling </w:t>
      </w:r>
      <w:r w:rsidR="5004F745" w:rsidRPr="31481F43">
        <w:rPr>
          <w:rStyle w:val="normaltextrun"/>
          <w:rFonts w:cs="Arial"/>
          <w:color w:val="000000" w:themeColor="text1"/>
        </w:rPr>
        <w:t>industry standard</w:t>
      </w:r>
      <w:r w:rsidR="00E8572F">
        <w:rPr>
          <w:rStyle w:val="normaltextrun"/>
          <w:rFonts w:cs="Arial"/>
          <w:color w:val="000000" w:themeColor="text1"/>
        </w:rPr>
        <w:t>;</w:t>
      </w:r>
    </w:p>
    <w:p w14:paraId="7C1D96FB" w14:textId="086C72DC" w:rsidR="003A4641" w:rsidRPr="006A0EF9" w:rsidRDefault="7E904894" w:rsidP="001019BA">
      <w:pPr>
        <w:pStyle w:val="Bullets"/>
        <w:numPr>
          <w:ilvl w:val="0"/>
          <w:numId w:val="66"/>
        </w:numPr>
        <w:spacing w:after="0"/>
        <w:rPr>
          <w:rFonts w:cs="Arial"/>
        </w:rPr>
      </w:pPr>
      <w:r w:rsidRPr="31481F43">
        <w:rPr>
          <w:rStyle w:val="normaltextrun"/>
          <w:rFonts w:cs="Arial"/>
          <w:color w:val="000000" w:themeColor="text1"/>
        </w:rPr>
        <w:t xml:space="preserve">the </w:t>
      </w:r>
      <w:r w:rsidR="09B0F29A" w:rsidRPr="31481F43">
        <w:rPr>
          <w:rStyle w:val="normaltextrun"/>
          <w:rFonts w:cs="Arial"/>
          <w:color w:val="000000" w:themeColor="text1"/>
        </w:rPr>
        <w:t>credit assessment and financial hardship rules</w:t>
      </w:r>
      <w:r w:rsidRPr="31481F43">
        <w:rPr>
          <w:rStyle w:val="normaltextrun"/>
          <w:rFonts w:cs="Arial"/>
          <w:color w:val="000000" w:themeColor="text1"/>
        </w:rPr>
        <w:t xml:space="preserve"> in the </w:t>
      </w:r>
      <w:r w:rsidR="001E1374" w:rsidRPr="31481F43">
        <w:rPr>
          <w:rStyle w:val="normaltextrun"/>
          <w:rFonts w:cs="Arial"/>
          <w:color w:val="000000" w:themeColor="text1"/>
        </w:rPr>
        <w:t>new</w:t>
      </w:r>
      <w:r w:rsidR="001E1374" w:rsidRPr="7DD459B4">
        <w:rPr>
          <w:rStyle w:val="normaltextrun"/>
          <w:rFonts w:cs="Arial"/>
          <w:color w:val="000000" w:themeColor="text1"/>
        </w:rPr>
        <w:t xml:space="preserve"> fourth</w:t>
      </w:r>
      <w:r w:rsidR="0E31C6F6" w:rsidRPr="7DD459B4">
        <w:rPr>
          <w:rStyle w:val="normaltextrun"/>
          <w:rFonts w:cs="Arial"/>
          <w:color w:val="000000" w:themeColor="text1"/>
        </w:rPr>
        <w:t xml:space="preserve"> </w:t>
      </w:r>
      <w:r w:rsidR="5004F745" w:rsidRPr="31481F43">
        <w:rPr>
          <w:rStyle w:val="normaltextrun"/>
          <w:rFonts w:cs="Arial"/>
          <w:color w:val="000000" w:themeColor="text1"/>
        </w:rPr>
        <w:t xml:space="preserve">edition of the TCP </w:t>
      </w:r>
      <w:r w:rsidRPr="31481F43">
        <w:rPr>
          <w:rStyle w:val="normaltextrun"/>
          <w:rFonts w:cs="Arial"/>
          <w:color w:val="000000" w:themeColor="text1"/>
        </w:rPr>
        <w:t xml:space="preserve">Code registered by </w:t>
      </w:r>
      <w:r w:rsidR="00D11F2F">
        <w:rPr>
          <w:rStyle w:val="normaltextrun"/>
          <w:rFonts w:cs="Arial"/>
          <w:color w:val="000000" w:themeColor="text1"/>
        </w:rPr>
        <w:t>the ACMA</w:t>
      </w:r>
      <w:r w:rsidRPr="31481F43">
        <w:rPr>
          <w:rStyle w:val="normaltextrun"/>
          <w:rFonts w:cs="Arial"/>
          <w:color w:val="000000" w:themeColor="text1"/>
        </w:rPr>
        <w:t xml:space="preserve"> on 1 July 2019</w:t>
      </w:r>
      <w:r w:rsidR="09B0F29A" w:rsidRPr="31481F43">
        <w:rPr>
          <w:rStyle w:val="normaltextrun"/>
          <w:rFonts w:cs="Arial"/>
          <w:color w:val="000000" w:themeColor="text1"/>
        </w:rPr>
        <w:t>.</w:t>
      </w:r>
      <w:r w:rsidR="09B0F29A" w:rsidRPr="31481F43">
        <w:rPr>
          <w:rStyle w:val="eop"/>
          <w:rFonts w:cs="Arial"/>
          <w:color w:val="000000" w:themeColor="text1"/>
        </w:rPr>
        <w:t> </w:t>
      </w:r>
    </w:p>
    <w:p w14:paraId="16361D90" w14:textId="24E3B859" w:rsidR="00C84981" w:rsidRPr="006A0EF9" w:rsidRDefault="00E82A2E" w:rsidP="00D722FB">
      <w:pPr>
        <w:pStyle w:val="paragraph"/>
        <w:textAlignment w:val="baseline"/>
        <w:rPr>
          <w:rStyle w:val="eop"/>
          <w:rFonts w:ascii="Arial" w:hAnsi="Arial" w:cs="Arial"/>
          <w:color w:val="000000"/>
          <w:sz w:val="21"/>
          <w:szCs w:val="21"/>
        </w:rPr>
      </w:pPr>
      <w:r w:rsidRPr="006A0EF9">
        <w:rPr>
          <w:rStyle w:val="eop"/>
          <w:rFonts w:ascii="Arial" w:hAnsi="Arial" w:cs="Arial"/>
          <w:color w:val="000000"/>
          <w:sz w:val="21"/>
          <w:szCs w:val="21"/>
        </w:rPr>
        <w:t>In 2020-2021,</w:t>
      </w:r>
      <w:r w:rsidR="00116141" w:rsidRPr="006A0EF9">
        <w:rPr>
          <w:rStyle w:val="FootnoteReference"/>
          <w:rFonts w:ascii="Arial" w:hAnsi="Arial" w:cs="Arial"/>
          <w:color w:val="000000"/>
          <w:sz w:val="21"/>
          <w:szCs w:val="21"/>
        </w:rPr>
        <w:footnoteReference w:id="169"/>
      </w:r>
      <w:r w:rsidRPr="006A0EF9">
        <w:rPr>
          <w:rStyle w:val="eop"/>
          <w:rFonts w:ascii="Arial" w:hAnsi="Arial" w:cs="Arial"/>
          <w:color w:val="000000"/>
          <w:sz w:val="21"/>
          <w:szCs w:val="21"/>
        </w:rPr>
        <w:t xml:space="preserve"> </w:t>
      </w:r>
      <w:r w:rsidR="00D11F2F">
        <w:rPr>
          <w:rStyle w:val="eop"/>
          <w:rFonts w:ascii="Arial" w:hAnsi="Arial" w:cs="Arial"/>
          <w:color w:val="000000"/>
          <w:sz w:val="21"/>
          <w:szCs w:val="21"/>
        </w:rPr>
        <w:t>the ACMA</w:t>
      </w:r>
      <w:r w:rsidRPr="006A0EF9">
        <w:rPr>
          <w:rStyle w:val="eop"/>
          <w:rFonts w:ascii="Arial" w:hAnsi="Arial" w:cs="Arial"/>
          <w:color w:val="000000"/>
          <w:sz w:val="21"/>
          <w:szCs w:val="21"/>
        </w:rPr>
        <w:t>’s compliance priorities included</w:t>
      </w:r>
      <w:r w:rsidR="00C84981" w:rsidRPr="006A0EF9">
        <w:rPr>
          <w:rStyle w:val="eop"/>
          <w:rFonts w:ascii="Arial" w:hAnsi="Arial" w:cs="Arial"/>
          <w:color w:val="000000"/>
          <w:sz w:val="21"/>
          <w:szCs w:val="21"/>
        </w:rPr>
        <w:t xml:space="preserve">: </w:t>
      </w:r>
    </w:p>
    <w:p w14:paraId="3518D2E3" w14:textId="4E4C7DDC" w:rsidR="00C84981" w:rsidRPr="006A0EF9" w:rsidRDefault="00713895" w:rsidP="001019BA">
      <w:pPr>
        <w:pStyle w:val="paragraph"/>
        <w:numPr>
          <w:ilvl w:val="0"/>
          <w:numId w:val="32"/>
        </w:numPr>
        <w:spacing w:line="276" w:lineRule="auto"/>
        <w:ind w:left="714" w:hanging="357"/>
        <w:textAlignment w:val="baseline"/>
        <w:rPr>
          <w:rStyle w:val="eop"/>
          <w:rFonts w:ascii="Arial" w:hAnsi="Arial" w:cs="Arial"/>
          <w:sz w:val="21"/>
          <w:szCs w:val="21"/>
        </w:rPr>
      </w:pPr>
      <w:r w:rsidRPr="006A0EF9">
        <w:rPr>
          <w:rStyle w:val="eop"/>
          <w:rFonts w:ascii="Arial" w:hAnsi="Arial" w:cs="Arial"/>
          <w:color w:val="000000"/>
          <w:sz w:val="21"/>
          <w:szCs w:val="21"/>
        </w:rPr>
        <w:t>‘</w:t>
      </w:r>
      <w:r w:rsidRPr="006A0EF9">
        <w:rPr>
          <w:rStyle w:val="normaltextrun"/>
          <w:rFonts w:ascii="Arial" w:hAnsi="Arial" w:cs="Arial"/>
          <w:color w:val="000000"/>
          <w:sz w:val="21"/>
          <w:szCs w:val="21"/>
        </w:rPr>
        <w:t xml:space="preserve">monitoring how telcos follow [the TCP </w:t>
      </w:r>
      <w:r w:rsidR="00E8572F">
        <w:rPr>
          <w:rStyle w:val="normaltextrun"/>
          <w:rFonts w:ascii="Arial" w:hAnsi="Arial" w:cs="Arial"/>
          <w:color w:val="000000"/>
          <w:sz w:val="21"/>
          <w:szCs w:val="21"/>
        </w:rPr>
        <w:t>C</w:t>
      </w:r>
      <w:r w:rsidRPr="006A0EF9">
        <w:rPr>
          <w:rStyle w:val="normaltextrun"/>
          <w:rFonts w:ascii="Arial" w:hAnsi="Arial" w:cs="Arial"/>
          <w:color w:val="000000"/>
          <w:sz w:val="21"/>
          <w:szCs w:val="21"/>
        </w:rPr>
        <w:t>ode rules</w:t>
      </w:r>
      <w:r w:rsidR="00116141" w:rsidRPr="006A0EF9">
        <w:rPr>
          <w:rStyle w:val="normaltextrun"/>
          <w:rFonts w:ascii="Arial" w:hAnsi="Arial" w:cs="Arial"/>
          <w:color w:val="000000"/>
          <w:sz w:val="21"/>
          <w:szCs w:val="21"/>
        </w:rPr>
        <w:t xml:space="preserve">, </w:t>
      </w:r>
      <w:r w:rsidRPr="006A0EF9">
        <w:rPr>
          <w:rStyle w:val="normaltextrun"/>
          <w:rFonts w:ascii="Arial" w:hAnsi="Arial" w:cs="Arial"/>
          <w:color w:val="000000"/>
          <w:sz w:val="21"/>
          <w:szCs w:val="21"/>
        </w:rPr>
        <w:t xml:space="preserve">including </w:t>
      </w:r>
      <w:r w:rsidR="00116141" w:rsidRPr="006A0EF9">
        <w:rPr>
          <w:rStyle w:val="normaltextrun"/>
          <w:rFonts w:ascii="Arial" w:hAnsi="Arial" w:cs="Arial"/>
          <w:color w:val="000000"/>
          <w:sz w:val="21"/>
          <w:szCs w:val="21"/>
        </w:rPr>
        <w:t>selling, credit assessment and consumer financial hardship</w:t>
      </w:r>
      <w:r w:rsidRPr="006A0EF9">
        <w:rPr>
          <w:rStyle w:val="normaltextrun"/>
          <w:rFonts w:ascii="Arial" w:hAnsi="Arial" w:cs="Arial"/>
          <w:color w:val="000000"/>
          <w:sz w:val="21"/>
          <w:szCs w:val="21"/>
        </w:rPr>
        <w:t>], with a focus on how they sell to and interact with disadvantaged and vulnerable people</w:t>
      </w:r>
      <w:r w:rsidR="00116141" w:rsidRPr="006A0EF9">
        <w:rPr>
          <w:rStyle w:val="normaltextrun"/>
          <w:rFonts w:ascii="Arial" w:hAnsi="Arial" w:cs="Arial"/>
          <w:color w:val="000000"/>
          <w:sz w:val="21"/>
          <w:szCs w:val="21"/>
        </w:rPr>
        <w:t>’</w:t>
      </w:r>
      <w:r w:rsidR="00E8572F">
        <w:rPr>
          <w:rStyle w:val="normaltextrun"/>
          <w:rFonts w:ascii="Arial" w:hAnsi="Arial" w:cs="Arial"/>
          <w:color w:val="000000"/>
          <w:sz w:val="21"/>
          <w:szCs w:val="21"/>
        </w:rPr>
        <w:t>;</w:t>
      </w:r>
      <w:r w:rsidR="00C84981" w:rsidRPr="006A0EF9">
        <w:rPr>
          <w:rStyle w:val="normaltextrun"/>
          <w:rFonts w:ascii="Arial" w:hAnsi="Arial" w:cs="Arial"/>
          <w:color w:val="000000"/>
          <w:sz w:val="21"/>
          <w:szCs w:val="21"/>
        </w:rPr>
        <w:t xml:space="preserve"> </w:t>
      </w:r>
    </w:p>
    <w:p w14:paraId="145F2370" w14:textId="15CECDC1" w:rsidR="00E82A2E" w:rsidRPr="006A0EF9" w:rsidRDefault="00116141" w:rsidP="001019BA">
      <w:pPr>
        <w:pStyle w:val="paragraph"/>
        <w:numPr>
          <w:ilvl w:val="0"/>
          <w:numId w:val="32"/>
        </w:numPr>
        <w:spacing w:line="276" w:lineRule="auto"/>
        <w:textAlignment w:val="baseline"/>
        <w:rPr>
          <w:rFonts w:ascii="Arial" w:hAnsi="Arial" w:cs="Arial"/>
          <w:sz w:val="21"/>
          <w:szCs w:val="21"/>
        </w:rPr>
      </w:pPr>
      <w:r w:rsidRPr="006A0EF9">
        <w:rPr>
          <w:rStyle w:val="eop"/>
          <w:rFonts w:ascii="Arial" w:hAnsi="Arial" w:cs="Arial"/>
          <w:color w:val="000000"/>
          <w:sz w:val="21"/>
          <w:szCs w:val="21"/>
        </w:rPr>
        <w:t>‘conduct</w:t>
      </w:r>
      <w:r w:rsidR="00C84981" w:rsidRPr="006A0EF9">
        <w:rPr>
          <w:rStyle w:val="eop"/>
          <w:rFonts w:ascii="Arial" w:hAnsi="Arial" w:cs="Arial"/>
          <w:color w:val="000000"/>
          <w:sz w:val="21"/>
          <w:szCs w:val="21"/>
        </w:rPr>
        <w:t>[</w:t>
      </w:r>
      <w:proofErr w:type="spellStart"/>
      <w:r w:rsidR="00C84981" w:rsidRPr="006A0EF9">
        <w:rPr>
          <w:rStyle w:val="eop"/>
          <w:rFonts w:ascii="Arial" w:hAnsi="Arial" w:cs="Arial"/>
          <w:color w:val="000000"/>
          <w:sz w:val="21"/>
          <w:szCs w:val="21"/>
        </w:rPr>
        <w:t>ing</w:t>
      </w:r>
      <w:proofErr w:type="spellEnd"/>
      <w:r w:rsidR="00C84981" w:rsidRPr="006A0EF9">
        <w:rPr>
          <w:rStyle w:val="eop"/>
          <w:rFonts w:ascii="Arial" w:hAnsi="Arial" w:cs="Arial"/>
          <w:color w:val="000000"/>
          <w:sz w:val="21"/>
          <w:szCs w:val="21"/>
        </w:rPr>
        <w:t xml:space="preserve">] </w:t>
      </w:r>
      <w:r w:rsidRPr="006A0EF9">
        <w:rPr>
          <w:rStyle w:val="eop"/>
          <w:rFonts w:ascii="Arial" w:hAnsi="Arial" w:cs="Arial"/>
          <w:color w:val="000000"/>
          <w:sz w:val="21"/>
          <w:szCs w:val="21"/>
        </w:rPr>
        <w:t xml:space="preserve">audits, </w:t>
      </w:r>
      <w:proofErr w:type="spellStart"/>
      <w:r w:rsidRPr="006A0EF9">
        <w:rPr>
          <w:rStyle w:val="eop"/>
          <w:rFonts w:ascii="Arial" w:hAnsi="Arial" w:cs="Arial"/>
          <w:color w:val="000000"/>
          <w:sz w:val="21"/>
          <w:szCs w:val="21"/>
        </w:rPr>
        <w:t>tak</w:t>
      </w:r>
      <w:proofErr w:type="spellEnd"/>
      <w:r w:rsidR="00C84981" w:rsidRPr="006A0EF9">
        <w:rPr>
          <w:rStyle w:val="eop"/>
          <w:rFonts w:ascii="Arial" w:hAnsi="Arial" w:cs="Arial"/>
          <w:color w:val="000000"/>
          <w:sz w:val="21"/>
          <w:szCs w:val="21"/>
        </w:rPr>
        <w:t>[</w:t>
      </w:r>
      <w:proofErr w:type="spellStart"/>
      <w:r w:rsidR="00C84981" w:rsidRPr="006A0EF9">
        <w:rPr>
          <w:rStyle w:val="eop"/>
          <w:rFonts w:ascii="Arial" w:hAnsi="Arial" w:cs="Arial"/>
          <w:color w:val="000000"/>
          <w:sz w:val="21"/>
          <w:szCs w:val="21"/>
        </w:rPr>
        <w:t>ing</w:t>
      </w:r>
      <w:proofErr w:type="spellEnd"/>
      <w:r w:rsidR="00C84981" w:rsidRPr="006A0EF9">
        <w:rPr>
          <w:rStyle w:val="eop"/>
          <w:rFonts w:ascii="Arial" w:hAnsi="Arial" w:cs="Arial"/>
          <w:color w:val="000000"/>
          <w:sz w:val="21"/>
          <w:szCs w:val="21"/>
        </w:rPr>
        <w:t>]</w:t>
      </w:r>
      <w:r w:rsidRPr="006A0EF9">
        <w:rPr>
          <w:rStyle w:val="eop"/>
          <w:rFonts w:ascii="Arial" w:hAnsi="Arial" w:cs="Arial"/>
          <w:color w:val="000000"/>
          <w:sz w:val="21"/>
          <w:szCs w:val="21"/>
        </w:rPr>
        <w:t xml:space="preserve"> enforcement action and </w:t>
      </w:r>
      <w:proofErr w:type="spellStart"/>
      <w:r w:rsidRPr="006A0EF9">
        <w:rPr>
          <w:rStyle w:val="eop"/>
          <w:rFonts w:ascii="Arial" w:hAnsi="Arial" w:cs="Arial"/>
          <w:color w:val="000000"/>
          <w:sz w:val="21"/>
          <w:szCs w:val="21"/>
        </w:rPr>
        <w:t>guid</w:t>
      </w:r>
      <w:proofErr w:type="spellEnd"/>
      <w:r w:rsidR="00C84981" w:rsidRPr="006A0EF9">
        <w:rPr>
          <w:rStyle w:val="eop"/>
          <w:rFonts w:ascii="Arial" w:hAnsi="Arial" w:cs="Arial"/>
          <w:color w:val="000000"/>
          <w:sz w:val="21"/>
          <w:szCs w:val="21"/>
        </w:rPr>
        <w:t>[</w:t>
      </w:r>
      <w:proofErr w:type="spellStart"/>
      <w:r w:rsidR="00C84981" w:rsidRPr="006A0EF9">
        <w:rPr>
          <w:rStyle w:val="eop"/>
          <w:rFonts w:ascii="Arial" w:hAnsi="Arial" w:cs="Arial"/>
          <w:color w:val="000000"/>
          <w:sz w:val="21"/>
          <w:szCs w:val="21"/>
        </w:rPr>
        <w:t>ing</w:t>
      </w:r>
      <w:proofErr w:type="spellEnd"/>
      <w:r w:rsidR="00C84981" w:rsidRPr="006A0EF9">
        <w:rPr>
          <w:rStyle w:val="eop"/>
          <w:rFonts w:ascii="Arial" w:hAnsi="Arial" w:cs="Arial"/>
          <w:color w:val="000000"/>
          <w:sz w:val="21"/>
          <w:szCs w:val="21"/>
        </w:rPr>
        <w:t>]</w:t>
      </w:r>
      <w:r w:rsidRPr="006A0EF9">
        <w:rPr>
          <w:rStyle w:val="eop"/>
          <w:rFonts w:ascii="Arial" w:hAnsi="Arial" w:cs="Arial"/>
          <w:color w:val="000000"/>
          <w:sz w:val="21"/>
          <w:szCs w:val="21"/>
        </w:rPr>
        <w:t xml:space="preserve"> telco providers to follow the standards it adopted to improve the </w:t>
      </w:r>
      <w:r w:rsidR="00D722FB" w:rsidRPr="006A0EF9">
        <w:rPr>
          <w:rStyle w:val="eop"/>
          <w:rFonts w:ascii="Arial" w:hAnsi="Arial" w:cs="Arial"/>
          <w:color w:val="000000"/>
          <w:sz w:val="21"/>
          <w:szCs w:val="21"/>
        </w:rPr>
        <w:t>process for individuals and small businesses of moving to the NBN.</w:t>
      </w:r>
      <w:r w:rsidR="00C84981" w:rsidRPr="006A0EF9">
        <w:rPr>
          <w:rStyle w:val="eop"/>
          <w:rFonts w:ascii="Arial" w:hAnsi="Arial" w:cs="Arial"/>
          <w:color w:val="000000"/>
          <w:sz w:val="21"/>
          <w:szCs w:val="21"/>
        </w:rPr>
        <w:t>’</w:t>
      </w:r>
    </w:p>
    <w:p w14:paraId="20DF326B" w14:textId="3301612D" w:rsidR="00116141" w:rsidRPr="006A0EF9" w:rsidRDefault="00116141" w:rsidP="00D8000C">
      <w:pPr>
        <w:pStyle w:val="paragraph"/>
        <w:textAlignment w:val="baseline"/>
        <w:rPr>
          <w:rFonts w:ascii="Arial" w:hAnsi="Arial" w:cs="Arial"/>
          <w:sz w:val="21"/>
          <w:szCs w:val="21"/>
        </w:rPr>
      </w:pPr>
      <w:r w:rsidRPr="006A0EF9">
        <w:rPr>
          <w:rFonts w:ascii="Arial" w:hAnsi="Arial" w:cs="Arial"/>
          <w:sz w:val="21"/>
          <w:szCs w:val="21"/>
        </w:rPr>
        <w:t>In 2021-22,</w:t>
      </w:r>
      <w:r w:rsidR="00D722FB" w:rsidRPr="006A0EF9">
        <w:rPr>
          <w:rStyle w:val="FootnoteReference"/>
          <w:rFonts w:ascii="Arial" w:hAnsi="Arial" w:cs="Arial"/>
          <w:sz w:val="21"/>
          <w:szCs w:val="21"/>
        </w:rPr>
        <w:footnoteReference w:id="170"/>
      </w:r>
      <w:r w:rsidRPr="006A0EF9">
        <w:rPr>
          <w:rFonts w:ascii="Arial" w:hAnsi="Arial" w:cs="Arial"/>
          <w:sz w:val="21"/>
          <w:szCs w:val="21"/>
        </w:rPr>
        <w:t xml:space="preserve"> </w:t>
      </w:r>
      <w:r w:rsidR="00D11F2F">
        <w:rPr>
          <w:rFonts w:ascii="Arial" w:hAnsi="Arial" w:cs="Arial"/>
          <w:sz w:val="21"/>
          <w:szCs w:val="21"/>
        </w:rPr>
        <w:t>the ACMA</w:t>
      </w:r>
      <w:r w:rsidR="00D722FB" w:rsidRPr="006A0EF9">
        <w:rPr>
          <w:rFonts w:ascii="Arial" w:hAnsi="Arial" w:cs="Arial"/>
          <w:sz w:val="21"/>
          <w:szCs w:val="21"/>
        </w:rPr>
        <w:t>’s compliance priorities included:</w:t>
      </w:r>
    </w:p>
    <w:p w14:paraId="2D9DE539" w14:textId="44F4CFED" w:rsidR="00F90B33" w:rsidRPr="006A0EF9" w:rsidRDefault="00C84981" w:rsidP="001019BA">
      <w:pPr>
        <w:pStyle w:val="paragraph"/>
        <w:numPr>
          <w:ilvl w:val="0"/>
          <w:numId w:val="33"/>
        </w:numPr>
        <w:spacing w:line="276" w:lineRule="auto"/>
        <w:textAlignment w:val="baseline"/>
        <w:rPr>
          <w:rStyle w:val="normaltextrun"/>
          <w:rFonts w:ascii="Arial" w:hAnsi="Arial" w:cs="Arial"/>
          <w:sz w:val="21"/>
          <w:szCs w:val="21"/>
        </w:rPr>
      </w:pPr>
      <w:r w:rsidRPr="006A0EF9">
        <w:rPr>
          <w:rStyle w:val="normaltextrun"/>
          <w:rFonts w:ascii="Arial" w:hAnsi="Arial" w:cs="Arial"/>
          <w:color w:val="000000"/>
          <w:sz w:val="21"/>
          <w:szCs w:val="21"/>
        </w:rPr>
        <w:t>p</w:t>
      </w:r>
      <w:r w:rsidR="00DC7893" w:rsidRPr="006A0EF9">
        <w:rPr>
          <w:rStyle w:val="normaltextrun"/>
          <w:rFonts w:ascii="Arial" w:hAnsi="Arial" w:cs="Arial"/>
          <w:color w:val="000000"/>
          <w:sz w:val="21"/>
          <w:szCs w:val="21"/>
        </w:rPr>
        <w:t xml:space="preserve">rotecting </w:t>
      </w:r>
      <w:r w:rsidRPr="006A0EF9">
        <w:rPr>
          <w:rStyle w:val="normaltextrun"/>
          <w:rFonts w:ascii="Arial" w:hAnsi="Arial" w:cs="Arial"/>
          <w:color w:val="000000"/>
          <w:sz w:val="21"/>
          <w:szCs w:val="21"/>
        </w:rPr>
        <w:t>v</w:t>
      </w:r>
      <w:r w:rsidR="00DC7893" w:rsidRPr="006A0EF9">
        <w:rPr>
          <w:rStyle w:val="normaltextrun"/>
          <w:rFonts w:ascii="Arial" w:hAnsi="Arial" w:cs="Arial"/>
          <w:color w:val="000000"/>
          <w:sz w:val="21"/>
          <w:szCs w:val="21"/>
        </w:rPr>
        <w:t xml:space="preserve">ulnerable </w:t>
      </w:r>
      <w:r w:rsidR="00F90B33" w:rsidRPr="006A0EF9">
        <w:rPr>
          <w:rStyle w:val="normaltextrun"/>
          <w:rFonts w:ascii="Arial" w:hAnsi="Arial" w:cs="Arial"/>
          <w:color w:val="000000"/>
          <w:sz w:val="21"/>
          <w:szCs w:val="21"/>
        </w:rPr>
        <w:t xml:space="preserve">telecommunications </w:t>
      </w:r>
      <w:r w:rsidRPr="006A0EF9">
        <w:rPr>
          <w:rStyle w:val="normaltextrun"/>
          <w:rFonts w:ascii="Arial" w:hAnsi="Arial" w:cs="Arial"/>
          <w:color w:val="000000"/>
          <w:sz w:val="21"/>
          <w:szCs w:val="21"/>
        </w:rPr>
        <w:t>c</w:t>
      </w:r>
      <w:r w:rsidR="00DC7893" w:rsidRPr="006A0EF9">
        <w:rPr>
          <w:rStyle w:val="normaltextrun"/>
          <w:rFonts w:ascii="Arial" w:hAnsi="Arial" w:cs="Arial"/>
          <w:color w:val="000000"/>
          <w:sz w:val="21"/>
          <w:szCs w:val="21"/>
        </w:rPr>
        <w:t>ustomers</w:t>
      </w:r>
      <w:r w:rsidRPr="006A0EF9">
        <w:rPr>
          <w:rStyle w:val="normaltextrun"/>
          <w:rFonts w:ascii="Arial" w:hAnsi="Arial" w:cs="Arial"/>
          <w:color w:val="000000"/>
          <w:sz w:val="21"/>
          <w:szCs w:val="21"/>
        </w:rPr>
        <w:t xml:space="preserve"> </w:t>
      </w:r>
      <w:r w:rsidR="00F90B33" w:rsidRPr="006A0EF9">
        <w:rPr>
          <w:rStyle w:val="normaltextrun"/>
          <w:rFonts w:ascii="Arial" w:hAnsi="Arial" w:cs="Arial"/>
          <w:color w:val="000000"/>
          <w:sz w:val="21"/>
          <w:szCs w:val="21"/>
        </w:rPr>
        <w:t xml:space="preserve">(eg, </w:t>
      </w:r>
      <w:r w:rsidRPr="006A0EF9">
        <w:rPr>
          <w:rStyle w:val="normaltextrun"/>
          <w:rFonts w:ascii="Arial" w:hAnsi="Arial" w:cs="Arial"/>
          <w:color w:val="000000"/>
          <w:sz w:val="21"/>
          <w:szCs w:val="21"/>
        </w:rPr>
        <w:t xml:space="preserve">by focusing on </w:t>
      </w:r>
      <w:r w:rsidR="00F90B33" w:rsidRPr="006A0EF9">
        <w:rPr>
          <w:rStyle w:val="normaltextrun"/>
          <w:rFonts w:ascii="Arial" w:hAnsi="Arial" w:cs="Arial"/>
          <w:color w:val="000000"/>
          <w:sz w:val="21"/>
          <w:szCs w:val="21"/>
        </w:rPr>
        <w:t>industry compliance with the TCP code rules and assessing if they provide adequate protection)</w:t>
      </w:r>
      <w:r w:rsidR="00E8572F">
        <w:rPr>
          <w:rStyle w:val="normaltextrun"/>
          <w:rFonts w:ascii="Arial" w:hAnsi="Arial" w:cs="Arial"/>
          <w:color w:val="000000"/>
          <w:sz w:val="21"/>
          <w:szCs w:val="21"/>
        </w:rPr>
        <w:t>;</w:t>
      </w:r>
      <w:r w:rsidR="00F90B33" w:rsidRPr="006A0EF9">
        <w:rPr>
          <w:rStyle w:val="normaltextrun"/>
          <w:rFonts w:ascii="Arial" w:hAnsi="Arial" w:cs="Arial"/>
          <w:color w:val="000000"/>
          <w:sz w:val="21"/>
          <w:szCs w:val="21"/>
        </w:rPr>
        <w:t xml:space="preserve"> </w:t>
      </w:r>
    </w:p>
    <w:p w14:paraId="1D6F97F2" w14:textId="7ED99DF8" w:rsidR="00DC7893" w:rsidRPr="006A0EF9" w:rsidRDefault="00F90B33" w:rsidP="001019BA">
      <w:pPr>
        <w:pStyle w:val="paragraph"/>
        <w:numPr>
          <w:ilvl w:val="0"/>
          <w:numId w:val="33"/>
        </w:numPr>
        <w:spacing w:line="276" w:lineRule="auto"/>
        <w:textAlignment w:val="baseline"/>
        <w:rPr>
          <w:rStyle w:val="eop"/>
          <w:rFonts w:ascii="Arial" w:hAnsi="Arial" w:cs="Arial"/>
          <w:sz w:val="21"/>
          <w:szCs w:val="21"/>
        </w:rPr>
      </w:pPr>
      <w:r w:rsidRPr="006A0EF9">
        <w:rPr>
          <w:rStyle w:val="normaltextrun"/>
          <w:rFonts w:ascii="Arial" w:hAnsi="Arial" w:cs="Arial"/>
          <w:color w:val="000000"/>
          <w:sz w:val="21"/>
          <w:szCs w:val="21"/>
        </w:rPr>
        <w:t>c</w:t>
      </w:r>
      <w:r w:rsidR="00DC7893" w:rsidRPr="006A0EF9">
        <w:rPr>
          <w:rStyle w:val="normaltextrun"/>
          <w:rFonts w:ascii="Arial" w:hAnsi="Arial" w:cs="Arial"/>
          <w:color w:val="000000"/>
          <w:sz w:val="21"/>
          <w:szCs w:val="21"/>
        </w:rPr>
        <w:t>omplaint</w:t>
      </w:r>
      <w:r w:rsidRPr="006A0EF9">
        <w:rPr>
          <w:rStyle w:val="normaltextrun"/>
          <w:rFonts w:ascii="Arial" w:hAnsi="Arial" w:cs="Arial"/>
          <w:color w:val="000000"/>
          <w:sz w:val="21"/>
          <w:szCs w:val="21"/>
        </w:rPr>
        <w:t>s</w:t>
      </w:r>
      <w:r w:rsidR="00DC7893" w:rsidRPr="006A0EF9">
        <w:rPr>
          <w:rStyle w:val="normaltextrun"/>
          <w:rFonts w:ascii="Arial" w:hAnsi="Arial" w:cs="Arial"/>
          <w:color w:val="000000"/>
          <w:sz w:val="21"/>
          <w:szCs w:val="21"/>
        </w:rPr>
        <w:t>-</w:t>
      </w:r>
      <w:r w:rsidRPr="006A0EF9">
        <w:rPr>
          <w:rStyle w:val="normaltextrun"/>
          <w:rFonts w:ascii="Arial" w:hAnsi="Arial" w:cs="Arial"/>
          <w:color w:val="000000"/>
          <w:sz w:val="21"/>
          <w:szCs w:val="21"/>
        </w:rPr>
        <w:t>h</w:t>
      </w:r>
      <w:r w:rsidR="00DC7893" w:rsidRPr="006A0EF9">
        <w:rPr>
          <w:rStyle w:val="normaltextrun"/>
          <w:rFonts w:ascii="Arial" w:hAnsi="Arial" w:cs="Arial"/>
          <w:color w:val="000000"/>
          <w:sz w:val="21"/>
          <w:szCs w:val="21"/>
        </w:rPr>
        <w:t xml:space="preserve">andling for </w:t>
      </w:r>
      <w:r w:rsidRPr="006A0EF9">
        <w:rPr>
          <w:rStyle w:val="normaltextrun"/>
          <w:rFonts w:ascii="Arial" w:hAnsi="Arial" w:cs="Arial"/>
          <w:color w:val="000000"/>
          <w:sz w:val="21"/>
          <w:szCs w:val="21"/>
        </w:rPr>
        <w:t>s</w:t>
      </w:r>
      <w:r w:rsidR="00DC7893" w:rsidRPr="006A0EF9">
        <w:rPr>
          <w:rStyle w:val="normaltextrun"/>
          <w:rFonts w:ascii="Arial" w:hAnsi="Arial" w:cs="Arial"/>
          <w:color w:val="000000"/>
          <w:sz w:val="21"/>
          <w:szCs w:val="21"/>
        </w:rPr>
        <w:t xml:space="preserve">mall </w:t>
      </w:r>
      <w:r w:rsidRPr="006A0EF9">
        <w:rPr>
          <w:rStyle w:val="normaltextrun"/>
          <w:rFonts w:ascii="Arial" w:hAnsi="Arial" w:cs="Arial"/>
          <w:color w:val="000000"/>
          <w:sz w:val="21"/>
          <w:szCs w:val="21"/>
        </w:rPr>
        <w:t>b</w:t>
      </w:r>
      <w:r w:rsidR="00DC7893" w:rsidRPr="006A0EF9">
        <w:rPr>
          <w:rStyle w:val="normaltextrun"/>
          <w:rFonts w:ascii="Arial" w:hAnsi="Arial" w:cs="Arial"/>
          <w:color w:val="000000"/>
          <w:sz w:val="21"/>
          <w:szCs w:val="21"/>
        </w:rPr>
        <w:t>usinesses </w:t>
      </w:r>
      <w:r w:rsidRPr="006A0EF9">
        <w:rPr>
          <w:rStyle w:val="normaltextrun"/>
          <w:rFonts w:ascii="Arial" w:hAnsi="Arial" w:cs="Arial"/>
          <w:color w:val="000000"/>
          <w:sz w:val="21"/>
          <w:szCs w:val="21"/>
        </w:rPr>
        <w:t>customers</w:t>
      </w:r>
      <w:r w:rsidR="00E8572F">
        <w:rPr>
          <w:rStyle w:val="normaltextrun"/>
          <w:rFonts w:ascii="Arial" w:hAnsi="Arial" w:cs="Arial"/>
          <w:color w:val="000000"/>
          <w:sz w:val="21"/>
          <w:szCs w:val="21"/>
        </w:rPr>
        <w:t>;</w:t>
      </w:r>
    </w:p>
    <w:p w14:paraId="5D24E964" w14:textId="6BEB3496" w:rsidR="007A3725" w:rsidRPr="006A0EF9" w:rsidRDefault="002E3C72" w:rsidP="001019BA">
      <w:pPr>
        <w:pStyle w:val="paragraph"/>
        <w:numPr>
          <w:ilvl w:val="0"/>
          <w:numId w:val="33"/>
        </w:numPr>
        <w:spacing w:line="276" w:lineRule="auto"/>
        <w:textAlignment w:val="baseline"/>
        <w:rPr>
          <w:rStyle w:val="eop"/>
          <w:rFonts w:ascii="Arial" w:hAnsi="Arial" w:cs="Arial"/>
          <w:sz w:val="21"/>
          <w:szCs w:val="21"/>
        </w:rPr>
      </w:pPr>
      <w:r w:rsidRPr="006A0EF9">
        <w:rPr>
          <w:rStyle w:val="eop"/>
          <w:rFonts w:ascii="Arial" w:hAnsi="Arial" w:cs="Arial"/>
          <w:color w:val="000000"/>
          <w:sz w:val="21"/>
          <w:szCs w:val="21"/>
        </w:rPr>
        <w:t>phone scams</w:t>
      </w:r>
      <w:r w:rsidR="007F4C02" w:rsidRPr="006A0EF9">
        <w:rPr>
          <w:rStyle w:val="eop"/>
          <w:rFonts w:ascii="Arial" w:hAnsi="Arial" w:cs="Arial"/>
          <w:color w:val="000000"/>
          <w:sz w:val="21"/>
          <w:szCs w:val="21"/>
        </w:rPr>
        <w:t xml:space="preserve"> (eg, by enforcing the</w:t>
      </w:r>
      <w:r w:rsidR="00330980" w:rsidRPr="006A0EF9">
        <w:rPr>
          <w:rStyle w:val="eop"/>
          <w:rFonts w:ascii="Arial" w:hAnsi="Arial" w:cs="Arial"/>
          <w:color w:val="000000"/>
          <w:sz w:val="21"/>
          <w:szCs w:val="21"/>
        </w:rPr>
        <w:t xml:space="preserve"> Reducing Scam Calls and Scam SMS Code registered by </w:t>
      </w:r>
      <w:r w:rsidR="00D11F2F">
        <w:rPr>
          <w:rStyle w:val="eop"/>
          <w:rFonts w:ascii="Arial" w:hAnsi="Arial" w:cs="Arial"/>
          <w:color w:val="000000"/>
          <w:sz w:val="21"/>
          <w:szCs w:val="21"/>
        </w:rPr>
        <w:t>the ACMA</w:t>
      </w:r>
      <w:r w:rsidR="00330980" w:rsidRPr="006A0EF9">
        <w:rPr>
          <w:rStyle w:val="eop"/>
          <w:rFonts w:ascii="Arial" w:hAnsi="Arial" w:cs="Arial"/>
          <w:color w:val="000000"/>
          <w:sz w:val="21"/>
          <w:szCs w:val="21"/>
        </w:rPr>
        <w:t xml:space="preserve"> on </w:t>
      </w:r>
      <w:r w:rsidR="007A3725" w:rsidRPr="006A0EF9">
        <w:rPr>
          <w:rStyle w:val="eop"/>
          <w:rFonts w:ascii="Arial" w:hAnsi="Arial" w:cs="Arial"/>
          <w:color w:val="000000"/>
          <w:sz w:val="21"/>
          <w:szCs w:val="21"/>
        </w:rPr>
        <w:t>2 December 2020 and evaluating if amendments to the rules are required).</w:t>
      </w:r>
    </w:p>
    <w:p w14:paraId="6C1A904B" w14:textId="61B078F7" w:rsidR="007A3725" w:rsidRPr="006A0EF9" w:rsidRDefault="007A3725" w:rsidP="007A3725">
      <w:pPr>
        <w:pStyle w:val="paragraph"/>
        <w:textAlignment w:val="baseline"/>
        <w:rPr>
          <w:rStyle w:val="eop"/>
          <w:rFonts w:ascii="Arial" w:hAnsi="Arial" w:cs="Arial"/>
          <w:sz w:val="21"/>
          <w:szCs w:val="21"/>
        </w:rPr>
      </w:pPr>
      <w:r w:rsidRPr="006A0EF9">
        <w:rPr>
          <w:rStyle w:val="eop"/>
          <w:rFonts w:ascii="Arial" w:hAnsi="Arial" w:cs="Arial"/>
          <w:sz w:val="21"/>
          <w:szCs w:val="21"/>
        </w:rPr>
        <w:t>In 2022-23,</w:t>
      </w:r>
      <w:r w:rsidRPr="006A0EF9">
        <w:rPr>
          <w:rStyle w:val="FootnoteReference"/>
          <w:rFonts w:ascii="Arial" w:hAnsi="Arial" w:cs="Arial"/>
          <w:sz w:val="21"/>
          <w:szCs w:val="21"/>
        </w:rPr>
        <w:footnoteReference w:id="171"/>
      </w:r>
      <w:r w:rsidRPr="006A0EF9">
        <w:rPr>
          <w:rStyle w:val="eop"/>
          <w:rFonts w:ascii="Arial" w:hAnsi="Arial" w:cs="Arial"/>
          <w:sz w:val="21"/>
          <w:szCs w:val="21"/>
        </w:rPr>
        <w:t xml:space="preserve"> </w:t>
      </w:r>
      <w:r w:rsidR="00D11F2F">
        <w:rPr>
          <w:rStyle w:val="eop"/>
          <w:rFonts w:ascii="Arial" w:hAnsi="Arial" w:cs="Arial"/>
          <w:sz w:val="21"/>
          <w:szCs w:val="21"/>
        </w:rPr>
        <w:t>the ACMA</w:t>
      </w:r>
      <w:r w:rsidRPr="006A0EF9">
        <w:rPr>
          <w:rStyle w:val="eop"/>
          <w:rFonts w:ascii="Arial" w:hAnsi="Arial" w:cs="Arial"/>
          <w:sz w:val="21"/>
          <w:szCs w:val="21"/>
        </w:rPr>
        <w:t xml:space="preserve">’s </w:t>
      </w:r>
      <w:r w:rsidR="007D7F82" w:rsidRPr="006A0EF9">
        <w:rPr>
          <w:rStyle w:val="eop"/>
          <w:rFonts w:ascii="Arial" w:hAnsi="Arial" w:cs="Arial"/>
          <w:sz w:val="21"/>
          <w:szCs w:val="21"/>
        </w:rPr>
        <w:t xml:space="preserve">compliance </w:t>
      </w:r>
      <w:r w:rsidRPr="006A0EF9">
        <w:rPr>
          <w:rStyle w:val="eop"/>
          <w:rFonts w:ascii="Arial" w:hAnsi="Arial" w:cs="Arial"/>
          <w:sz w:val="21"/>
          <w:szCs w:val="21"/>
        </w:rPr>
        <w:t xml:space="preserve">priorities </w:t>
      </w:r>
      <w:r w:rsidR="00275552" w:rsidRPr="006A0EF9">
        <w:rPr>
          <w:rStyle w:val="eop"/>
          <w:rFonts w:ascii="Arial" w:hAnsi="Arial" w:cs="Arial"/>
          <w:sz w:val="21"/>
          <w:szCs w:val="21"/>
        </w:rPr>
        <w:t>included</w:t>
      </w:r>
      <w:r w:rsidRPr="006A0EF9">
        <w:rPr>
          <w:rStyle w:val="eop"/>
          <w:rFonts w:ascii="Arial" w:hAnsi="Arial" w:cs="Arial"/>
          <w:sz w:val="21"/>
          <w:szCs w:val="21"/>
        </w:rPr>
        <w:t>:</w:t>
      </w:r>
    </w:p>
    <w:p w14:paraId="521E8DD2" w14:textId="77777777" w:rsidR="007A3725" w:rsidRPr="006A0EF9" w:rsidRDefault="007A3725" w:rsidP="001019BA">
      <w:pPr>
        <w:pStyle w:val="paragraph"/>
        <w:numPr>
          <w:ilvl w:val="0"/>
          <w:numId w:val="34"/>
        </w:numPr>
        <w:spacing w:line="276" w:lineRule="auto"/>
        <w:textAlignment w:val="baseline"/>
        <w:rPr>
          <w:rFonts w:ascii="Arial" w:hAnsi="Arial" w:cs="Arial"/>
          <w:sz w:val="21"/>
          <w:szCs w:val="21"/>
        </w:rPr>
      </w:pPr>
      <w:r w:rsidRPr="006A0EF9">
        <w:rPr>
          <w:rFonts w:ascii="Arial" w:hAnsi="Arial" w:cs="Arial"/>
          <w:sz w:val="21"/>
          <w:szCs w:val="21"/>
        </w:rPr>
        <w:t>protecting telecommunications customers experiencing financial hardship</w:t>
      </w:r>
    </w:p>
    <w:p w14:paraId="7933A5CD" w14:textId="29712047" w:rsidR="007A3725" w:rsidRPr="006A0EF9" w:rsidRDefault="2E6667BC" w:rsidP="001019BA">
      <w:pPr>
        <w:pStyle w:val="paragraph"/>
        <w:numPr>
          <w:ilvl w:val="0"/>
          <w:numId w:val="34"/>
        </w:numPr>
        <w:spacing w:line="276" w:lineRule="auto"/>
        <w:textAlignment w:val="baseline"/>
        <w:rPr>
          <w:rFonts w:ascii="Arial" w:hAnsi="Arial" w:cs="Arial"/>
          <w:sz w:val="21"/>
          <w:szCs w:val="21"/>
        </w:rPr>
      </w:pPr>
      <w:r w:rsidRPr="7EFE6C20">
        <w:rPr>
          <w:rFonts w:ascii="Arial" w:hAnsi="Arial" w:cs="Arial"/>
          <w:sz w:val="21"/>
          <w:szCs w:val="21"/>
        </w:rPr>
        <w:t>combatting SMS and identity theft phone scams by</w:t>
      </w:r>
      <w:r w:rsidR="4F240401" w:rsidRPr="7EFE6C20">
        <w:rPr>
          <w:rFonts w:ascii="Arial" w:hAnsi="Arial" w:cs="Arial"/>
          <w:sz w:val="21"/>
          <w:szCs w:val="21"/>
        </w:rPr>
        <w:t xml:space="preserve"> enforcing the Telecommunications Service Provider (Customer Identity Authentication) Determination 2022 </w:t>
      </w:r>
      <w:r w:rsidR="3FE162D8" w:rsidRPr="7EFE6C20">
        <w:rPr>
          <w:rFonts w:ascii="Arial" w:hAnsi="Arial" w:cs="Arial"/>
          <w:sz w:val="21"/>
          <w:szCs w:val="21"/>
        </w:rPr>
        <w:t>and the Reducing Scam Calls and Scam SMS Code</w:t>
      </w:r>
      <w:r w:rsidR="4F240401" w:rsidRPr="7EFE6C20">
        <w:rPr>
          <w:rFonts w:ascii="Arial" w:hAnsi="Arial" w:cs="Arial"/>
          <w:sz w:val="21"/>
          <w:szCs w:val="21"/>
        </w:rPr>
        <w:t>.</w:t>
      </w:r>
    </w:p>
    <w:p w14:paraId="4D6C949F" w14:textId="69115E3E" w:rsidR="00A03237" w:rsidRDefault="00A03237" w:rsidP="006A0EF9">
      <w:r>
        <w:t>In 2023-2024,</w:t>
      </w:r>
      <w:r w:rsidR="00EE2070" w:rsidRPr="12EC14AA">
        <w:rPr>
          <w:rStyle w:val="FootnoteReference"/>
          <w:rFonts w:asciiTheme="minorHAnsi" w:hAnsiTheme="minorHAnsi"/>
          <w:sz w:val="22"/>
        </w:rPr>
        <w:footnoteReference w:id="172"/>
      </w:r>
      <w:r>
        <w:t xml:space="preserve"> </w:t>
      </w:r>
      <w:r w:rsidR="00D11F2F">
        <w:t>the ACMA</w:t>
      </w:r>
      <w:r>
        <w:t xml:space="preserve">’s </w:t>
      </w:r>
      <w:r w:rsidR="007D7F82">
        <w:t xml:space="preserve">compliance </w:t>
      </w:r>
      <w:r>
        <w:t>priorities include</w:t>
      </w:r>
      <w:r w:rsidR="00E8572F">
        <w:t>d</w:t>
      </w:r>
      <w:r>
        <w:t>:</w:t>
      </w:r>
    </w:p>
    <w:p w14:paraId="598E6802" w14:textId="0923020B" w:rsidR="00230FE4" w:rsidRPr="00230FE4" w:rsidRDefault="15DA4C09" w:rsidP="001019BA">
      <w:pPr>
        <w:pStyle w:val="Bullets"/>
        <w:numPr>
          <w:ilvl w:val="0"/>
          <w:numId w:val="65"/>
        </w:numPr>
        <w:contextualSpacing/>
      </w:pPr>
      <w:r>
        <w:t>protecting telco customers experiencing financial hardship, in particular monitoring industry direct debit and responsible selling practices</w:t>
      </w:r>
      <w:r w:rsidR="00E8572F">
        <w:t>;</w:t>
      </w:r>
    </w:p>
    <w:p w14:paraId="4739032C" w14:textId="77777777" w:rsidR="00A03237" w:rsidRPr="005623A6" w:rsidRDefault="15DA4C09" w:rsidP="001019BA">
      <w:pPr>
        <w:pStyle w:val="Bullets"/>
        <w:numPr>
          <w:ilvl w:val="0"/>
          <w:numId w:val="65"/>
        </w:numPr>
        <w:contextualSpacing/>
      </w:pPr>
      <w:r>
        <w:t>supporting telco customers experiencing domestic and family violence and taking action against telcos that don’t follow industry rules.</w:t>
      </w:r>
    </w:p>
    <w:p w14:paraId="028222FD" w14:textId="77777777" w:rsidR="005854BA" w:rsidRDefault="005854BA">
      <w:pPr>
        <w:rPr>
          <w:rFonts w:asciiTheme="majorHAnsi" w:eastAsiaTheme="majorEastAsia" w:hAnsiTheme="majorHAnsi" w:cstheme="majorBidi"/>
          <w:color w:val="0F4BEB"/>
          <w:sz w:val="32"/>
          <w:szCs w:val="32"/>
        </w:rPr>
      </w:pPr>
      <w:bookmarkStart w:id="149" w:name="_Toc139024396"/>
      <w:bookmarkStart w:id="150" w:name="_Toc139024717"/>
      <w:bookmarkStart w:id="151" w:name="_Toc139031360"/>
      <w:bookmarkStart w:id="152" w:name="_Toc146201043"/>
      <w:r>
        <w:br w:type="page"/>
      </w:r>
    </w:p>
    <w:p w14:paraId="713B7EC8" w14:textId="6752D12E" w:rsidR="004C48CE" w:rsidRPr="005623A6" w:rsidRDefault="0004757D" w:rsidP="00C93327">
      <w:pPr>
        <w:pStyle w:val="Heading1"/>
      </w:pPr>
      <w:bookmarkStart w:id="153" w:name="_Toc161836172"/>
      <w:r w:rsidRPr="005623A6">
        <w:lastRenderedPageBreak/>
        <w:t>4</w:t>
      </w:r>
      <w:r w:rsidR="00842C8C" w:rsidRPr="005623A6">
        <w:tab/>
      </w:r>
      <w:bookmarkStart w:id="154" w:name="HowHasACMAExcercisedItsDiscretion"/>
      <w:r w:rsidR="004C48CE" w:rsidRPr="005623A6">
        <w:t xml:space="preserve">How </w:t>
      </w:r>
      <w:r w:rsidR="00FE1BCE">
        <w:t>Have the Enforcement Mechanisms Been Used</w:t>
      </w:r>
      <w:r w:rsidR="004C48CE" w:rsidRPr="005623A6">
        <w:t>?</w:t>
      </w:r>
      <w:bookmarkEnd w:id="149"/>
      <w:bookmarkEnd w:id="150"/>
      <w:bookmarkEnd w:id="151"/>
      <w:bookmarkEnd w:id="152"/>
      <w:bookmarkEnd w:id="153"/>
      <w:bookmarkEnd w:id="154"/>
    </w:p>
    <w:p w14:paraId="127BA9A8" w14:textId="77777777" w:rsidR="00F50129" w:rsidRDefault="00F50129" w:rsidP="005274F6"/>
    <w:p w14:paraId="3E80B1A5" w14:textId="48DB903C" w:rsidR="00DB712E" w:rsidRPr="005623A6" w:rsidRDefault="00DB712E" w:rsidP="00DB712E">
      <w:r>
        <w:t>In this chapter we set out:</w:t>
      </w:r>
    </w:p>
    <w:p w14:paraId="6A2BD7B6" w14:textId="77777777" w:rsidR="00DB712E" w:rsidRPr="005623A6" w:rsidRDefault="00DB712E" w:rsidP="001019BA">
      <w:pPr>
        <w:pStyle w:val="ListParagraph"/>
        <w:numPr>
          <w:ilvl w:val="0"/>
          <w:numId w:val="35"/>
        </w:numPr>
        <w:jc w:val="left"/>
        <w:rPr>
          <w:szCs w:val="21"/>
        </w:rPr>
      </w:pPr>
      <w:r>
        <w:t>the total number of publicised enforcement actions and total amounts of publicised infringement and civil penalties imposed against telecommunications companies</w:t>
      </w:r>
    </w:p>
    <w:p w14:paraId="2EFF59FA" w14:textId="2F6C991D" w:rsidR="00DB712E" w:rsidRDefault="00DB712E" w:rsidP="001019BA">
      <w:pPr>
        <w:pStyle w:val="ListParagraph"/>
        <w:numPr>
          <w:ilvl w:val="0"/>
          <w:numId w:val="35"/>
        </w:numPr>
        <w:jc w:val="left"/>
      </w:pPr>
      <w:r>
        <w:t xml:space="preserve">examples of how </w:t>
      </w:r>
      <w:r w:rsidR="00D11F2F">
        <w:t>the ACMA</w:t>
      </w:r>
      <w:r>
        <w:t xml:space="preserve"> has exercised its enforcement powers</w:t>
      </w:r>
    </w:p>
    <w:p w14:paraId="152BA523" w14:textId="77777777" w:rsidR="00DB712E" w:rsidRPr="005623A6" w:rsidRDefault="00DB712E" w:rsidP="001019BA">
      <w:pPr>
        <w:pStyle w:val="ListParagraph"/>
        <w:numPr>
          <w:ilvl w:val="0"/>
          <w:numId w:val="35"/>
        </w:numPr>
        <w:jc w:val="left"/>
      </w:pPr>
      <w:r>
        <w:t>the telecommunications companies with the most public investigations and enforcement actions</w:t>
      </w:r>
    </w:p>
    <w:p w14:paraId="466AF6F9" w14:textId="77777777" w:rsidR="00DB712E" w:rsidRPr="005623A6" w:rsidRDefault="00DB712E" w:rsidP="001019BA">
      <w:pPr>
        <w:pStyle w:val="ListParagraph"/>
        <w:numPr>
          <w:ilvl w:val="0"/>
          <w:numId w:val="35"/>
        </w:numPr>
        <w:jc w:val="left"/>
      </w:pPr>
      <w:r>
        <w:t xml:space="preserve">the most enforced provisions in publicised investigations </w:t>
      </w:r>
    </w:p>
    <w:p w14:paraId="10917E55" w14:textId="0A8467A4" w:rsidR="00DB712E" w:rsidRPr="005623A6" w:rsidRDefault="00DB712E" w:rsidP="001019BA">
      <w:pPr>
        <w:pStyle w:val="ListParagraph"/>
        <w:numPr>
          <w:ilvl w:val="0"/>
          <w:numId w:val="35"/>
        </w:numPr>
        <w:jc w:val="left"/>
      </w:pPr>
      <w:r>
        <w:t xml:space="preserve">the most common combinations of enforcement mechanisms used by </w:t>
      </w:r>
      <w:r w:rsidR="00D11F2F">
        <w:t>the ACMA</w:t>
      </w:r>
      <w:r>
        <w:t xml:space="preserve"> in publicised investigations</w:t>
      </w:r>
    </w:p>
    <w:p w14:paraId="38A84E7B" w14:textId="5CCD019E" w:rsidR="00DB712E" w:rsidRPr="005623A6" w:rsidRDefault="00DB712E" w:rsidP="001019BA">
      <w:pPr>
        <w:pStyle w:val="ListParagraph"/>
        <w:numPr>
          <w:ilvl w:val="0"/>
          <w:numId w:val="35"/>
        </w:numPr>
        <w:jc w:val="left"/>
      </w:pPr>
      <w:r>
        <w:t xml:space="preserve">the years when </w:t>
      </w:r>
      <w:r w:rsidR="00D11F2F">
        <w:t>the ACMA</w:t>
      </w:r>
      <w:r>
        <w:t xml:space="preserve"> engaged in the least and most publicised enforcement activity.</w:t>
      </w:r>
    </w:p>
    <w:p w14:paraId="2BD7A917" w14:textId="77777777" w:rsidR="00DB712E" w:rsidRDefault="00DB712E" w:rsidP="00DB712E">
      <w:pPr>
        <w:pStyle w:val="ListParagraph"/>
        <w:ind w:left="0"/>
      </w:pPr>
    </w:p>
    <w:p w14:paraId="0B7E9A1F" w14:textId="77777777" w:rsidR="00DB712E" w:rsidRDefault="00DB712E" w:rsidP="00DB712E">
      <w:pPr>
        <w:pStyle w:val="ListParagraph"/>
        <w:ind w:left="0"/>
      </w:pPr>
      <w:r>
        <w:t>Again, for the avoidance of doubt, in this report, an ‘enforcement action’ includes:</w:t>
      </w:r>
    </w:p>
    <w:p w14:paraId="12EB44AC" w14:textId="77777777" w:rsidR="00DB712E" w:rsidRDefault="00DB712E" w:rsidP="001019BA">
      <w:pPr>
        <w:pStyle w:val="ListParagraph"/>
        <w:numPr>
          <w:ilvl w:val="0"/>
          <w:numId w:val="5"/>
        </w:numPr>
        <w:jc w:val="left"/>
      </w:pPr>
      <w:r>
        <w:t>a formal warning, direction to comply, an infringement notice or remedial direction</w:t>
      </w:r>
    </w:p>
    <w:p w14:paraId="66B630CE" w14:textId="77777777" w:rsidR="00DB712E" w:rsidRDefault="00DB712E" w:rsidP="001019BA">
      <w:pPr>
        <w:pStyle w:val="ListParagraph"/>
        <w:numPr>
          <w:ilvl w:val="0"/>
          <w:numId w:val="5"/>
        </w:numPr>
        <w:jc w:val="left"/>
      </w:pPr>
      <w:r>
        <w:t>a court-ordered injunction or civil penalty; and</w:t>
      </w:r>
    </w:p>
    <w:p w14:paraId="767B431F" w14:textId="77777777" w:rsidR="00DB712E" w:rsidRPr="00E4636E" w:rsidRDefault="00DB712E" w:rsidP="001019BA">
      <w:pPr>
        <w:pStyle w:val="ListParagraph"/>
        <w:numPr>
          <w:ilvl w:val="0"/>
          <w:numId w:val="5"/>
        </w:numPr>
        <w:jc w:val="left"/>
      </w:pPr>
      <w:r>
        <w:t>acceptance of an enforceable undertaking.</w:t>
      </w:r>
      <w:r>
        <w:rPr>
          <w:rStyle w:val="FootnoteReference"/>
        </w:rPr>
        <w:footnoteReference w:id="173"/>
      </w:r>
    </w:p>
    <w:p w14:paraId="71CAF8DD" w14:textId="2A392D7B" w:rsidR="00DB712E" w:rsidRPr="005623A6" w:rsidRDefault="00DB712E" w:rsidP="00DB712E">
      <w:r>
        <w:t xml:space="preserve">When evaluating the data presented here, especially the data on the number of investigations and enforcement actions taken, </w:t>
      </w:r>
      <w:r w:rsidR="00DF64D1">
        <w:rPr>
          <w:rFonts w:eastAsia="Calibri" w:cs="Arial"/>
        </w:rPr>
        <w:t xml:space="preserve">some aspects of research limitations and contextual information </w:t>
      </w:r>
      <w:r>
        <w:t>should be noted.</w:t>
      </w:r>
    </w:p>
    <w:p w14:paraId="2D285432" w14:textId="599C03E2" w:rsidR="00812033" w:rsidRDefault="00812033" w:rsidP="00812033">
      <w:r w:rsidRPr="00855F5B">
        <w:t xml:space="preserve">To our knowledge, there have been no previous attempts to determine and evaluate how </w:t>
      </w:r>
      <w:r w:rsidR="00D11F2F">
        <w:t>the ACMA</w:t>
      </w:r>
      <w:r w:rsidRPr="00855F5B">
        <w:t xml:space="preserve"> has exercised its discretion to enforce the consumer</w:t>
      </w:r>
      <w:r w:rsidR="00A2175C">
        <w:t xml:space="preserve"> </w:t>
      </w:r>
      <w:r w:rsidRPr="00855F5B">
        <w:t>protection</w:t>
      </w:r>
      <w:r w:rsidR="00715F2F">
        <w:t>-</w:t>
      </w:r>
      <w:r w:rsidRPr="00855F5B">
        <w:t xml:space="preserve">related provisions considered in this report. Consequently, there are no existing studies and/or compilations of data on which we can draw. </w:t>
      </w:r>
    </w:p>
    <w:p w14:paraId="0F005176" w14:textId="18704041" w:rsidR="00DF64D1" w:rsidRDefault="00DF64D1" w:rsidP="003756B8">
      <w:pPr>
        <w:pStyle w:val="Heading2"/>
      </w:pPr>
      <w:bookmarkStart w:id="155" w:name="_Toc161836173"/>
      <w:r>
        <w:t>A</w:t>
      </w:r>
      <w:r>
        <w:tab/>
        <w:t>Research Limitations and Context</w:t>
      </w:r>
      <w:bookmarkEnd w:id="155"/>
    </w:p>
    <w:p w14:paraId="69185C03" w14:textId="281B809D" w:rsidR="00DF64D1" w:rsidRPr="00855F5B" w:rsidRDefault="00DF64D1" w:rsidP="003756B8">
      <w:pPr>
        <w:pStyle w:val="Heading3"/>
      </w:pPr>
      <w:bookmarkStart w:id="156" w:name="_Toc161836174"/>
      <w:r>
        <w:t>1. Research Limitations</w:t>
      </w:r>
      <w:bookmarkEnd w:id="156"/>
    </w:p>
    <w:p w14:paraId="6E37B282" w14:textId="6229132C" w:rsidR="00C83A42" w:rsidRDefault="4FE90118" w:rsidP="00812033">
      <w:r w:rsidRPr="00855F5B">
        <w:t>C</w:t>
      </w:r>
      <w:r w:rsidR="74665493" w:rsidRPr="00855F5B">
        <w:t xml:space="preserve">omprehensively determining how </w:t>
      </w:r>
      <w:r w:rsidR="00D11F2F">
        <w:t>the ACMA</w:t>
      </w:r>
      <w:r w:rsidR="74665493" w:rsidRPr="00855F5B">
        <w:t xml:space="preserve"> has exercised its enforcement discretion and whether it has, in fact, exercised its discretion in a way that is consistent with the principles of responsive regulation and/or risk-based regulation outlined in </w:t>
      </w:r>
      <w:r w:rsidR="008034F8">
        <w:t xml:space="preserve">Chapter </w:t>
      </w:r>
      <w:r w:rsidR="74665493" w:rsidRPr="00855F5B">
        <w:t xml:space="preserve">1 is a complex exercise. Such a study would require (at a minimum) access to </w:t>
      </w:r>
      <w:r w:rsidR="00D11F2F">
        <w:t>the ACMA</w:t>
      </w:r>
      <w:r w:rsidR="74665493" w:rsidRPr="00855F5B">
        <w:t>’s enforcement files as well as interviews with and/or surveys of the enforcement officials and regulatees involved. For example, Nielsen’s empirical study of whether four Danish regulators were ‘responsive’ involved a detailed review of their files. She also asked enforcement officials to complete questionnaires, soliciting information about their reactions to breaches and their views and perceptions of regulatees’ overall compliance and willingness to improve their behaviour.</w:t>
      </w:r>
      <w:r w:rsidR="00812033" w:rsidRPr="00855F5B">
        <w:rPr>
          <w:vertAlign w:val="superscript"/>
        </w:rPr>
        <w:footnoteReference w:id="174"/>
      </w:r>
      <w:r w:rsidR="74665493" w:rsidRPr="00855F5B">
        <w:t xml:space="preserve"> May and Winter’s work on the enforcement styles of Danish agricultural regulators and May and Wood’s work on </w:t>
      </w:r>
      <w:r w:rsidR="74665493" w:rsidRPr="00855F5B">
        <w:lastRenderedPageBreak/>
        <w:t>building construction regulators equally involved extensive use of surveys of regulators and the regulated companies involved.</w:t>
      </w:r>
      <w:r w:rsidR="00812033" w:rsidRPr="00855F5B">
        <w:rPr>
          <w:vertAlign w:val="superscript"/>
        </w:rPr>
        <w:footnoteReference w:id="175"/>
      </w:r>
      <w:r w:rsidR="74665493" w:rsidRPr="00855F5B">
        <w:t xml:space="preserve">  </w:t>
      </w:r>
    </w:p>
    <w:p w14:paraId="30C9599A" w14:textId="0848B44C" w:rsidR="73A03200" w:rsidRDefault="6B2E9EC9" w:rsidP="73A03200">
      <w:r>
        <w:t>E</w:t>
      </w:r>
      <w:r w:rsidR="0346ED1F">
        <w:t>ven the task of pulling together some basic</w:t>
      </w:r>
      <w:r w:rsidR="4A68F229">
        <w:t>, but comprehensive,</w:t>
      </w:r>
      <w:r w:rsidR="0346ED1F">
        <w:t xml:space="preserve"> information about</w:t>
      </w:r>
      <w:r w:rsidR="2C507B1D">
        <w:t xml:space="preserve"> </w:t>
      </w:r>
      <w:r w:rsidR="162643BF">
        <w:t xml:space="preserve">the way </w:t>
      </w:r>
      <w:r w:rsidR="00D11F2F">
        <w:t>the ACMA</w:t>
      </w:r>
      <w:r w:rsidR="162643BF">
        <w:t xml:space="preserve"> has exercised its enforcement discretion </w:t>
      </w:r>
      <w:r w:rsidR="3C39AA52">
        <w:t>(</w:t>
      </w:r>
      <w:r w:rsidR="5C605FB2">
        <w:t xml:space="preserve">ie, </w:t>
      </w:r>
      <w:r w:rsidR="3C39AA52">
        <w:t xml:space="preserve">the total number of </w:t>
      </w:r>
      <w:r w:rsidR="36B00C4F">
        <w:t xml:space="preserve">enforcement </w:t>
      </w:r>
      <w:r w:rsidR="3C39AA52">
        <w:t xml:space="preserve">investigations </w:t>
      </w:r>
      <w:r w:rsidR="00D11F2F">
        <w:t>the ACMA</w:t>
      </w:r>
      <w:r w:rsidR="608C9B33">
        <w:t xml:space="preserve"> has </w:t>
      </w:r>
      <w:r w:rsidR="1B88E553">
        <w:t xml:space="preserve">opened and closed; the total number of </w:t>
      </w:r>
      <w:r w:rsidR="64082230">
        <w:t xml:space="preserve">enforcement investigations that </w:t>
      </w:r>
      <w:r w:rsidR="00D11F2F">
        <w:t>the ACMA</w:t>
      </w:r>
      <w:r w:rsidR="64082230">
        <w:t xml:space="preserve"> </w:t>
      </w:r>
      <w:r w:rsidR="1ADDA886">
        <w:t xml:space="preserve">has </w:t>
      </w:r>
      <w:r w:rsidR="64082230">
        <w:t xml:space="preserve">closed with no findings of breach; the total number of investigations that </w:t>
      </w:r>
      <w:r w:rsidR="00D11F2F">
        <w:t>the ACMA</w:t>
      </w:r>
      <w:r w:rsidR="64082230">
        <w:t xml:space="preserve"> </w:t>
      </w:r>
      <w:r w:rsidR="34C36955">
        <w:t xml:space="preserve">has </w:t>
      </w:r>
      <w:r w:rsidR="42288A6A">
        <w:t xml:space="preserve">closed with findings of breach </w:t>
      </w:r>
      <w:r w:rsidR="13E39592">
        <w:t xml:space="preserve">but </w:t>
      </w:r>
      <w:r w:rsidR="42288A6A">
        <w:t xml:space="preserve">no enforcement action; and the </w:t>
      </w:r>
      <w:r w:rsidR="55393C3F">
        <w:t xml:space="preserve">total </w:t>
      </w:r>
      <w:r w:rsidR="13950109">
        <w:t xml:space="preserve">number of investigations that </w:t>
      </w:r>
      <w:r w:rsidR="00D11F2F">
        <w:t>the ACMA</w:t>
      </w:r>
      <w:r w:rsidR="13950109">
        <w:t xml:space="preserve"> </w:t>
      </w:r>
      <w:r w:rsidR="4F9DA176">
        <w:t xml:space="preserve">has </w:t>
      </w:r>
      <w:r w:rsidR="13950109">
        <w:t xml:space="preserve">closed with findings of breach and enforcement action) </w:t>
      </w:r>
      <w:r w:rsidR="29D5650A">
        <w:t>is</w:t>
      </w:r>
      <w:r w:rsidR="1B88E553">
        <w:t xml:space="preserve"> not possible</w:t>
      </w:r>
      <w:r w:rsidR="221BDEB7">
        <w:t xml:space="preserve"> for the reasons we </w:t>
      </w:r>
      <w:r w:rsidR="5D690138">
        <w:t>outline below.</w:t>
      </w:r>
    </w:p>
    <w:p w14:paraId="32BA4086" w14:textId="55EFC57A" w:rsidR="00E72F19" w:rsidRDefault="000257FF" w:rsidP="00103976">
      <w:r>
        <w:t>T</w:t>
      </w:r>
      <w:r w:rsidR="00D11F2F">
        <w:t>he ACMA</w:t>
      </w:r>
      <w:r w:rsidR="2A928AB4">
        <w:t xml:space="preserve"> </w:t>
      </w:r>
      <w:r w:rsidR="4FC7151F">
        <w:t xml:space="preserve">is not required </w:t>
      </w:r>
      <w:r w:rsidR="2A928AB4">
        <w:t xml:space="preserve">to </w:t>
      </w:r>
      <w:r w:rsidR="33A40978">
        <w:t xml:space="preserve">prepare </w:t>
      </w:r>
      <w:r w:rsidR="1CA8D9F6">
        <w:t>and</w:t>
      </w:r>
      <w:r w:rsidR="4C1F67D5">
        <w:t xml:space="preserve"> </w:t>
      </w:r>
      <w:r w:rsidR="1CA8D9F6">
        <w:t>publish</w:t>
      </w:r>
      <w:r w:rsidR="2465D620">
        <w:t xml:space="preserve"> reports </w:t>
      </w:r>
      <w:r w:rsidR="16878111">
        <w:t xml:space="preserve">about </w:t>
      </w:r>
      <w:r w:rsidR="2465D620" w:rsidRPr="12EC14AA">
        <w:rPr>
          <w:i/>
          <w:iCs/>
        </w:rPr>
        <w:t>all</w:t>
      </w:r>
      <w:r w:rsidR="2465D620">
        <w:t xml:space="preserve"> investigations</w:t>
      </w:r>
      <w:r w:rsidR="001629B0">
        <w:t>.</w:t>
      </w:r>
      <w:r w:rsidR="001629B0">
        <w:rPr>
          <w:rStyle w:val="FootnoteReference"/>
        </w:rPr>
        <w:footnoteReference w:id="176"/>
      </w:r>
      <w:r w:rsidR="501995AC">
        <w:t xml:space="preserve"> </w:t>
      </w:r>
      <w:r w:rsidR="466ACDD9">
        <w:t xml:space="preserve">It </w:t>
      </w:r>
      <w:r w:rsidR="01499284">
        <w:t xml:space="preserve">is not </w:t>
      </w:r>
      <w:r w:rsidR="3739AA29">
        <w:t>required to maintain a register of all directions and other enforcement action</w:t>
      </w:r>
      <w:r w:rsidR="2D351F9C">
        <w:t>s</w:t>
      </w:r>
      <w:r w:rsidR="3739AA29">
        <w:t xml:space="preserve"> it may </w:t>
      </w:r>
      <w:r w:rsidR="23E9D8ED">
        <w:t xml:space="preserve">have </w:t>
      </w:r>
      <w:r w:rsidR="3739AA29">
        <w:t>take</w:t>
      </w:r>
      <w:r w:rsidR="23E9D8ED">
        <w:t xml:space="preserve">n against carriers or carriage service providers to secure compliance with the select consumer-protection rules. </w:t>
      </w:r>
      <w:r w:rsidR="466ACDD9">
        <w:t xml:space="preserve">It is not required to include copies of these </w:t>
      </w:r>
      <w:r w:rsidR="7EEF23E6">
        <w:t xml:space="preserve">directions and </w:t>
      </w:r>
      <w:r w:rsidR="466ACDD9">
        <w:t>instruments in its annual reports</w:t>
      </w:r>
      <w:r w:rsidR="466ACDD9" w:rsidRPr="00F0590C">
        <w:t>.</w:t>
      </w:r>
      <w:r w:rsidR="00F0590C">
        <w:rPr>
          <w:rStyle w:val="FootnoteReference"/>
        </w:rPr>
        <w:footnoteReference w:id="177"/>
      </w:r>
      <w:r w:rsidR="466ACDD9" w:rsidRPr="00F0590C">
        <w:t xml:space="preserve"> </w:t>
      </w:r>
      <w:r w:rsidR="03C4C71F">
        <w:t xml:space="preserve">Although </w:t>
      </w:r>
      <w:r w:rsidR="00D11F2F">
        <w:t>the ACMA</w:t>
      </w:r>
      <w:r w:rsidR="191F545E">
        <w:t xml:space="preserve"> has discretion to </w:t>
      </w:r>
      <w:r w:rsidR="03C4C71F">
        <w:t xml:space="preserve">publish </w:t>
      </w:r>
      <w:r w:rsidR="363FFDD7">
        <w:t>enforceable undertakings on its website</w:t>
      </w:r>
      <w:r w:rsidR="03C4C71F">
        <w:t xml:space="preserve">, it is </w:t>
      </w:r>
      <w:r w:rsidR="2BBC06C5">
        <w:t>not required to publish</w:t>
      </w:r>
      <w:r w:rsidR="363FFDD7">
        <w:t xml:space="preserve"> </w:t>
      </w:r>
      <w:r w:rsidR="79E10D45">
        <w:t>them.</w:t>
      </w:r>
      <w:r w:rsidR="009856DA">
        <w:rPr>
          <w:rStyle w:val="FootnoteReference"/>
        </w:rPr>
        <w:footnoteReference w:id="178"/>
      </w:r>
      <w:r w:rsidR="363FFDD7">
        <w:t xml:space="preserve"> </w:t>
      </w:r>
      <w:r w:rsidR="275B1C75">
        <w:t>W</w:t>
      </w:r>
      <w:r w:rsidR="04D50F52">
        <w:t xml:space="preserve">hen </w:t>
      </w:r>
      <w:r w:rsidR="00D11F2F">
        <w:t>the ACMA</w:t>
      </w:r>
      <w:r w:rsidR="04D50F52">
        <w:t xml:space="preserve"> conducts an investigation and finds a contravention of the </w:t>
      </w:r>
      <w:r w:rsidR="40895A17">
        <w:t xml:space="preserve">telecommunications </w:t>
      </w:r>
      <w:r w:rsidR="04D50F52">
        <w:t>consumer</w:t>
      </w:r>
      <w:r w:rsidR="00A2175C">
        <w:t xml:space="preserve"> </w:t>
      </w:r>
      <w:r w:rsidR="04D50F52">
        <w:t>protection</w:t>
      </w:r>
      <w:r w:rsidR="00A2175C">
        <w:t>-</w:t>
      </w:r>
      <w:r w:rsidR="04D50F52">
        <w:t>related provisions, i</w:t>
      </w:r>
      <w:r w:rsidR="7C71D090">
        <w:t xml:space="preserve">t </w:t>
      </w:r>
      <w:r w:rsidR="40895A17">
        <w:t xml:space="preserve">will generally </w:t>
      </w:r>
      <w:r w:rsidR="7C71D090">
        <w:t>publish</w:t>
      </w:r>
      <w:r w:rsidR="04D50F52">
        <w:t xml:space="preserve"> an</w:t>
      </w:r>
      <w:r w:rsidR="7C71D090">
        <w:t xml:space="preserve"> investigation report along with copies of </w:t>
      </w:r>
      <w:r w:rsidR="04D50F52">
        <w:t xml:space="preserve">any </w:t>
      </w:r>
      <w:r w:rsidR="7C71D090">
        <w:t xml:space="preserve">formal warnings, </w:t>
      </w:r>
      <w:r w:rsidR="3C0BF3F6">
        <w:t>directions to comply</w:t>
      </w:r>
      <w:r w:rsidR="7C71D090">
        <w:t>, infringement notices and remedial directions issued and/or enforceable undertakings accepted</w:t>
      </w:r>
      <w:r>
        <w:t>.</w:t>
      </w:r>
      <w:r w:rsidR="00B455D8">
        <w:rPr>
          <w:rStyle w:val="FootnoteReference"/>
        </w:rPr>
        <w:footnoteReference w:id="179"/>
      </w:r>
      <w:r w:rsidR="40895A17">
        <w:t xml:space="preserve"> </w:t>
      </w:r>
      <w:r w:rsidR="5682937C">
        <w:t>But u</w:t>
      </w:r>
      <w:r w:rsidR="0D278B77">
        <w:t xml:space="preserve">nlike its </w:t>
      </w:r>
      <w:r w:rsidR="7B7BCD1C">
        <w:t xml:space="preserve">general </w:t>
      </w:r>
      <w:r w:rsidR="0D278B77">
        <w:t xml:space="preserve">practice for broadcasting compliance investigations, </w:t>
      </w:r>
      <w:r w:rsidR="00D11F2F">
        <w:t>the ACMA</w:t>
      </w:r>
      <w:r w:rsidR="0D278B77">
        <w:t xml:space="preserve"> does not generally publish</w:t>
      </w:r>
      <w:r w:rsidR="000E214F">
        <w:t xml:space="preserve"> reports of investigations where there is no breach finding.</w:t>
      </w:r>
      <w:r w:rsidR="00641136">
        <w:rPr>
          <w:rStyle w:val="FootnoteReference"/>
        </w:rPr>
        <w:footnoteReference w:id="180"/>
      </w:r>
      <w:r w:rsidR="003977D6">
        <w:t xml:space="preserve"> </w:t>
      </w:r>
      <w:r w:rsidR="7EFDEDBF">
        <w:t>Furthermore</w:t>
      </w:r>
      <w:r w:rsidR="17B1788A">
        <w:t xml:space="preserve">, </w:t>
      </w:r>
      <w:r w:rsidR="3DD0F910">
        <w:t xml:space="preserve">for </w:t>
      </w:r>
      <w:r w:rsidR="49BC62DC">
        <w:t xml:space="preserve">all investigations, including investigations where </w:t>
      </w:r>
      <w:r w:rsidR="00D11F2F">
        <w:t>the ACMA</w:t>
      </w:r>
      <w:r w:rsidR="49BC62DC">
        <w:t xml:space="preserve"> has found contravening conduct and has taken enforcement action, </w:t>
      </w:r>
      <w:r w:rsidR="00D11F2F">
        <w:t>the ACMA</w:t>
      </w:r>
      <w:r w:rsidR="79BF0E9F">
        <w:t xml:space="preserve"> may not </w:t>
      </w:r>
      <w:r w:rsidR="5DBC3983">
        <w:t xml:space="preserve">publish an investigation report or otherwise publicise the outcome </w:t>
      </w:r>
      <w:r w:rsidR="42E13D0C">
        <w:t xml:space="preserve">of an </w:t>
      </w:r>
      <w:r w:rsidR="73A1A551">
        <w:t xml:space="preserve">investigation </w:t>
      </w:r>
      <w:r w:rsidR="2C2CCC13">
        <w:t xml:space="preserve">if it determines publication </w:t>
      </w:r>
      <w:r w:rsidR="3F7F7F2B">
        <w:t>is contrary to the public interest</w:t>
      </w:r>
      <w:r w:rsidR="00F51CDE">
        <w:t>.</w:t>
      </w:r>
      <w:r w:rsidR="00E57B3F">
        <w:rPr>
          <w:rStyle w:val="FootnoteReference"/>
        </w:rPr>
        <w:footnoteReference w:id="181"/>
      </w:r>
      <w:r w:rsidR="7EEF23E6" w:rsidRPr="00E57B3F">
        <w:t xml:space="preserve"> Factors </w:t>
      </w:r>
      <w:r w:rsidR="00D11F2F">
        <w:t>the ACMA</w:t>
      </w:r>
      <w:r w:rsidR="7EEF23E6" w:rsidRPr="00E57B3F">
        <w:t xml:space="preserve"> will consider in assessing if publication is in the public interest include: </w:t>
      </w:r>
    </w:p>
    <w:p w14:paraId="2DED7833" w14:textId="14FD6E94" w:rsidR="00103976" w:rsidRDefault="00103976" w:rsidP="001019BA">
      <w:pPr>
        <w:pStyle w:val="ListParagraph"/>
        <w:numPr>
          <w:ilvl w:val="0"/>
          <w:numId w:val="63"/>
        </w:numPr>
      </w:pPr>
      <w:r>
        <w:t>whether information about the investigation is in the public domain</w:t>
      </w:r>
    </w:p>
    <w:p w14:paraId="0A2915EC" w14:textId="59147FB3" w:rsidR="00103976" w:rsidRDefault="00103976" w:rsidP="001019BA">
      <w:pPr>
        <w:pStyle w:val="ListParagraph"/>
        <w:numPr>
          <w:ilvl w:val="0"/>
          <w:numId w:val="63"/>
        </w:numPr>
      </w:pPr>
      <w:r>
        <w:t xml:space="preserve">the nature and seriousness of the issues </w:t>
      </w:r>
    </w:p>
    <w:p w14:paraId="653AA698" w14:textId="52D23C78" w:rsidR="00103976" w:rsidRDefault="00103976" w:rsidP="001019BA">
      <w:pPr>
        <w:pStyle w:val="ListParagraph"/>
        <w:numPr>
          <w:ilvl w:val="0"/>
          <w:numId w:val="63"/>
        </w:numPr>
      </w:pPr>
      <w:r>
        <w:t>whether disclosure is desirable to address public concerns or protect the public from further harm or loss</w:t>
      </w:r>
    </w:p>
    <w:p w14:paraId="16160756" w14:textId="22610576" w:rsidR="00103976" w:rsidRDefault="00103976" w:rsidP="001019BA">
      <w:pPr>
        <w:pStyle w:val="ListParagraph"/>
        <w:numPr>
          <w:ilvl w:val="0"/>
          <w:numId w:val="63"/>
        </w:numPr>
      </w:pPr>
      <w:r>
        <w:t>whether the investigation will be served by publicity, for example, to encourage submissions or the provision of evidence in the investigation</w:t>
      </w:r>
    </w:p>
    <w:p w14:paraId="66243A38" w14:textId="46BFCA1B" w:rsidR="00103976" w:rsidRDefault="00103976" w:rsidP="001019BA">
      <w:pPr>
        <w:pStyle w:val="ListParagraph"/>
        <w:numPr>
          <w:ilvl w:val="0"/>
          <w:numId w:val="63"/>
        </w:numPr>
      </w:pPr>
      <w:r>
        <w:t>fairness to the subject/s of the investigation</w:t>
      </w:r>
    </w:p>
    <w:p w14:paraId="16DA573B" w14:textId="2EEBFB8C" w:rsidR="00103976" w:rsidRDefault="00103976" w:rsidP="001019BA">
      <w:pPr>
        <w:pStyle w:val="ListParagraph"/>
        <w:numPr>
          <w:ilvl w:val="0"/>
          <w:numId w:val="63"/>
        </w:numPr>
      </w:pPr>
      <w:r>
        <w:t>protection of any private, confidential or sensitive information</w:t>
      </w:r>
    </w:p>
    <w:p w14:paraId="1B370881" w14:textId="0628BC94" w:rsidR="003044A5" w:rsidRPr="00E72F19" w:rsidRDefault="00A553B4" w:rsidP="001019BA">
      <w:pPr>
        <w:pStyle w:val="ListParagraph"/>
        <w:numPr>
          <w:ilvl w:val="0"/>
          <w:numId w:val="63"/>
        </w:numPr>
      </w:pPr>
      <w:r>
        <w:lastRenderedPageBreak/>
        <w:t>any potential adverse impact public comment may have on the conduct of the investigation or any subsequent court proceedings</w:t>
      </w:r>
      <w:r w:rsidR="006B4523">
        <w:t>, including on a person’s</w:t>
      </w:r>
      <w:r>
        <w:t xml:space="preserve"> </w:t>
      </w:r>
      <w:r w:rsidR="006B4523">
        <w:t xml:space="preserve">right to a </w:t>
      </w:r>
      <w:r>
        <w:t>fair trial.</w:t>
      </w:r>
      <w:r>
        <w:rPr>
          <w:rStyle w:val="FootnoteReference"/>
        </w:rPr>
        <w:footnoteReference w:id="182"/>
      </w:r>
    </w:p>
    <w:p w14:paraId="5D1DB36A" w14:textId="576B882D" w:rsidR="00812033" w:rsidRPr="00855F5B" w:rsidRDefault="000257FF" w:rsidP="739C5FC2">
      <w:pPr>
        <w:rPr>
          <w:color w:val="000000" w:themeColor="text1"/>
        </w:rPr>
      </w:pPr>
      <w:r>
        <w:t>T</w:t>
      </w:r>
      <w:r w:rsidR="00D11F2F">
        <w:t>he ACMA</w:t>
      </w:r>
      <w:r w:rsidR="64E078FE">
        <w:t xml:space="preserve"> does publish some information about its enforcement practices in its Annual Reports. For example, </w:t>
      </w:r>
      <w:r w:rsidR="00D11F2F">
        <w:t>the ACMA</w:t>
      </w:r>
      <w:r w:rsidR="64E078FE">
        <w:t xml:space="preserve"> provides information on its investigations, but its focus of reporting varies from year</w:t>
      </w:r>
      <w:r>
        <w:t xml:space="preserve"> </w:t>
      </w:r>
      <w:r w:rsidR="64E078FE">
        <w:t>to</w:t>
      </w:r>
      <w:r>
        <w:t xml:space="preserve"> </w:t>
      </w:r>
      <w:r w:rsidR="64E078FE">
        <w:t xml:space="preserve">year and a standard reporting format has not been used across the span of years we examine in this report. For example, some </w:t>
      </w:r>
      <w:r w:rsidR="006A3ACC">
        <w:t>A</w:t>
      </w:r>
      <w:r w:rsidR="64E078FE">
        <w:t xml:space="preserve">nnual </w:t>
      </w:r>
      <w:r w:rsidR="006A3ACC">
        <w:t>R</w:t>
      </w:r>
      <w:r w:rsidR="64E078FE">
        <w:t>eports present information on concluded investigations while others report on investigations opened and closed, and in some years, a narrative explanation of issues arising is provided rather than overall investigations numbers. (As with any complaint-handling organisation, the number of investigations opened each year does not correspond with the number of investigations closed, as some matters run over more than one year.)</w:t>
      </w:r>
    </w:p>
    <w:p w14:paraId="2B1E96D3" w14:textId="5BBFBEC4" w:rsidR="00812033" w:rsidRPr="00855F5B" w:rsidRDefault="000257FF" w:rsidP="739C5FC2">
      <w:r>
        <w:t>T</w:t>
      </w:r>
      <w:r w:rsidR="00D11F2F">
        <w:t>he ACMA</w:t>
      </w:r>
      <w:r w:rsidR="64E078FE">
        <w:t xml:space="preserve"> also publishes some information about its enforcement practices in its quarterly ‘Action on Telco Consumer Protection Reports’</w:t>
      </w:r>
      <w:r w:rsidR="64E078FE" w:rsidRPr="00484B5C">
        <w:t>.</w:t>
      </w:r>
      <w:r w:rsidR="00484B5C">
        <w:rPr>
          <w:rStyle w:val="FootnoteReference"/>
        </w:rPr>
        <w:footnoteReference w:id="183"/>
      </w:r>
      <w:r w:rsidR="64E078FE">
        <w:t xml:space="preserve"> </w:t>
      </w:r>
      <w:r w:rsidR="00A43FAB">
        <w:t>W</w:t>
      </w:r>
      <w:r w:rsidR="64E078FE">
        <w:t>hile informative, these reports discuss</w:t>
      </w:r>
      <w:r w:rsidR="00CF0C8E">
        <w:t>ing</w:t>
      </w:r>
      <w:r w:rsidR="64E078FE">
        <w:t xml:space="preserve"> </w:t>
      </w:r>
      <w:r w:rsidR="00D11F2F">
        <w:t>the ACMA</w:t>
      </w:r>
      <w:r w:rsidR="64E078FE">
        <w:t xml:space="preserve">’s actions on telco consumer protection </w:t>
      </w:r>
      <w:r w:rsidR="3ED495AA">
        <w:t xml:space="preserve">do not cover the full period </w:t>
      </w:r>
      <w:r w:rsidR="00CF0C8E">
        <w:t>examined</w:t>
      </w:r>
      <w:r w:rsidR="3ED495AA">
        <w:t xml:space="preserve"> in this report (they cover the period </w:t>
      </w:r>
      <w:r w:rsidR="64E078FE">
        <w:t>April 2018</w:t>
      </w:r>
      <w:r w:rsidR="793AC4EA">
        <w:t xml:space="preserve"> </w:t>
      </w:r>
      <w:r w:rsidR="0FA4D9C4">
        <w:t xml:space="preserve">until June 2023) </w:t>
      </w:r>
      <w:r w:rsidR="793AC4EA">
        <w:t xml:space="preserve">and </w:t>
      </w:r>
      <w:r w:rsidR="62AE51B6">
        <w:t xml:space="preserve">they only </w:t>
      </w:r>
      <w:r w:rsidR="793AC4EA">
        <w:t xml:space="preserve">discuss </w:t>
      </w:r>
      <w:r w:rsidR="169F5667">
        <w:t xml:space="preserve">or refer to </w:t>
      </w:r>
      <w:r w:rsidR="793AC4EA">
        <w:t xml:space="preserve">the outcomes </w:t>
      </w:r>
      <w:r w:rsidR="00D11F2F">
        <w:t>the ACMA</w:t>
      </w:r>
      <w:r w:rsidR="793AC4EA">
        <w:t xml:space="preserve"> has decided to </w:t>
      </w:r>
      <w:r w:rsidR="0459BF84">
        <w:t>publish</w:t>
      </w:r>
      <w:r w:rsidR="793AC4EA">
        <w:t>.</w:t>
      </w:r>
    </w:p>
    <w:p w14:paraId="59AB2C83" w14:textId="4CBDAE75" w:rsidR="00291839" w:rsidRPr="00522BED" w:rsidRDefault="2AB75D30" w:rsidP="00EA390D">
      <w:r>
        <w:t>A</w:t>
      </w:r>
      <w:r w:rsidR="74665493">
        <w:t xml:space="preserve">s </w:t>
      </w:r>
      <w:r w:rsidR="74C344E1">
        <w:t xml:space="preserve">we </w:t>
      </w:r>
      <w:r w:rsidR="0D4E3172">
        <w:t>d</w:t>
      </w:r>
      <w:r w:rsidR="6F6E265C">
        <w:t>o</w:t>
      </w:r>
      <w:r w:rsidR="0D4E3172">
        <w:t xml:space="preserve"> not</w:t>
      </w:r>
      <w:r w:rsidR="74C344E1">
        <w:t xml:space="preserve"> have access to </w:t>
      </w:r>
      <w:r w:rsidR="00AF24A3">
        <w:t xml:space="preserve">the </w:t>
      </w:r>
      <w:r w:rsidR="56BDB3FD">
        <w:t>data needed to provide a comprehensive overview</w:t>
      </w:r>
      <w:r w:rsidR="74665493">
        <w:t xml:space="preserve">, we </w:t>
      </w:r>
      <w:r w:rsidR="62B6630C">
        <w:t xml:space="preserve">have </w:t>
      </w:r>
      <w:r w:rsidR="5A6FA1EA">
        <w:t xml:space="preserve">focused on gathering </w:t>
      </w:r>
      <w:r w:rsidR="7FE610B3">
        <w:t xml:space="preserve">publicly available </w:t>
      </w:r>
      <w:r w:rsidR="74665493">
        <w:t xml:space="preserve">information needed to inform further academic study and </w:t>
      </w:r>
      <w:r w:rsidR="00AF24A3">
        <w:t>consideration by industry and government</w:t>
      </w:r>
      <w:r w:rsidR="74665493">
        <w:t xml:space="preserve">. We started by compiling a table of </w:t>
      </w:r>
      <w:r w:rsidR="505E4DF7">
        <w:t>publicised investigations</w:t>
      </w:r>
      <w:r w:rsidR="526B5684">
        <w:t xml:space="preserve"> </w:t>
      </w:r>
      <w:r w:rsidR="505E4DF7">
        <w:t xml:space="preserve">and </w:t>
      </w:r>
      <w:r w:rsidR="74665493">
        <w:t xml:space="preserve">enforcement actions taken by </w:t>
      </w:r>
      <w:r w:rsidR="00D11F2F">
        <w:t>the ACMA</w:t>
      </w:r>
      <w:r w:rsidR="74665493">
        <w:t xml:space="preserve"> for non-compliance with: </w:t>
      </w:r>
    </w:p>
    <w:p w14:paraId="16D78EF6" w14:textId="12A75694" w:rsidR="00522AD4" w:rsidRPr="00855F5B" w:rsidRDefault="4EFD84A8" w:rsidP="001019BA">
      <w:pPr>
        <w:pStyle w:val="ListParagraph"/>
        <w:numPr>
          <w:ilvl w:val="0"/>
          <w:numId w:val="17"/>
        </w:numPr>
      </w:pPr>
      <w:r>
        <w:t xml:space="preserve">the select </w:t>
      </w:r>
      <w:r w:rsidR="65FABDCF">
        <w:t xml:space="preserve">industry codes registered by </w:t>
      </w:r>
      <w:r w:rsidR="00D11F2F">
        <w:t>the ACMA</w:t>
      </w:r>
      <w:r w:rsidR="65FABDCF">
        <w:t xml:space="preserve"> under Part 6 of the </w:t>
      </w:r>
      <w:r w:rsidR="00AA7AED">
        <w:t>Tel Act</w:t>
      </w:r>
      <w:r w:rsidR="65FABDCF">
        <w:t xml:space="preserve"> </w:t>
      </w:r>
    </w:p>
    <w:p w14:paraId="66942006" w14:textId="7EC8F687" w:rsidR="00522AD4" w:rsidRPr="00855F5B" w:rsidRDefault="7D5534A0" w:rsidP="001019BA">
      <w:pPr>
        <w:pStyle w:val="ListParagraph"/>
        <w:numPr>
          <w:ilvl w:val="0"/>
          <w:numId w:val="17"/>
        </w:numPr>
      </w:pPr>
      <w:r>
        <w:t xml:space="preserve">the select </w:t>
      </w:r>
      <w:r w:rsidR="65FABDCF">
        <w:t xml:space="preserve">industry standards determined by </w:t>
      </w:r>
      <w:r w:rsidR="00D11F2F">
        <w:t>the ACMA</w:t>
      </w:r>
      <w:r w:rsidR="65FABDCF">
        <w:t xml:space="preserve"> under ss 125 and 125AA of the </w:t>
      </w:r>
      <w:r w:rsidR="00AA7AED">
        <w:t>Tel Act</w:t>
      </w:r>
    </w:p>
    <w:p w14:paraId="5B9D69E8" w14:textId="77777777" w:rsidR="00522AD4" w:rsidRPr="00855F5B" w:rsidRDefault="00522AD4" w:rsidP="001019BA">
      <w:pPr>
        <w:pStyle w:val="ListParagraph"/>
        <w:numPr>
          <w:ilvl w:val="0"/>
          <w:numId w:val="17"/>
        </w:numPr>
      </w:pPr>
      <w:r w:rsidRPr="00855F5B">
        <w:t>the select service provider rules; and</w:t>
      </w:r>
    </w:p>
    <w:p w14:paraId="40F4E06B" w14:textId="77777777" w:rsidR="00291839" w:rsidRPr="00855F5B" w:rsidRDefault="00522AD4" w:rsidP="001019BA">
      <w:pPr>
        <w:pStyle w:val="ListParagraph"/>
        <w:numPr>
          <w:ilvl w:val="0"/>
          <w:numId w:val="17"/>
        </w:numPr>
      </w:pPr>
      <w:r w:rsidRPr="00855F5B">
        <w:t>the select carrier licence conditions.</w:t>
      </w:r>
    </w:p>
    <w:p w14:paraId="0D523B5F" w14:textId="0A369085" w:rsidR="00F83B14" w:rsidRPr="00855F5B" w:rsidRDefault="00907EBA" w:rsidP="00F83B14">
      <w:r>
        <w:t xml:space="preserve">On its website, </w:t>
      </w:r>
      <w:r w:rsidR="00D11F2F">
        <w:t>the ACMA</w:t>
      </w:r>
      <w:r>
        <w:t xml:space="preserve"> publishes lists of telecommunications investigations dating back to 2017</w:t>
      </w:r>
      <w:r w:rsidR="00646A26">
        <w:t>.</w:t>
      </w:r>
      <w:r w:rsidR="00244308">
        <w:rPr>
          <w:rStyle w:val="FootnoteReference"/>
        </w:rPr>
        <w:footnoteReference w:id="184"/>
      </w:r>
      <w:r w:rsidR="00646A26">
        <w:t xml:space="preserve"> </w:t>
      </w:r>
      <w:r w:rsidR="28AEF5EB">
        <w:t>We analysed the data, supplementing it where appropriate</w:t>
      </w:r>
      <w:r w:rsidR="1EE5D81A">
        <w:t xml:space="preserve"> and possible</w:t>
      </w:r>
      <w:r w:rsidR="28AEF5EB">
        <w:t xml:space="preserve">, with </w:t>
      </w:r>
      <w:r w:rsidR="00D11F2F">
        <w:t>the ACMA</w:t>
      </w:r>
      <w:r w:rsidR="28AEF5EB">
        <w:t xml:space="preserve"> </w:t>
      </w:r>
      <w:r w:rsidR="158A9A9C">
        <w:t xml:space="preserve">investigation </w:t>
      </w:r>
      <w:r w:rsidR="5532291A">
        <w:t>r</w:t>
      </w:r>
      <w:r w:rsidR="28AEF5EB">
        <w:t>eports</w:t>
      </w:r>
      <w:r w:rsidR="15190B3E">
        <w:t>,</w:t>
      </w:r>
      <w:r w:rsidR="28AEF5EB">
        <w:t xml:space="preserve"> </w:t>
      </w:r>
      <w:r w:rsidR="4937EA46">
        <w:t>enforcement instruments (where available)</w:t>
      </w:r>
      <w:r w:rsidR="15190B3E">
        <w:t xml:space="preserve">, Annual Reports and information from other </w:t>
      </w:r>
      <w:r w:rsidR="00D11F2F">
        <w:t>the ACMA</w:t>
      </w:r>
      <w:r w:rsidR="15190B3E">
        <w:t xml:space="preserve"> publications and public statements, as well as from</w:t>
      </w:r>
      <w:r w:rsidR="4937EA46">
        <w:t xml:space="preserve"> </w:t>
      </w:r>
      <w:r w:rsidR="00EF0733">
        <w:t>F</w:t>
      </w:r>
      <w:r w:rsidR="28AEF5EB">
        <w:t xml:space="preserve">ederal </w:t>
      </w:r>
      <w:r w:rsidR="00EF0733">
        <w:t>C</w:t>
      </w:r>
      <w:r w:rsidR="28AEF5EB">
        <w:t xml:space="preserve">ourt decisions where civil penalties were imposed. </w:t>
      </w:r>
    </w:p>
    <w:p w14:paraId="3E40CED6" w14:textId="076B98FC" w:rsidR="00202DF0" w:rsidRDefault="49D29438" w:rsidP="00F83B14">
      <w:r>
        <w:t>The</w:t>
      </w:r>
      <w:r w:rsidR="4C2C3B27">
        <w:t xml:space="preserve"> data collected </w:t>
      </w:r>
      <w:r>
        <w:t xml:space="preserve">includes the names of all service providers against whom </w:t>
      </w:r>
      <w:r w:rsidR="2C096C13">
        <w:t xml:space="preserve">publicised </w:t>
      </w:r>
      <w:r>
        <w:t xml:space="preserve">enforcement action was taken between 1 January 2010 and </w:t>
      </w:r>
      <w:r w:rsidR="1E787B38">
        <w:t>30</w:t>
      </w:r>
      <w:r>
        <w:t xml:space="preserve"> June 2023</w:t>
      </w:r>
      <w:r w:rsidR="47CF0448">
        <w:t>;</w:t>
      </w:r>
      <w:r>
        <w:t xml:space="preserve"> the provisions </w:t>
      </w:r>
      <w:r w:rsidR="00D11F2F">
        <w:t>the ACMA</w:t>
      </w:r>
      <w:r>
        <w:t xml:space="preserve"> found they had breached when </w:t>
      </w:r>
      <w:r w:rsidR="00D11F2F">
        <w:t>the ACMA</w:t>
      </w:r>
      <w:r>
        <w:t xml:space="preserve"> took enforcement action</w:t>
      </w:r>
      <w:r w:rsidR="47CF0448">
        <w:t>;</w:t>
      </w:r>
      <w:r>
        <w:t xml:space="preserve"> and the number and types of enforcement actions </w:t>
      </w:r>
      <w:r w:rsidR="00D11F2F">
        <w:t>the ACMA</w:t>
      </w:r>
      <w:r>
        <w:t xml:space="preserve"> took against each service provider.</w:t>
      </w:r>
      <w:r w:rsidR="2BE29CA5">
        <w:t xml:space="preserve"> The data collected also includes the names of </w:t>
      </w:r>
      <w:r w:rsidR="1679122A">
        <w:t>2</w:t>
      </w:r>
      <w:r w:rsidR="06CE6E54">
        <w:t>6</w:t>
      </w:r>
      <w:r w:rsidR="1679122A">
        <w:t xml:space="preserve"> </w:t>
      </w:r>
      <w:r w:rsidR="5CE30C6A">
        <w:t xml:space="preserve">providers </w:t>
      </w:r>
      <w:r w:rsidR="1395BDE4">
        <w:t xml:space="preserve">that </w:t>
      </w:r>
      <w:r w:rsidR="00D11F2F">
        <w:t>the ACMA</w:t>
      </w:r>
      <w:r w:rsidR="0C6BBB77">
        <w:t xml:space="preserve"> </w:t>
      </w:r>
      <w:r w:rsidR="5417A4B0">
        <w:t xml:space="preserve">found </w:t>
      </w:r>
      <w:r w:rsidR="235061D4">
        <w:t xml:space="preserve">(and publicly announced) </w:t>
      </w:r>
      <w:r w:rsidR="5417A4B0">
        <w:t xml:space="preserve">had </w:t>
      </w:r>
      <w:r w:rsidR="29789D84">
        <w:t>engaged in contravening conduct but</w:t>
      </w:r>
      <w:r w:rsidR="5A9FD5EA">
        <w:t xml:space="preserve"> </w:t>
      </w:r>
      <w:r w:rsidR="56E4D3B1">
        <w:t xml:space="preserve">against whom no </w:t>
      </w:r>
      <w:r w:rsidR="5A9FD5EA">
        <w:t>enforcement action</w:t>
      </w:r>
      <w:r w:rsidR="539B87ED">
        <w:t xml:space="preserve"> was taken</w:t>
      </w:r>
      <w:r w:rsidR="5A9FD5EA">
        <w:t>.</w:t>
      </w:r>
      <w:r w:rsidR="00B16788">
        <w:rPr>
          <w:rStyle w:val="FootnoteReference"/>
        </w:rPr>
        <w:footnoteReference w:id="185"/>
      </w:r>
      <w:r w:rsidR="00B16788">
        <w:t xml:space="preserve"> </w:t>
      </w:r>
    </w:p>
    <w:p w14:paraId="2380C27D" w14:textId="2218E960" w:rsidR="00612FFF" w:rsidRPr="00F83B14" w:rsidRDefault="28AEF5EB" w:rsidP="00F83B14">
      <w:pPr>
        <w:rPr>
          <w:highlight w:val="yellow"/>
        </w:rPr>
      </w:pPr>
      <w:r w:rsidRPr="00591B5B">
        <w:rPr>
          <w:color w:val="000000" w:themeColor="text1"/>
        </w:rPr>
        <w:t>T</w:t>
      </w:r>
      <w:r>
        <w:t xml:space="preserve">he data covers the period 1 January 2010 to </w:t>
      </w:r>
      <w:r w:rsidR="726CFB97">
        <w:t>30</w:t>
      </w:r>
      <w:r>
        <w:t xml:space="preserve"> June 2023 for three principal reasons. First, ACCAN provided us with a table</w:t>
      </w:r>
      <w:r w:rsidR="2C4E38DF">
        <w:t xml:space="preserve">, prepared by </w:t>
      </w:r>
      <w:r w:rsidR="00D11F2F">
        <w:t>the ACMA</w:t>
      </w:r>
      <w:r w:rsidR="2C4E38DF">
        <w:t>,</w:t>
      </w:r>
      <w:r>
        <w:t xml:space="preserve"> of </w:t>
      </w:r>
      <w:r w:rsidR="1679122A">
        <w:t xml:space="preserve">publicly announced investigations </w:t>
      </w:r>
      <w:r w:rsidR="0FB5088C">
        <w:lastRenderedPageBreak/>
        <w:t xml:space="preserve">listed </w:t>
      </w:r>
      <w:r w:rsidR="1679122A">
        <w:t xml:space="preserve">on its website of </w:t>
      </w:r>
      <w:r w:rsidR="42BE4AD3">
        <w:t xml:space="preserve">all </w:t>
      </w:r>
      <w:r>
        <w:t>consumer-related enforcement action between 2017 and 2022. Second, we felt that enforcement data covering a wider time span was necessary to provide a more accurate basis for further study and discussion. Third, we had already collated information relating to the enforcement of the TCP Code for the period 1 January 2010 to 31 December 2016 for another research project</w:t>
      </w:r>
      <w:r w:rsidR="47CF0448">
        <w:t>.</w:t>
      </w:r>
      <w:r>
        <w:t xml:space="preserve"> The methodology used to collect the data is fully explained in Annex B.</w:t>
      </w:r>
      <w:r w:rsidR="31E1EAFF">
        <w:t xml:space="preserve"> </w:t>
      </w:r>
    </w:p>
    <w:p w14:paraId="4C4E4ADC" w14:textId="34A2471F" w:rsidR="6DD55469" w:rsidRDefault="10254595" w:rsidP="739C5FC2">
      <w:r>
        <w:t xml:space="preserve">When reading the statistics </w:t>
      </w:r>
      <w:r w:rsidR="02604BCA">
        <w:t xml:space="preserve">and other information </w:t>
      </w:r>
      <w:r>
        <w:t>provided below</w:t>
      </w:r>
      <w:r w:rsidR="12C76C7F">
        <w:t xml:space="preserve">, it is </w:t>
      </w:r>
      <w:r w:rsidR="41E331FF">
        <w:t xml:space="preserve">important to keep </w:t>
      </w:r>
      <w:r w:rsidR="47CF0448">
        <w:t xml:space="preserve">in mind </w:t>
      </w:r>
      <w:r w:rsidR="41E331FF">
        <w:t>the following limitations of the research</w:t>
      </w:r>
      <w:r w:rsidR="30B93413">
        <w:t>.</w:t>
      </w:r>
    </w:p>
    <w:p w14:paraId="7A8AAF2A" w14:textId="7300D2DE" w:rsidR="003D0200" w:rsidRDefault="1C5508F9" w:rsidP="001019BA">
      <w:pPr>
        <w:pStyle w:val="ListParagraph"/>
        <w:numPr>
          <w:ilvl w:val="0"/>
          <w:numId w:val="11"/>
        </w:numPr>
      </w:pPr>
      <w:r>
        <w:t>The data is not comprehensive</w:t>
      </w:r>
      <w:r w:rsidR="00EA390D">
        <w:t xml:space="preserve"> because:</w:t>
      </w:r>
      <w:r>
        <w:t xml:space="preserve"> </w:t>
      </w:r>
    </w:p>
    <w:p w14:paraId="0D33CFAD" w14:textId="2C6518FB" w:rsidR="00597B15" w:rsidRDefault="00597B15" w:rsidP="001019BA">
      <w:pPr>
        <w:pStyle w:val="ListParagraph"/>
        <w:numPr>
          <w:ilvl w:val="1"/>
          <w:numId w:val="11"/>
        </w:numPr>
      </w:pPr>
      <w:r>
        <w:t>it is based on publicised investigations concerning breaches of the select consumer-protection rules that are the focus of this report;</w:t>
      </w:r>
    </w:p>
    <w:p w14:paraId="51C3EACA" w14:textId="654CB7B6" w:rsidR="00597B15" w:rsidRDefault="00597B15" w:rsidP="001019BA">
      <w:pPr>
        <w:pStyle w:val="ListParagraph"/>
        <w:numPr>
          <w:ilvl w:val="1"/>
          <w:numId w:val="11"/>
        </w:numPr>
      </w:pPr>
      <w:r>
        <w:t>it</w:t>
      </w:r>
      <w:r w:rsidR="003D0200">
        <w:t xml:space="preserve"> </w:t>
      </w:r>
      <w:r w:rsidR="1C5508F9">
        <w:t xml:space="preserve">is based on investigations </w:t>
      </w:r>
      <w:r w:rsidR="003D0200">
        <w:t xml:space="preserve">and enforcement actions </w:t>
      </w:r>
      <w:r w:rsidR="1C5508F9">
        <w:t xml:space="preserve">that </w:t>
      </w:r>
      <w:r w:rsidR="00D11F2F">
        <w:t>the ACMA</w:t>
      </w:r>
      <w:r w:rsidR="1C5508F9">
        <w:t xml:space="preserve"> has chosen to publicise</w:t>
      </w:r>
      <w:r w:rsidR="763B1057">
        <w:t xml:space="preserve"> on its website </w:t>
      </w:r>
      <w:r w:rsidR="003D0200">
        <w:t>and/</w:t>
      </w:r>
      <w:r w:rsidR="763B1057">
        <w:t xml:space="preserve">or </w:t>
      </w:r>
      <w:r w:rsidR="02AEA251">
        <w:t xml:space="preserve">in </w:t>
      </w:r>
      <w:r w:rsidR="763B1057">
        <w:t>its Annual Reports</w:t>
      </w:r>
      <w:r>
        <w:t xml:space="preserve"> and does not include investigations that </w:t>
      </w:r>
      <w:r w:rsidR="00D11F2F">
        <w:t>the ACMA</w:t>
      </w:r>
      <w:r>
        <w:t xml:space="preserve"> has decided are not in the public interest to publicise</w:t>
      </w:r>
      <w:r w:rsidR="00D245A4">
        <w:t>;</w:t>
      </w:r>
      <w:r>
        <w:t xml:space="preserve"> </w:t>
      </w:r>
    </w:p>
    <w:p w14:paraId="03719898" w14:textId="278C62F0" w:rsidR="00597B15" w:rsidRDefault="36B85929" w:rsidP="001019BA">
      <w:pPr>
        <w:pStyle w:val="ListParagraph"/>
        <w:numPr>
          <w:ilvl w:val="1"/>
          <w:numId w:val="11"/>
        </w:numPr>
      </w:pPr>
      <w:r>
        <w:t xml:space="preserve">many investigation reports (and related enforcement actions) that </w:t>
      </w:r>
      <w:r w:rsidR="00D11F2F">
        <w:t>the ACMA</w:t>
      </w:r>
      <w:r>
        <w:t xml:space="preserve"> has prepared and published since its establishment in 2005 are no longer available on its website</w:t>
      </w:r>
      <w:r w:rsidR="00202DF0">
        <w:t>.</w:t>
      </w:r>
      <w:r w:rsidR="00202DF0">
        <w:rPr>
          <w:rStyle w:val="FootnoteReference"/>
        </w:rPr>
        <w:footnoteReference w:id="186"/>
      </w:r>
    </w:p>
    <w:p w14:paraId="39232556" w14:textId="0899B1C8" w:rsidR="00D245A4" w:rsidRDefault="2B7532CB" w:rsidP="001019BA">
      <w:pPr>
        <w:pStyle w:val="ListParagraph"/>
        <w:numPr>
          <w:ilvl w:val="0"/>
          <w:numId w:val="11"/>
        </w:numPr>
      </w:pPr>
      <w:r>
        <w:t xml:space="preserve">Where there were inconsistencies between </w:t>
      </w:r>
      <w:r w:rsidR="00D11F2F">
        <w:t>the ACMA</w:t>
      </w:r>
      <w:r>
        <w:t xml:space="preserve">’s website and its Annual Reports, we </w:t>
      </w:r>
      <w:r w:rsidR="06CE6E54" w:rsidRPr="000A0506">
        <w:t>generally</w:t>
      </w:r>
      <w:r w:rsidR="06CE6E54">
        <w:t xml:space="preserve"> </w:t>
      </w:r>
      <w:r>
        <w:t>deferred to the information in its Annual Reports.</w:t>
      </w:r>
      <w:r w:rsidR="06CE6E54">
        <w:t xml:space="preserve"> Our approach is explained further in Annex B.</w:t>
      </w:r>
    </w:p>
    <w:p w14:paraId="5DA30813" w14:textId="571E4565" w:rsidR="00D245A4" w:rsidRDefault="00D245A4" w:rsidP="001019BA">
      <w:pPr>
        <w:pStyle w:val="ListParagraph"/>
        <w:numPr>
          <w:ilvl w:val="0"/>
          <w:numId w:val="11"/>
        </w:numPr>
      </w:pPr>
      <w:r>
        <w:t xml:space="preserve">The data collected does not enable us to determine if </w:t>
      </w:r>
      <w:r w:rsidR="00D11F2F">
        <w:t>the ACMA</w:t>
      </w:r>
      <w:r>
        <w:t xml:space="preserve"> staff adopted a ‘tit for tat’ understanding of responsiveness or a ‘restorative justice’ understanding of responsiveness (as explained in Chapter 1 above); the attitudes telecommunications providers displayed at the time of breach; whether and how that attitude influenced the enforcement response of </w:t>
      </w:r>
      <w:r w:rsidR="00D11F2F">
        <w:t>the ACMA</w:t>
      </w:r>
      <w:r>
        <w:t xml:space="preserve"> staff; and the extent to which </w:t>
      </w:r>
      <w:r w:rsidR="00D11F2F">
        <w:t>the ACMA</w:t>
      </w:r>
      <w:r>
        <w:t xml:space="preserve"> may have opted to take alternative enforcement action had the mechanisms within </w:t>
      </w:r>
      <w:r w:rsidR="00AA7AED">
        <w:t>Tel Act</w:t>
      </w:r>
      <w:r>
        <w:t xml:space="preserve"> been different. </w:t>
      </w:r>
    </w:p>
    <w:p w14:paraId="4381CFEF" w14:textId="28000FB5" w:rsidR="00BC15EF" w:rsidRDefault="00D245A4" w:rsidP="00EF0733">
      <w:pPr>
        <w:pStyle w:val="ListParagraph"/>
        <w:ind w:left="0"/>
      </w:pPr>
      <w:r>
        <w:t xml:space="preserve">Further research is required to begin to make a thorough assessment of </w:t>
      </w:r>
      <w:r w:rsidR="00D11F2F">
        <w:t>the ACMA</w:t>
      </w:r>
      <w:r>
        <w:t>'s enforcement practices.</w:t>
      </w:r>
    </w:p>
    <w:p w14:paraId="456EFAFB" w14:textId="6503DF52" w:rsidR="003756B8" w:rsidRDefault="00DF64D1" w:rsidP="003756B8">
      <w:pPr>
        <w:pStyle w:val="Heading3"/>
      </w:pPr>
      <w:bookmarkStart w:id="157" w:name="_Toc161836175"/>
      <w:r>
        <w:t>2. Contextual Information</w:t>
      </w:r>
      <w:bookmarkEnd w:id="157"/>
    </w:p>
    <w:p w14:paraId="7360C33A" w14:textId="37991584" w:rsidR="0033165A" w:rsidRDefault="0033165A" w:rsidP="003756B8">
      <w:pPr>
        <w:rPr>
          <w:rFonts w:eastAsia="Arial" w:cs="Arial"/>
        </w:rPr>
      </w:pPr>
      <w:r>
        <w:rPr>
          <w:rFonts w:eastAsia="Arial" w:cs="Arial"/>
        </w:rPr>
        <w:t>When reading this chapter, t</w:t>
      </w:r>
      <w:r w:rsidR="00DF64D1" w:rsidRPr="12EC14AA">
        <w:rPr>
          <w:rFonts w:eastAsia="Arial" w:cs="Arial"/>
        </w:rPr>
        <w:t xml:space="preserve">here are </w:t>
      </w:r>
      <w:r>
        <w:rPr>
          <w:rFonts w:eastAsia="Arial" w:cs="Arial"/>
        </w:rPr>
        <w:t xml:space="preserve">also </w:t>
      </w:r>
      <w:r w:rsidR="00DF64D1" w:rsidRPr="12EC14AA">
        <w:rPr>
          <w:rFonts w:eastAsia="Arial" w:cs="Arial"/>
        </w:rPr>
        <w:t>three aspects of contextual information</w:t>
      </w:r>
      <w:r>
        <w:rPr>
          <w:rFonts w:eastAsia="Arial" w:cs="Arial"/>
        </w:rPr>
        <w:t xml:space="preserve"> to consider</w:t>
      </w:r>
      <w:r w:rsidR="00DF64D1" w:rsidRPr="12EC14AA">
        <w:rPr>
          <w:rFonts w:eastAsia="Arial" w:cs="Arial"/>
        </w:rPr>
        <w:t>.</w:t>
      </w:r>
    </w:p>
    <w:p w14:paraId="65D88435" w14:textId="1138FB15" w:rsidR="00744700" w:rsidRDefault="0033165A" w:rsidP="003756B8">
      <w:r w:rsidRPr="12EC14AA">
        <w:rPr>
          <w:rFonts w:eastAsia="Arial" w:cs="Arial"/>
        </w:rPr>
        <w:t>First, we</w:t>
      </w:r>
      <w:r w:rsidR="00744700" w:rsidRPr="12EC14AA">
        <w:rPr>
          <w:rFonts w:eastAsia="Arial" w:cs="Arial"/>
        </w:rPr>
        <w:t xml:space="preserve"> note above</w:t>
      </w:r>
      <w:r w:rsidR="00925654" w:rsidRPr="12EC14AA">
        <w:rPr>
          <w:rFonts w:eastAsia="Arial" w:cs="Arial"/>
        </w:rPr>
        <w:t xml:space="preserve"> that</w:t>
      </w:r>
      <w:r w:rsidR="00744700" w:rsidRPr="12EC14AA">
        <w:rPr>
          <w:rFonts w:eastAsia="Arial" w:cs="Arial"/>
        </w:rPr>
        <w:t xml:space="preserve"> </w:t>
      </w:r>
      <w:r w:rsidR="00D11F2F">
        <w:rPr>
          <w:rFonts w:eastAsia="Arial" w:cs="Arial"/>
        </w:rPr>
        <w:t>the ACMA</w:t>
      </w:r>
      <w:r w:rsidR="00744700">
        <w:t xml:space="preserve"> does not report each year on the total number of investigations opened and closed, and as a result, we are unable to describe how </w:t>
      </w:r>
      <w:r w:rsidR="00D11F2F">
        <w:t>the ACMA</w:t>
      </w:r>
      <w:r w:rsidR="00744700">
        <w:t xml:space="preserve"> has exercised its discretion to open and close investigations without making a finding of breach. Having said that, below are examples of </w:t>
      </w:r>
      <w:r w:rsidR="00D11F2F">
        <w:t>the ACMA</w:t>
      </w:r>
      <w:r w:rsidR="00744700">
        <w:t>’s reporting on total numbers of investigations:</w:t>
      </w:r>
      <w:r w:rsidR="00744700">
        <w:rPr>
          <w:rStyle w:val="FootnoteReference"/>
        </w:rPr>
        <w:footnoteReference w:id="187"/>
      </w:r>
    </w:p>
    <w:p w14:paraId="3E54C10B" w14:textId="27CF7191" w:rsidR="00744700" w:rsidRDefault="00744700" w:rsidP="001019BA">
      <w:pPr>
        <w:pStyle w:val="ListParagraph"/>
        <w:numPr>
          <w:ilvl w:val="0"/>
          <w:numId w:val="56"/>
        </w:numPr>
        <w:ind w:left="720"/>
      </w:pPr>
      <w:r>
        <w:lastRenderedPageBreak/>
        <w:t xml:space="preserve">In 2009-10, </w:t>
      </w:r>
      <w:r w:rsidR="00D11F2F">
        <w:t>the ACMA</w:t>
      </w:r>
      <w:r>
        <w:t xml:space="preserve"> recorded 159 ‘code compliance matters affecting telecommunications consumers’. Of these, 21 proceeded to a formal investigation and 5 resulted in a breach finding.</w:t>
      </w:r>
    </w:p>
    <w:p w14:paraId="547E8A07" w14:textId="4CC4BB5A" w:rsidR="00744700" w:rsidRDefault="00744700" w:rsidP="001019BA">
      <w:pPr>
        <w:pStyle w:val="ListParagraph"/>
        <w:numPr>
          <w:ilvl w:val="0"/>
          <w:numId w:val="56"/>
        </w:numPr>
        <w:ind w:left="720"/>
      </w:pPr>
      <w:r>
        <w:t xml:space="preserve">In 2016-17, </w:t>
      </w:r>
      <w:r w:rsidR="00D11F2F">
        <w:t>the ACMA</w:t>
      </w:r>
      <w:r>
        <w:t xml:space="preserve"> recorded 122 preliminary inquiries into TCP Code compliance with 36 formal investigations concluded. It also opened 4 investigations into TIO scheme membership and 2 investigations into TIO scheme compliance.</w:t>
      </w:r>
    </w:p>
    <w:p w14:paraId="725038D9" w14:textId="68D68997" w:rsidR="00925654" w:rsidRPr="00244B82" w:rsidRDefault="00925654" w:rsidP="001019BA">
      <w:pPr>
        <w:pStyle w:val="ListParagraph"/>
        <w:numPr>
          <w:ilvl w:val="0"/>
          <w:numId w:val="56"/>
        </w:numPr>
        <w:ind w:left="720"/>
      </w:pPr>
      <w:r>
        <w:t xml:space="preserve">In 2021-22, </w:t>
      </w:r>
      <w:r w:rsidR="00D11F2F">
        <w:t>the ACMA</w:t>
      </w:r>
      <w:r>
        <w:t xml:space="preserve"> finalised 36 investigations into ‘telecommunications consumer safeguards’. It opened 32 such investigations as well as 7 investigations into numbering and IPND obligations.</w:t>
      </w:r>
    </w:p>
    <w:p w14:paraId="5854739D" w14:textId="275549C3" w:rsidR="00AD076B" w:rsidRDefault="00925654" w:rsidP="00744700">
      <w:r>
        <w:t>Second</w:t>
      </w:r>
      <w:r w:rsidR="77AC75EB">
        <w:t xml:space="preserve">, </w:t>
      </w:r>
      <w:r w:rsidR="00D11F2F">
        <w:t>the ACMA</w:t>
      </w:r>
      <w:r w:rsidR="77AC75EB">
        <w:t xml:space="preserve"> undertook numerous compliance audits of communications providers between </w:t>
      </w:r>
      <w:r w:rsidR="78CA217F">
        <w:t xml:space="preserve">1 </w:t>
      </w:r>
      <w:r w:rsidR="69D88A71">
        <w:t>July</w:t>
      </w:r>
      <w:r w:rsidR="6424BE80">
        <w:t xml:space="preserve"> </w:t>
      </w:r>
      <w:r w:rsidR="78CA217F">
        <w:t>20</w:t>
      </w:r>
      <w:r w:rsidR="69D88A71">
        <w:t>09</w:t>
      </w:r>
      <w:r w:rsidR="77AC75EB">
        <w:t xml:space="preserve"> and 30 June 202</w:t>
      </w:r>
      <w:r w:rsidR="51CA2239">
        <w:t>3</w:t>
      </w:r>
      <w:r w:rsidR="77AC75EB">
        <w:t xml:space="preserve">, finding high levels of compliance in </w:t>
      </w:r>
      <w:r w:rsidR="4B4A502C">
        <w:t xml:space="preserve">several </w:t>
      </w:r>
      <w:r w:rsidR="77AC75EB">
        <w:t xml:space="preserve">instances. The </w:t>
      </w:r>
      <w:r w:rsidR="78CA217F">
        <w:t xml:space="preserve">targeted </w:t>
      </w:r>
      <w:r w:rsidR="77AC75EB">
        <w:t>rules included: the MPS and TCP codes, IPND</w:t>
      </w:r>
      <w:r w:rsidR="51CA2239">
        <w:t xml:space="preserve"> rules</w:t>
      </w:r>
      <w:r w:rsidR="77AC75EB">
        <w:t xml:space="preserve">, the NBN </w:t>
      </w:r>
      <w:r w:rsidR="74DCB02F">
        <w:t>c</w:t>
      </w:r>
      <w:r w:rsidR="77AC75EB">
        <w:t xml:space="preserve">onsumer </w:t>
      </w:r>
      <w:r w:rsidR="74DCB02F">
        <w:t>e</w:t>
      </w:r>
      <w:r w:rsidR="77AC75EB">
        <w:t xml:space="preserve">xperience </w:t>
      </w:r>
      <w:r w:rsidR="74DCB02F">
        <w:t>s</w:t>
      </w:r>
      <w:r w:rsidR="77AC75EB">
        <w:t>afeguards, and the Telecom</w:t>
      </w:r>
      <w:r w:rsidR="4B4A502C">
        <w:t>m</w:t>
      </w:r>
      <w:r w:rsidR="77AC75EB">
        <w:t xml:space="preserve">unications (Consumer Complaints Handling) Industry Standard 2018. </w:t>
      </w:r>
      <w:r w:rsidR="00013270">
        <w:t xml:space="preserve">Further details of some </w:t>
      </w:r>
      <w:r w:rsidR="77AC75EB">
        <w:t xml:space="preserve">of </w:t>
      </w:r>
      <w:r w:rsidR="00D11F2F">
        <w:t>the ACMA</w:t>
      </w:r>
      <w:r w:rsidR="77AC75EB">
        <w:t>’s compliance audits during this period</w:t>
      </w:r>
      <w:r w:rsidR="74DCB02F">
        <w:t xml:space="preserve">, based </w:t>
      </w:r>
      <w:r w:rsidR="00880CD1">
        <w:t>o</w:t>
      </w:r>
      <w:r w:rsidR="74DCB02F">
        <w:t xml:space="preserve">n information in </w:t>
      </w:r>
      <w:r w:rsidR="00D11F2F">
        <w:t>the ACMA</w:t>
      </w:r>
      <w:r w:rsidR="74DCB02F">
        <w:t>’s Annual Reports,</w:t>
      </w:r>
      <w:r w:rsidR="77AC75EB">
        <w:t xml:space="preserve"> is set out in Annex </w:t>
      </w:r>
      <w:r w:rsidR="546429FF">
        <w:t>C</w:t>
      </w:r>
      <w:r w:rsidR="77AC75EB">
        <w:t>.</w:t>
      </w:r>
      <w:r w:rsidR="00AD076B">
        <w:t xml:space="preserve"> As an example, one of these, in 2013-14, concerned compliance with the TCP Code: </w:t>
      </w:r>
    </w:p>
    <w:p w14:paraId="3AE43EF4" w14:textId="330184D1" w:rsidR="00AD076B" w:rsidRPr="0052533F" w:rsidRDefault="002F2EE3" w:rsidP="00AD076B">
      <w:pPr>
        <w:ind w:left="720"/>
        <w:rPr>
          <w:szCs w:val="21"/>
        </w:rPr>
      </w:pPr>
      <w:r w:rsidRPr="0052533F">
        <w:rPr>
          <w:szCs w:val="21"/>
        </w:rPr>
        <w:t xml:space="preserve">Following </w:t>
      </w:r>
      <w:r w:rsidR="00971303" w:rsidRPr="0052533F">
        <w:rPr>
          <w:szCs w:val="21"/>
        </w:rPr>
        <w:t xml:space="preserve">its </w:t>
      </w:r>
      <w:r w:rsidR="00AD076B" w:rsidRPr="0052533F">
        <w:rPr>
          <w:szCs w:val="21"/>
        </w:rPr>
        <w:t xml:space="preserve">March 2013 audit of critical information summaries, the </w:t>
      </w:r>
      <w:r w:rsidR="00D11F2F">
        <w:rPr>
          <w:szCs w:val="21"/>
        </w:rPr>
        <w:t>ACMA</w:t>
      </w:r>
      <w:r w:rsidR="00AD076B" w:rsidRPr="0052533F">
        <w:rPr>
          <w:szCs w:val="21"/>
        </w:rPr>
        <w:t xml:space="preserve"> conducted a follow-up audit of 46 providers in March 2014 to check that they have critical information summaries and these are in the prescribed format. Of the 46 providers assessed, only two per cent failed to have a critical information summary; 90 per cent were immediately compliant … </w:t>
      </w:r>
    </w:p>
    <w:p w14:paraId="614FE636" w14:textId="5C511307" w:rsidR="00AD076B" w:rsidRPr="00B55D1D" w:rsidRDefault="00AD076B" w:rsidP="00AD076B">
      <w:pPr>
        <w:ind w:left="720"/>
        <w:rPr>
          <w:szCs w:val="21"/>
        </w:rPr>
      </w:pPr>
      <w:r w:rsidRPr="12EC14AA">
        <w:t xml:space="preserve">In December 2013, the </w:t>
      </w:r>
      <w:r w:rsidR="00D11F2F">
        <w:t>ACMA</w:t>
      </w:r>
      <w:r w:rsidRPr="12EC14AA">
        <w:t xml:space="preserve"> commenced an audit of seven large and medium-sized providers of included value plans to assess their compliance with the usage alert requirements. The </w:t>
      </w:r>
      <w:r w:rsidR="00D11F2F">
        <w:t>ACMA</w:t>
      </w:r>
      <w:r w:rsidRPr="12EC14AA">
        <w:t xml:space="preserve"> found that most providers had a small incidence of failure to send notifications or the correct information at the 100 per cent notification level. However, all providers aside from one (discussed below) addressed systemic issues and were deemed compliant. The audit found that Dodo Services Pty Ltd (Dodo) did not comply with the required usage notification requirements, as it failed to send alerts to customers about their data use. The failure affected certain Dodo customers with a fixed broadband service during October and November 2013. In May 2014, the </w:t>
      </w:r>
      <w:r w:rsidR="00D11F2F">
        <w:t>ACMA</w:t>
      </w:r>
      <w:r w:rsidRPr="12EC14AA">
        <w:t xml:space="preserve"> issued Dodo with a formal warning for failing to comply with the usage alert requirements of the TCP Code</w:t>
      </w:r>
      <w:r w:rsidR="0000252A" w:rsidRPr="0052533F">
        <w:rPr>
          <w:szCs w:val="21"/>
        </w:rPr>
        <w:t>.</w:t>
      </w:r>
      <w:r w:rsidR="0000252A" w:rsidRPr="12EC14AA">
        <w:rPr>
          <w:rStyle w:val="FootnoteReference"/>
        </w:rPr>
        <w:footnoteReference w:id="188"/>
      </w:r>
    </w:p>
    <w:p w14:paraId="513FA213" w14:textId="5B9188AE" w:rsidR="00AD076B" w:rsidRPr="00662B8E" w:rsidRDefault="00AD076B" w:rsidP="00AD076B">
      <w:pPr>
        <w:rPr>
          <w:szCs w:val="21"/>
        </w:rPr>
      </w:pPr>
      <w:r>
        <w:t xml:space="preserve">More recently, </w:t>
      </w:r>
      <w:r w:rsidR="00D11F2F">
        <w:t>the ACMA</w:t>
      </w:r>
      <w:r>
        <w:t xml:space="preserve"> has conducted extensive work on hardship policies, with three annual ‘state of play’ reports and a further substantial report published in 2023 that noted </w:t>
      </w:r>
      <w:r w:rsidRPr="20A218B4">
        <w:t>‘In December 2022, we completed an audit of 15 telcos’ compliance with financial hardship and disconnection notification requirements in the TCP Code. As a result of the audit findings, we are undertaking some investigations.’</w:t>
      </w:r>
      <w:r w:rsidR="003807A1" w:rsidRPr="20A218B4">
        <w:rPr>
          <w:rStyle w:val="FootnoteReference"/>
        </w:rPr>
        <w:footnoteReference w:id="189"/>
      </w:r>
    </w:p>
    <w:p w14:paraId="59B8006E" w14:textId="104F0ED9" w:rsidR="00355F90" w:rsidRDefault="00925654" w:rsidP="0052533F">
      <w:pPr>
        <w:rPr>
          <w:rStyle w:val="normaltextrun"/>
        </w:rPr>
      </w:pPr>
      <w:r>
        <w:t>Third</w:t>
      </w:r>
      <w:r w:rsidR="284D9C59" w:rsidRPr="005623A6">
        <w:t xml:space="preserve">, </w:t>
      </w:r>
      <w:r w:rsidR="46B8ABEE">
        <w:t xml:space="preserve">there are </w:t>
      </w:r>
      <w:r w:rsidR="284D9C59" w:rsidRPr="005623A6">
        <w:t xml:space="preserve">two ‘regulatory intermediaries’ </w:t>
      </w:r>
      <w:r w:rsidR="4A165481">
        <w:t>whose functions assist in</w:t>
      </w:r>
      <w:r w:rsidR="284D9C59" w:rsidRPr="005623A6">
        <w:t xml:space="preserve"> secur</w:t>
      </w:r>
      <w:r w:rsidR="4A165481">
        <w:t>ing</w:t>
      </w:r>
      <w:r w:rsidR="284D9C59" w:rsidRPr="005623A6">
        <w:t xml:space="preserve"> telecommunications companies’ compliance with the various consumer-protection rules discussed in this report: the TIO and CommCom. Regulatory intermediaries are </w:t>
      </w:r>
      <w:r w:rsidR="284D9C59" w:rsidRPr="005623A6">
        <w:rPr>
          <w:color w:val="000000"/>
        </w:rPr>
        <w:t xml:space="preserve">third parties </w:t>
      </w:r>
      <w:r w:rsidR="284D9C59" w:rsidRPr="005623A6">
        <w:rPr>
          <w:color w:val="000000"/>
        </w:rPr>
        <w:lastRenderedPageBreak/>
        <w:t xml:space="preserve">that act on behalf of, or </w:t>
      </w:r>
      <w:r w:rsidR="37A05182">
        <w:rPr>
          <w:color w:val="000000"/>
        </w:rPr>
        <w:t xml:space="preserve">directly or indirectly </w:t>
      </w:r>
      <w:r w:rsidR="284D9C59" w:rsidRPr="005623A6">
        <w:rPr>
          <w:color w:val="000000"/>
        </w:rPr>
        <w:t>in conjunction with, regulators or targets of regulation</w:t>
      </w:r>
      <w:r w:rsidR="3F70D52D">
        <w:rPr>
          <w:color w:val="000000"/>
        </w:rPr>
        <w:t xml:space="preserve"> (and not necessarily at their behest) </w:t>
      </w:r>
      <w:r w:rsidR="284D9C59" w:rsidRPr="005623A6">
        <w:rPr>
          <w:color w:val="000000"/>
        </w:rPr>
        <w:t xml:space="preserve">to achieve </w:t>
      </w:r>
      <w:r w:rsidR="284D9C59" w:rsidRPr="005623A6">
        <w:rPr>
          <w:rStyle w:val="mark6saadr4fx"/>
          <w:color w:val="000000"/>
        </w:rPr>
        <w:t>regulatory</w:t>
      </w:r>
      <w:r w:rsidR="284D9C59" w:rsidRPr="005623A6">
        <w:rPr>
          <w:color w:val="000000"/>
        </w:rPr>
        <w:t xml:space="preserve"> objectives.</w:t>
      </w:r>
      <w:r w:rsidR="00BC15EF" w:rsidRPr="005623A6">
        <w:rPr>
          <w:rStyle w:val="FootnoteReference"/>
          <w:color w:val="000000"/>
        </w:rPr>
        <w:footnoteReference w:id="190"/>
      </w:r>
      <w:r w:rsidR="284D9C59" w:rsidRPr="005623A6">
        <w:rPr>
          <w:color w:val="000000"/>
        </w:rPr>
        <w:t xml:space="preserve"> </w:t>
      </w:r>
      <w:r w:rsidR="1EC71134" w:rsidRPr="005623A6">
        <w:rPr>
          <w:color w:val="000000"/>
        </w:rPr>
        <w:t xml:space="preserve">The TIO, for example, undertakes systemic investigations </w:t>
      </w:r>
      <w:r w:rsidR="028BD76C" w:rsidRPr="005623A6">
        <w:rPr>
          <w:color w:val="000000"/>
        </w:rPr>
        <w:t>into various matters</w:t>
      </w:r>
      <w:r w:rsidR="7CE26815" w:rsidRPr="005623A6">
        <w:rPr>
          <w:color w:val="000000"/>
        </w:rPr>
        <w:t xml:space="preserve"> that </w:t>
      </w:r>
      <w:r w:rsidR="028BD76C" w:rsidRPr="005623A6">
        <w:rPr>
          <w:color w:val="000000"/>
        </w:rPr>
        <w:t>fall within its jurisdiction</w:t>
      </w:r>
      <w:r w:rsidR="7CE26815" w:rsidRPr="005623A6">
        <w:rPr>
          <w:color w:val="000000"/>
        </w:rPr>
        <w:t xml:space="preserve">, including the TCP Code, </w:t>
      </w:r>
      <w:r w:rsidR="028BD76C" w:rsidRPr="005623A6">
        <w:rPr>
          <w:color w:val="000000"/>
        </w:rPr>
        <w:t xml:space="preserve">in response to consumer complaint trends and works with providers to address issues of concern. </w:t>
      </w:r>
      <w:r w:rsidR="7CE26815" w:rsidRPr="005623A6">
        <w:rPr>
          <w:color w:val="000000"/>
        </w:rPr>
        <w:t>Only w</w:t>
      </w:r>
      <w:r w:rsidR="028BD76C" w:rsidRPr="005623A6">
        <w:rPr>
          <w:color w:val="000000"/>
        </w:rPr>
        <w:t>he</w:t>
      </w:r>
      <w:r w:rsidR="7CE26815" w:rsidRPr="005623A6">
        <w:rPr>
          <w:color w:val="000000"/>
        </w:rPr>
        <w:t>n</w:t>
      </w:r>
      <w:r w:rsidR="028BD76C" w:rsidRPr="005623A6">
        <w:rPr>
          <w:color w:val="000000"/>
        </w:rPr>
        <w:t xml:space="preserve"> </w:t>
      </w:r>
      <w:r w:rsidR="7CE26815" w:rsidRPr="005623A6">
        <w:rPr>
          <w:color w:val="000000"/>
        </w:rPr>
        <w:t xml:space="preserve">providers fail to cooperate with the TIO will </w:t>
      </w:r>
      <w:r w:rsidR="00FF6E60">
        <w:rPr>
          <w:color w:val="000000"/>
        </w:rPr>
        <w:t>it</w:t>
      </w:r>
      <w:r w:rsidR="7CE26815" w:rsidRPr="005623A6">
        <w:rPr>
          <w:color w:val="000000"/>
        </w:rPr>
        <w:t xml:space="preserve"> refer the matters to </w:t>
      </w:r>
      <w:r w:rsidR="00D11F2F">
        <w:rPr>
          <w:color w:val="000000"/>
        </w:rPr>
        <w:t>the ACMA</w:t>
      </w:r>
      <w:r w:rsidR="7CE26815" w:rsidRPr="005623A6">
        <w:rPr>
          <w:color w:val="000000"/>
        </w:rPr>
        <w:t xml:space="preserve"> and/or </w:t>
      </w:r>
      <w:r w:rsidR="67DD19AE">
        <w:rPr>
          <w:color w:val="000000"/>
        </w:rPr>
        <w:t>another</w:t>
      </w:r>
      <w:r w:rsidR="7CE26815" w:rsidRPr="005623A6">
        <w:rPr>
          <w:color w:val="000000"/>
        </w:rPr>
        <w:t xml:space="preserve"> appropriate regulator. CommCom </w:t>
      </w:r>
      <w:r w:rsidR="70528719" w:rsidRPr="005623A6">
        <w:rPr>
          <w:color w:val="000000"/>
        </w:rPr>
        <w:t xml:space="preserve">also contributes to </w:t>
      </w:r>
      <w:r w:rsidR="12786A74" w:rsidRPr="005623A6">
        <w:rPr>
          <w:color w:val="000000"/>
        </w:rPr>
        <w:t xml:space="preserve">industry compliance when </w:t>
      </w:r>
      <w:r w:rsidR="7EEF2C42" w:rsidRPr="005623A6">
        <w:rPr>
          <w:color w:val="000000"/>
        </w:rPr>
        <w:t>evaluating the robustness of providers’ compliance attestation documentation.</w:t>
      </w:r>
      <w:bookmarkStart w:id="158" w:name="_Toc139024397"/>
      <w:bookmarkStart w:id="159" w:name="_Toc139024718"/>
      <w:bookmarkStart w:id="160" w:name="_Toc139031361"/>
      <w:bookmarkStart w:id="161" w:name="_Toc146201045"/>
      <w:bookmarkStart w:id="162" w:name="TotalEnforcementActionsandAmounts"/>
    </w:p>
    <w:p w14:paraId="06D7F555" w14:textId="4803ED6B" w:rsidR="001607BF" w:rsidRPr="00AD26FC" w:rsidRDefault="001150EC" w:rsidP="00AD26FC">
      <w:pPr>
        <w:pStyle w:val="Heading2"/>
        <w:rPr>
          <w:rStyle w:val="eop"/>
        </w:rPr>
      </w:pPr>
      <w:bookmarkStart w:id="163" w:name="_Toc161836176"/>
      <w:r>
        <w:rPr>
          <w:rStyle w:val="normaltextrun"/>
        </w:rPr>
        <w:t>B</w:t>
      </w:r>
      <w:r w:rsidR="00097990" w:rsidRPr="7EFE6C20">
        <w:rPr>
          <w:rStyle w:val="normaltextrun"/>
        </w:rPr>
        <w:t xml:space="preserve"> </w:t>
      </w:r>
      <w:r w:rsidR="70608F11" w:rsidRPr="7EFE6C20">
        <w:rPr>
          <w:rStyle w:val="normaltextrun"/>
        </w:rPr>
        <w:t xml:space="preserve">Total </w:t>
      </w:r>
      <w:r w:rsidR="51C24C83" w:rsidRPr="7EFE6C20">
        <w:rPr>
          <w:rStyle w:val="normaltextrun"/>
        </w:rPr>
        <w:t xml:space="preserve">Publicised </w:t>
      </w:r>
      <w:r w:rsidR="289B8369" w:rsidRPr="7EFE6C20">
        <w:rPr>
          <w:rStyle w:val="normaltextrun"/>
        </w:rPr>
        <w:t>E</w:t>
      </w:r>
      <w:r w:rsidR="70608F11" w:rsidRPr="7EFE6C20">
        <w:rPr>
          <w:rStyle w:val="normaltextrun"/>
        </w:rPr>
        <w:t xml:space="preserve">nforcement </w:t>
      </w:r>
      <w:r w:rsidR="289B8369" w:rsidRPr="7EFE6C20">
        <w:rPr>
          <w:rStyle w:val="normaltextrun"/>
        </w:rPr>
        <w:t>A</w:t>
      </w:r>
      <w:r w:rsidR="70608F11" w:rsidRPr="7EFE6C20">
        <w:rPr>
          <w:rStyle w:val="normaltextrun"/>
        </w:rPr>
        <w:t xml:space="preserve">ctions and </w:t>
      </w:r>
      <w:r w:rsidR="289B8369" w:rsidRPr="7EFE6C20">
        <w:rPr>
          <w:rStyle w:val="normaltextrun"/>
        </w:rPr>
        <w:t>A</w:t>
      </w:r>
      <w:r w:rsidR="70608F11" w:rsidRPr="7EFE6C20">
        <w:rPr>
          <w:rStyle w:val="normaltextrun"/>
        </w:rPr>
        <w:t xml:space="preserve">mounts of </w:t>
      </w:r>
      <w:r w:rsidR="753CADCE" w:rsidRPr="7EFE6C20">
        <w:rPr>
          <w:rStyle w:val="normaltextrun"/>
        </w:rPr>
        <w:t xml:space="preserve">Publicised </w:t>
      </w:r>
      <w:r w:rsidR="289B8369" w:rsidRPr="7EFE6C20">
        <w:rPr>
          <w:rStyle w:val="normaltextrun"/>
        </w:rPr>
        <w:t>I</w:t>
      </w:r>
      <w:r w:rsidR="70608F11" w:rsidRPr="7EFE6C20">
        <w:rPr>
          <w:rStyle w:val="normaltextrun"/>
        </w:rPr>
        <w:t xml:space="preserve">nfringement and </w:t>
      </w:r>
      <w:r w:rsidR="289B8369" w:rsidRPr="7EFE6C20">
        <w:rPr>
          <w:rStyle w:val="normaltextrun"/>
        </w:rPr>
        <w:t>C</w:t>
      </w:r>
      <w:r w:rsidR="70608F11" w:rsidRPr="7EFE6C20">
        <w:rPr>
          <w:rStyle w:val="normaltextrun"/>
        </w:rPr>
        <w:t xml:space="preserve">ivil </w:t>
      </w:r>
      <w:r w:rsidR="289B8369" w:rsidRPr="7EFE6C20">
        <w:rPr>
          <w:rStyle w:val="normaltextrun"/>
        </w:rPr>
        <w:t>P</w:t>
      </w:r>
      <w:r w:rsidR="70608F11" w:rsidRPr="7EFE6C20">
        <w:rPr>
          <w:rStyle w:val="normaltextrun"/>
        </w:rPr>
        <w:t>enalties</w:t>
      </w:r>
      <w:bookmarkEnd w:id="158"/>
      <w:bookmarkEnd w:id="159"/>
      <w:bookmarkEnd w:id="160"/>
      <w:bookmarkEnd w:id="161"/>
      <w:bookmarkEnd w:id="163"/>
      <w:r w:rsidR="70608F11" w:rsidRPr="7EFE6C20">
        <w:rPr>
          <w:rStyle w:val="eop"/>
        </w:rPr>
        <w:t> </w:t>
      </w:r>
    </w:p>
    <w:bookmarkEnd w:id="162"/>
    <w:p w14:paraId="07123AAB" w14:textId="6F7918C0" w:rsidR="00185234" w:rsidRDefault="3C358343" w:rsidP="004E5633">
      <w:r>
        <w:t xml:space="preserve">In this </w:t>
      </w:r>
      <w:r w:rsidR="0033165A">
        <w:t>section</w:t>
      </w:r>
      <w:r>
        <w:t xml:space="preserve">, </w:t>
      </w:r>
      <w:r w:rsidR="636FD929">
        <w:t xml:space="preserve">where </w:t>
      </w:r>
      <w:r w:rsidR="59BF3F8F">
        <w:t>we look at investigations, breach</w:t>
      </w:r>
      <w:r w:rsidR="7FBB3333">
        <w:t xml:space="preserve"> findings and enforcement actions in relation to </w:t>
      </w:r>
      <w:r w:rsidR="636FD929">
        <w:t>telecommunications service providers</w:t>
      </w:r>
      <w:r w:rsidR="7FBB3333">
        <w:t xml:space="preserve">, we </w:t>
      </w:r>
      <w:r w:rsidR="636FD929">
        <w:t xml:space="preserve">use the term ‘provider’ to refer to </w:t>
      </w:r>
      <w:r w:rsidR="0EC372AC">
        <w:t>companies</w:t>
      </w:r>
      <w:r w:rsidR="0510B975">
        <w:t xml:space="preserve"> including subsidiaries and associated companies that essentially use the same name in the market</w:t>
      </w:r>
      <w:r w:rsidR="7A00B1A5">
        <w:t xml:space="preserve">. For example, we </w:t>
      </w:r>
      <w:r w:rsidR="0653CC95">
        <w:t>classify</w:t>
      </w:r>
      <w:r w:rsidR="046E228A">
        <w:t xml:space="preserve"> Optus Internet Pty </w:t>
      </w:r>
      <w:r w:rsidR="4A1B9FEB">
        <w:t>Limited</w:t>
      </w:r>
      <w:r w:rsidR="046E228A">
        <w:t xml:space="preserve">, Optus Networks </w:t>
      </w:r>
      <w:r w:rsidR="4A1B9FEB">
        <w:t>Pty Limited</w:t>
      </w:r>
      <w:r w:rsidR="51B28BE4">
        <w:t>,</w:t>
      </w:r>
      <w:r w:rsidR="4A1B9FEB">
        <w:t xml:space="preserve"> Singtel Optus </w:t>
      </w:r>
      <w:r w:rsidR="5BB28763">
        <w:t xml:space="preserve">Pty </w:t>
      </w:r>
      <w:r w:rsidR="1D5F4B87">
        <w:t>Ltd</w:t>
      </w:r>
      <w:r w:rsidR="5BB28763">
        <w:t xml:space="preserve"> and Optus Mobile Pty Ltd </w:t>
      </w:r>
      <w:r w:rsidR="4A1B9FEB">
        <w:t xml:space="preserve">as ‘Optus’. </w:t>
      </w:r>
      <w:r w:rsidR="00B063B0">
        <w:t>Except where otherwise indicated, w</w:t>
      </w:r>
      <w:r w:rsidR="1F95A62E" w:rsidRPr="00385C70">
        <w:t xml:space="preserve">e have not included </w:t>
      </w:r>
      <w:r w:rsidR="7E036AB8" w:rsidRPr="00385C70">
        <w:t xml:space="preserve">companies within the same corporate group </w:t>
      </w:r>
      <w:r w:rsidR="1F95A62E" w:rsidRPr="00385C70">
        <w:t xml:space="preserve">that </w:t>
      </w:r>
      <w:r w:rsidR="7E036AB8" w:rsidRPr="00385C70">
        <w:t>use</w:t>
      </w:r>
      <w:r w:rsidR="783E23D1" w:rsidRPr="00385C70">
        <w:t>d</w:t>
      </w:r>
      <w:r w:rsidR="7E036AB8" w:rsidRPr="00385C70">
        <w:t xml:space="preserve"> different </w:t>
      </w:r>
      <w:r w:rsidR="1F95A62E" w:rsidRPr="00385C70">
        <w:t xml:space="preserve">entities to offer </w:t>
      </w:r>
      <w:r w:rsidR="7A03EF23" w:rsidRPr="00385C70">
        <w:t xml:space="preserve">differently branded </w:t>
      </w:r>
      <w:r w:rsidR="1F95A62E" w:rsidRPr="00385C70">
        <w:t>services to consumers.</w:t>
      </w:r>
      <w:r w:rsidR="1F95A62E">
        <w:t xml:space="preserve"> For example, </w:t>
      </w:r>
      <w:r w:rsidR="1531457A">
        <w:t xml:space="preserve">even though iiNet was acquired by TPG in 2015, </w:t>
      </w:r>
      <w:r w:rsidR="14ADBB12">
        <w:t>it remains as a separate ‘provider’ in our overall results.</w:t>
      </w:r>
      <w:r w:rsidR="003B109C">
        <w:rPr>
          <w:rStyle w:val="FootnoteReference"/>
        </w:rPr>
        <w:footnoteReference w:id="191"/>
      </w:r>
    </w:p>
    <w:p w14:paraId="17300449" w14:textId="5B8448D6" w:rsidR="00895E0F" w:rsidRDefault="5C753F8D" w:rsidP="00895E0F">
      <w:r>
        <w:t xml:space="preserve">Of the investigations, breach findings and enforcement actions about our selected consumer protection rules in the period from 1 January 2010 to 30 June 2023 that </w:t>
      </w:r>
      <w:r w:rsidR="00D11F2F">
        <w:t>the ACMA</w:t>
      </w:r>
      <w:r>
        <w:t xml:space="preserve"> has made public, we found: </w:t>
      </w:r>
    </w:p>
    <w:p w14:paraId="2C9052F3" w14:textId="21C7E2A7" w:rsidR="00895E0F" w:rsidRDefault="5C753F8D" w:rsidP="001019BA">
      <w:pPr>
        <w:pStyle w:val="ListParagraph"/>
        <w:numPr>
          <w:ilvl w:val="0"/>
          <w:numId w:val="57"/>
        </w:numPr>
      </w:pPr>
      <w:r>
        <w:t xml:space="preserve">there were </w:t>
      </w:r>
      <w:r w:rsidR="206DF537">
        <w:t>487</w:t>
      </w:r>
      <w:r>
        <w:t xml:space="preserve"> investigations, all but one of which resulted in a finding of at least one breach;</w:t>
      </w:r>
      <w:r w:rsidRPr="000A0D7A">
        <w:rPr>
          <w:rStyle w:val="FootnoteReference"/>
        </w:rPr>
        <w:t xml:space="preserve"> </w:t>
      </w:r>
    </w:p>
    <w:p w14:paraId="11C1E353" w14:textId="62EAA0AC" w:rsidR="00895E0F" w:rsidRDefault="69977392" w:rsidP="001019BA">
      <w:pPr>
        <w:pStyle w:val="ListParagraph"/>
        <w:numPr>
          <w:ilvl w:val="0"/>
          <w:numId w:val="57"/>
        </w:numPr>
      </w:pPr>
      <w:r>
        <w:t>320</w:t>
      </w:r>
      <w:r w:rsidR="5C753F8D">
        <w:t xml:space="preserve"> providers were the subject of these breach findings, 309 of which had at least one enforcement action taken against them;</w:t>
      </w:r>
      <w:r w:rsidR="00895E0F">
        <w:rPr>
          <w:rStyle w:val="FootnoteReference"/>
        </w:rPr>
        <w:footnoteReference w:id="192"/>
      </w:r>
    </w:p>
    <w:p w14:paraId="2F934A83" w14:textId="1201F643" w:rsidR="00895E0F" w:rsidRDefault="5C753F8D" w:rsidP="001019BA">
      <w:pPr>
        <w:pStyle w:val="ListParagraph"/>
        <w:numPr>
          <w:ilvl w:val="0"/>
          <w:numId w:val="57"/>
        </w:numPr>
      </w:pPr>
      <w:r>
        <w:t xml:space="preserve">there were </w:t>
      </w:r>
      <w:r w:rsidR="206DF537">
        <w:t>50</w:t>
      </w:r>
      <w:r w:rsidR="00E04693">
        <w:t>2</w:t>
      </w:r>
      <w:r>
        <w:t xml:space="preserve"> enforcement actions in total.</w:t>
      </w:r>
    </w:p>
    <w:p w14:paraId="3D0EC0DD" w14:textId="61274F20" w:rsidR="002C6FC4" w:rsidRDefault="49F42953" w:rsidP="002C6FC4">
      <w:r>
        <w:t xml:space="preserve">While </w:t>
      </w:r>
      <w:r w:rsidR="00126F2A">
        <w:t xml:space="preserve">the information published by </w:t>
      </w:r>
      <w:r w:rsidR="00D11F2F">
        <w:t>the ACMA</w:t>
      </w:r>
      <w:r w:rsidR="00126F2A">
        <w:t xml:space="preserve"> does not allow us</w:t>
      </w:r>
      <w:r>
        <w:t xml:space="preserve"> </w:t>
      </w:r>
      <w:r w:rsidR="180892A0">
        <w:t xml:space="preserve">to </w:t>
      </w:r>
      <w:r w:rsidR="4809608D">
        <w:t xml:space="preserve">determine </w:t>
      </w:r>
      <w:r w:rsidR="180892A0">
        <w:t xml:space="preserve">the </w:t>
      </w:r>
      <w:r w:rsidR="2C008714">
        <w:t xml:space="preserve">total </w:t>
      </w:r>
      <w:r w:rsidR="180892A0">
        <w:t>number of investigations that resulted in</w:t>
      </w:r>
      <w:r w:rsidR="30962990">
        <w:t xml:space="preserve"> </w:t>
      </w:r>
      <w:r w:rsidR="477D1C52">
        <w:t>no</w:t>
      </w:r>
      <w:r w:rsidR="4D0681CF">
        <w:t xml:space="preserve"> finding of</w:t>
      </w:r>
      <w:r w:rsidR="477D1C52">
        <w:t xml:space="preserve"> breach</w:t>
      </w:r>
      <w:r w:rsidR="180892A0">
        <w:t xml:space="preserve">, </w:t>
      </w:r>
      <w:r w:rsidR="3C259D91">
        <w:t>we found</w:t>
      </w:r>
      <w:r w:rsidR="5C550A13">
        <w:t xml:space="preserve"> </w:t>
      </w:r>
      <w:r w:rsidR="180892A0">
        <w:t xml:space="preserve">that no more than </w:t>
      </w:r>
      <w:r w:rsidR="209B1E67" w:rsidRPr="00385C70">
        <w:t>2</w:t>
      </w:r>
      <w:r w:rsidR="47853862" w:rsidRPr="00385C70">
        <w:t>6</w:t>
      </w:r>
      <w:r w:rsidR="180892A0">
        <w:t xml:space="preserve"> </w:t>
      </w:r>
      <w:r w:rsidR="480559A1">
        <w:t xml:space="preserve">publicised </w:t>
      </w:r>
      <w:r w:rsidR="180892A0">
        <w:t xml:space="preserve">investigations resulted in breach findings </w:t>
      </w:r>
      <w:r w:rsidR="06DCA737">
        <w:t xml:space="preserve">but </w:t>
      </w:r>
      <w:r w:rsidR="180892A0">
        <w:t>no formal enforcement action.</w:t>
      </w:r>
    </w:p>
    <w:p w14:paraId="52E19351" w14:textId="48F1BB7D" w:rsidR="001607BF" w:rsidRPr="00C433AE" w:rsidRDefault="41F85B03" w:rsidP="7EFE6C20">
      <w:r>
        <w:t>Of the 50</w:t>
      </w:r>
      <w:r w:rsidR="0040086D">
        <w:t>2</w:t>
      </w:r>
      <w:r>
        <w:t xml:space="preserve"> enforcement actions we found over this period, the range of actions was a</w:t>
      </w:r>
      <w:r w:rsidR="00FA36AE">
        <w:t>s</w:t>
      </w:r>
      <w:r>
        <w:t xml:space="preserve"> follows</w:t>
      </w:r>
      <w:r w:rsidR="302A5A2F">
        <w:t xml:space="preserve"> (see also Figure 1</w:t>
      </w:r>
      <w:r w:rsidR="00B92ADF">
        <w:t>6</w:t>
      </w:r>
      <w:r w:rsidR="302A5A2F">
        <w:t>)</w:t>
      </w:r>
      <w:r w:rsidR="002766FE">
        <w:t>:</w:t>
      </w:r>
      <w:r w:rsidR="00814DBE">
        <w:rPr>
          <w:rStyle w:val="FootnoteReference"/>
        </w:rPr>
        <w:footnoteReference w:id="193"/>
      </w:r>
    </w:p>
    <w:p w14:paraId="32DD7B32" w14:textId="5AFF92AE" w:rsidR="001607BF" w:rsidRPr="00314DAA" w:rsidRDefault="440015FD" w:rsidP="001019BA">
      <w:pPr>
        <w:pStyle w:val="ListParagraph"/>
        <w:numPr>
          <w:ilvl w:val="0"/>
          <w:numId w:val="36"/>
        </w:numPr>
      </w:pPr>
      <w:r>
        <w:t>296</w:t>
      </w:r>
      <w:r w:rsidR="4FC5922D">
        <w:t xml:space="preserve"> formal warnings</w:t>
      </w:r>
    </w:p>
    <w:p w14:paraId="75CBEECC" w14:textId="32927833" w:rsidR="001607BF" w:rsidRPr="00314DAA" w:rsidRDefault="440015FD" w:rsidP="001019BA">
      <w:pPr>
        <w:pStyle w:val="ListParagraph"/>
        <w:numPr>
          <w:ilvl w:val="0"/>
          <w:numId w:val="36"/>
        </w:numPr>
      </w:pPr>
      <w:r>
        <w:t>119</w:t>
      </w:r>
      <w:r w:rsidR="3FD1DB95">
        <w:t xml:space="preserve"> </w:t>
      </w:r>
      <w:r w:rsidR="4FC5922D">
        <w:t>directions to comply</w:t>
      </w:r>
    </w:p>
    <w:p w14:paraId="2B950CCF" w14:textId="04462C7E" w:rsidR="001607BF" w:rsidRPr="00314DAA" w:rsidRDefault="440015FD" w:rsidP="001019BA">
      <w:pPr>
        <w:pStyle w:val="ListParagraph"/>
        <w:numPr>
          <w:ilvl w:val="0"/>
          <w:numId w:val="36"/>
        </w:numPr>
      </w:pPr>
      <w:r>
        <w:t>41</w:t>
      </w:r>
      <w:r w:rsidR="3FD1DB95">
        <w:t xml:space="preserve"> </w:t>
      </w:r>
      <w:r w:rsidR="4FC5922D">
        <w:t>remedial directions</w:t>
      </w:r>
    </w:p>
    <w:p w14:paraId="10192F0E" w14:textId="04101817" w:rsidR="001607BF" w:rsidRPr="00314DAA" w:rsidRDefault="3FD1DB95" w:rsidP="001019BA">
      <w:pPr>
        <w:pStyle w:val="ListParagraph"/>
        <w:numPr>
          <w:ilvl w:val="0"/>
          <w:numId w:val="36"/>
        </w:numPr>
      </w:pPr>
      <w:r>
        <w:t xml:space="preserve">24 </w:t>
      </w:r>
      <w:r w:rsidR="4FC5922D">
        <w:t xml:space="preserve">infringement notices with a total value of </w:t>
      </w:r>
      <w:r w:rsidR="004C7A7C">
        <w:t>$6,143,160</w:t>
      </w:r>
      <w:r w:rsidR="4FC5922D">
        <w:t>.</w:t>
      </w:r>
    </w:p>
    <w:p w14:paraId="61876AA5" w14:textId="77777777" w:rsidR="00D31AAB" w:rsidRDefault="00D31AAB" w:rsidP="00D31AAB">
      <w:pPr>
        <w:keepNext/>
        <w:jc w:val="center"/>
      </w:pPr>
      <w:r w:rsidRPr="00EA26A4">
        <w:rPr>
          <w:noProof/>
        </w:rPr>
        <w:lastRenderedPageBreak/>
        <w:drawing>
          <wp:inline distT="0" distB="0" distL="0" distR="0" wp14:anchorId="32BB0E58" wp14:editId="760814FC">
            <wp:extent cx="3595254" cy="2787065"/>
            <wp:effectExtent l="0" t="0" r="0" b="0"/>
            <wp:docPr id="1698926097" name="Picture 1698926097" descr="Figure 16: Breakdown of enforcement actions taken by type. Pie chart showing the share of the total 502 of the various enforcement actions. As presented in the bullet points along with thinner slices for enforceable undertakings (17), civil penalties (3), injunctions (1) and deed of arrangement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26097" name="Picture 1698926097" descr="Figure 14: Breakdown of enforcement actions taken by type. Pie chart showing the share of the total 502 of the various enforcement actions. As presented in the bullet points along with thinner slices for enforceable undertakings (17), civil penalties (3), injunctions (1) and deed of arrangement (1). "/>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595254" cy="2787065"/>
                    </a:xfrm>
                    <a:prstGeom prst="rect">
                      <a:avLst/>
                    </a:prstGeom>
                  </pic:spPr>
                </pic:pic>
              </a:graphicData>
            </a:graphic>
          </wp:inline>
        </w:drawing>
      </w:r>
    </w:p>
    <w:p w14:paraId="231333E8" w14:textId="2ADEE9BB" w:rsidR="00D31AAB" w:rsidRPr="00020C22" w:rsidRDefault="00D31AAB" w:rsidP="00D31AAB">
      <w:pPr>
        <w:pStyle w:val="Caption"/>
        <w:jc w:val="center"/>
        <w:rPr>
          <w:i w:val="0"/>
          <w:noProof/>
        </w:rPr>
      </w:pPr>
      <w:r w:rsidRPr="00020C22">
        <w:rPr>
          <w:i w:val="0"/>
        </w:rPr>
        <w:t>Figure 1</w:t>
      </w:r>
      <w:r w:rsidR="00020C22" w:rsidRPr="00020C22">
        <w:rPr>
          <w:i w:val="0"/>
        </w:rPr>
        <w:t>6</w:t>
      </w:r>
      <w:r w:rsidRPr="00020C22">
        <w:rPr>
          <w:i w:val="0"/>
        </w:rPr>
        <w:t xml:space="preserve">. </w:t>
      </w:r>
      <w:r w:rsidR="00020C22" w:rsidRPr="00020C22">
        <w:rPr>
          <w:i w:val="0"/>
        </w:rPr>
        <w:t>B</w:t>
      </w:r>
      <w:r w:rsidRPr="00020C22">
        <w:rPr>
          <w:i w:val="0"/>
        </w:rPr>
        <w:t xml:space="preserve">reakdown of </w:t>
      </w:r>
      <w:r w:rsidR="00020C22" w:rsidRPr="00020C22">
        <w:rPr>
          <w:i w:val="0"/>
        </w:rPr>
        <w:t>E</w:t>
      </w:r>
      <w:r w:rsidRPr="00020C22">
        <w:rPr>
          <w:i w:val="0"/>
        </w:rPr>
        <w:t xml:space="preserve">nforcement </w:t>
      </w:r>
      <w:r w:rsidR="00020C22" w:rsidRPr="00020C22">
        <w:rPr>
          <w:i w:val="0"/>
        </w:rPr>
        <w:t>A</w:t>
      </w:r>
      <w:r w:rsidRPr="00020C22">
        <w:rPr>
          <w:i w:val="0"/>
        </w:rPr>
        <w:t xml:space="preserve">ctions </w:t>
      </w:r>
      <w:r w:rsidR="00020C22" w:rsidRPr="00020C22">
        <w:rPr>
          <w:i w:val="0"/>
        </w:rPr>
        <w:t>T</w:t>
      </w:r>
      <w:r w:rsidRPr="00020C22">
        <w:rPr>
          <w:i w:val="0"/>
        </w:rPr>
        <w:t xml:space="preserve">aken by </w:t>
      </w:r>
      <w:r w:rsidR="00020C22" w:rsidRPr="00020C22">
        <w:rPr>
          <w:i w:val="0"/>
        </w:rPr>
        <w:t>T</w:t>
      </w:r>
      <w:r w:rsidRPr="00020C22">
        <w:rPr>
          <w:i w:val="0"/>
        </w:rPr>
        <w:t>ype</w:t>
      </w:r>
    </w:p>
    <w:p w14:paraId="120D4081" w14:textId="77777777" w:rsidR="00000E8A" w:rsidRDefault="00000E8A" w:rsidP="009A0F25"/>
    <w:p w14:paraId="3669BDD2" w14:textId="2F19F65E" w:rsidR="009A0F25" w:rsidRDefault="00020C22" w:rsidP="009A0F25">
      <w:r>
        <w:t>T</w:t>
      </w:r>
      <w:r w:rsidR="00D11F2F">
        <w:t>he ACMA</w:t>
      </w:r>
      <w:r w:rsidR="009A0F25">
        <w:t xml:space="preserve"> accepted 17 enforceable undertakings.</w:t>
      </w:r>
    </w:p>
    <w:p w14:paraId="312ED4FF" w14:textId="0CE2648B" w:rsidR="001607BF" w:rsidRPr="00314DAA" w:rsidRDefault="00020C22" w:rsidP="001607BF">
      <w:r>
        <w:t>T</w:t>
      </w:r>
      <w:r w:rsidR="00D11F2F">
        <w:t>he ACMA</w:t>
      </w:r>
      <w:r w:rsidR="4FC5922D" w:rsidRPr="00314DAA">
        <w:t xml:space="preserve"> also obtained from the Federal Court three civil penalty orders: one against Bytecard for failure to comply with the TIO scheme in 2013;</w:t>
      </w:r>
      <w:bookmarkStart w:id="164" w:name="_Ref161679606"/>
      <w:r w:rsidR="007E59FD" w:rsidRPr="00314DAA">
        <w:rPr>
          <w:rStyle w:val="FootnoteReference"/>
        </w:rPr>
        <w:footnoteReference w:id="194"/>
      </w:r>
      <w:bookmarkEnd w:id="164"/>
      <w:r w:rsidR="4FC5922D" w:rsidRPr="00314DAA">
        <w:t xml:space="preserve"> one against TPG Internet for breach of the Telecommunications (Emergency Call Service) Determination 2009 (Cth) in 2014</w:t>
      </w:r>
      <w:r w:rsidR="00E92E56">
        <w:t>;</w:t>
      </w:r>
      <w:r w:rsidR="001607BF" w:rsidRPr="00314DAA">
        <w:rPr>
          <w:rStyle w:val="FootnoteReference"/>
        </w:rPr>
        <w:footnoteReference w:id="195"/>
      </w:r>
      <w:r w:rsidR="4FC5922D" w:rsidRPr="00314DAA">
        <w:t xml:space="preserve"> and one against Limni Enterprises (formerly known as Red Telecom) for failure to comply with the TIO scheme in July 2022.</w:t>
      </w:r>
      <w:r w:rsidR="001607BF" w:rsidRPr="00314DAA">
        <w:rPr>
          <w:rStyle w:val="FootnoteReference"/>
        </w:rPr>
        <w:footnoteReference w:id="196"/>
      </w:r>
      <w:r w:rsidR="4FC5922D" w:rsidRPr="00314DAA">
        <w:t xml:space="preserve"> The penalties imposed by the Federal Court on the three companies totalled </w:t>
      </w:r>
      <w:r w:rsidR="00836392">
        <w:t>$1,077,625</w:t>
      </w:r>
      <w:r w:rsidR="4FC5922D" w:rsidRPr="00314DAA">
        <w:t xml:space="preserve">. </w:t>
      </w:r>
      <w:r w:rsidR="59347B51" w:rsidRPr="00314DAA">
        <w:t>Bytecard</w:t>
      </w:r>
      <w:r w:rsidR="4FC5922D" w:rsidRPr="00314DAA">
        <w:t xml:space="preserve"> was required to pay $</w:t>
      </w:r>
      <w:r w:rsidR="00D70214">
        <w:t>112,500</w:t>
      </w:r>
      <w:r w:rsidR="001D471F">
        <w:t xml:space="preserve"> of which </w:t>
      </w:r>
      <w:r w:rsidR="00B12D2A">
        <w:t xml:space="preserve">$75,000 </w:t>
      </w:r>
      <w:r w:rsidR="001D471F">
        <w:t xml:space="preserve">was </w:t>
      </w:r>
      <w:r w:rsidR="006D40B2">
        <w:t xml:space="preserve">apportioned to </w:t>
      </w:r>
      <w:r w:rsidR="001E1374">
        <w:t>Bytecard</w:t>
      </w:r>
      <w:r w:rsidR="006D40B2">
        <w:t xml:space="preserve"> itself and $37,500 to its director,</w:t>
      </w:r>
      <w:r w:rsidR="007821A0">
        <w:t xml:space="preserve"> Brian Morris</w:t>
      </w:r>
      <w:r w:rsidR="4FC5922D" w:rsidRPr="00314DAA">
        <w:t>. TPG Internet was required to pay $400,000. Limni Enterprises was required to pay $565,125</w:t>
      </w:r>
      <w:r w:rsidR="00E92E56">
        <w:t>,</w:t>
      </w:r>
      <w:r w:rsidR="00CC5A1B">
        <w:t xml:space="preserve"> </w:t>
      </w:r>
      <w:r w:rsidR="00B73E2D">
        <w:t xml:space="preserve">$450,000 of which was apportioned to </w:t>
      </w:r>
      <w:r w:rsidR="00DF0253">
        <w:t>Limni</w:t>
      </w:r>
      <w:r w:rsidR="00F70478">
        <w:t xml:space="preserve"> itself, and $115,125 to its sole director and shareholder, Nicholas Kontaxis</w:t>
      </w:r>
      <w:r w:rsidR="4FC5922D" w:rsidRPr="00314DAA">
        <w:t>.</w:t>
      </w:r>
      <w:r w:rsidR="00092EEE">
        <w:t xml:space="preserve"> </w:t>
      </w:r>
    </w:p>
    <w:p w14:paraId="18B4716C" w14:textId="6F39FBDF" w:rsidR="00CA38F0" w:rsidRPr="00CA38F0" w:rsidRDefault="00CD191E" w:rsidP="00CA38F0">
      <w:r>
        <w:t xml:space="preserve">In addition to the civil penalty order, </w:t>
      </w:r>
      <w:r w:rsidR="00D11F2F">
        <w:t>the ACMA</w:t>
      </w:r>
      <w:r w:rsidR="001607BF" w:rsidRPr="00314DAA">
        <w:t xml:space="preserve"> obtain</w:t>
      </w:r>
      <w:r w:rsidR="00092EEE">
        <w:t>ed</w:t>
      </w:r>
      <w:r w:rsidR="001607BF" w:rsidRPr="00314DAA">
        <w:t xml:space="preserve"> an injunction</w:t>
      </w:r>
      <w:r w:rsidR="00092EEE">
        <w:t xml:space="preserve"> against </w:t>
      </w:r>
      <w:r>
        <w:t xml:space="preserve">Bytecard </w:t>
      </w:r>
      <w:r w:rsidR="00B010B8">
        <w:t xml:space="preserve">which required </w:t>
      </w:r>
      <w:r w:rsidR="005D1B08">
        <w:t>Bytecard to establish and maintain a compliance program relating to its obligations under the TIO scheme</w:t>
      </w:r>
      <w:r w:rsidR="00CA48F5">
        <w:t xml:space="preserve"> and required Mr Morris to </w:t>
      </w:r>
      <w:r w:rsidR="00256368">
        <w:t>engage in compliance training</w:t>
      </w:r>
      <w:r w:rsidR="001607BF" w:rsidRPr="00314DAA">
        <w:t>.</w:t>
      </w:r>
      <w:r w:rsidR="00DB117E">
        <w:rPr>
          <w:rStyle w:val="FootnoteReference"/>
        </w:rPr>
        <w:footnoteReference w:id="197"/>
      </w:r>
      <w:r w:rsidR="00E95703">
        <w:t xml:space="preserve"> This was the only injunction </w:t>
      </w:r>
      <w:r w:rsidR="005C68D5">
        <w:t xml:space="preserve">obtained by </w:t>
      </w:r>
      <w:r w:rsidR="00D11F2F">
        <w:t>the ACMA</w:t>
      </w:r>
      <w:r w:rsidR="005C68D5">
        <w:t>.</w:t>
      </w:r>
    </w:p>
    <w:p w14:paraId="2DB003BC" w14:textId="42B52F40" w:rsidR="006E2812" w:rsidRDefault="001510EC" w:rsidP="006E2812">
      <w:pPr>
        <w:pStyle w:val="Heading2"/>
      </w:pPr>
      <w:bookmarkStart w:id="165" w:name="_Toc146201046"/>
      <w:bookmarkStart w:id="166" w:name="_Toc161836177"/>
      <w:r>
        <w:t>C</w:t>
      </w:r>
      <w:r w:rsidR="6D4624AE">
        <w:t xml:space="preserve"> </w:t>
      </w:r>
      <w:r w:rsidR="2D5A83B9">
        <w:tab/>
      </w:r>
      <w:r w:rsidR="6D4624AE">
        <w:t xml:space="preserve">Examples of </w:t>
      </w:r>
      <w:r w:rsidR="446F52CF">
        <w:t>H</w:t>
      </w:r>
      <w:r w:rsidR="6D4624AE">
        <w:t xml:space="preserve">ow </w:t>
      </w:r>
      <w:r w:rsidR="00D11F2F">
        <w:t>the ACMA</w:t>
      </w:r>
      <w:r w:rsidR="6D4624AE">
        <w:t xml:space="preserve"> has </w:t>
      </w:r>
      <w:r w:rsidR="446F52CF">
        <w:t>E</w:t>
      </w:r>
      <w:r w:rsidR="6D4624AE">
        <w:t xml:space="preserve">xercised its </w:t>
      </w:r>
      <w:r w:rsidR="446F52CF">
        <w:t>E</w:t>
      </w:r>
      <w:r w:rsidR="6D4624AE">
        <w:t xml:space="preserve">nforcement </w:t>
      </w:r>
      <w:r w:rsidR="446F52CF">
        <w:t>P</w:t>
      </w:r>
      <w:r w:rsidR="6D4624AE">
        <w:t>owers</w:t>
      </w:r>
      <w:bookmarkEnd w:id="165"/>
      <w:bookmarkEnd w:id="166"/>
    </w:p>
    <w:p w14:paraId="548C0BC0" w14:textId="586EC11B" w:rsidR="005231D6" w:rsidRDefault="3784887A" w:rsidP="004E2ED8">
      <w:r>
        <w:t>I</w:t>
      </w:r>
      <w:r w:rsidR="2A68D70D">
        <w:t>n the text boxes b</w:t>
      </w:r>
      <w:r w:rsidR="2B288D4D">
        <w:t>elow</w:t>
      </w:r>
      <w:r>
        <w:t>,</w:t>
      </w:r>
      <w:r w:rsidR="2B288D4D">
        <w:t xml:space="preserve"> we </w:t>
      </w:r>
      <w:r w:rsidR="2A68D70D">
        <w:t xml:space="preserve">provide </w:t>
      </w:r>
      <w:r w:rsidR="445212AF">
        <w:t xml:space="preserve">some recent </w:t>
      </w:r>
      <w:r w:rsidR="2A68D70D">
        <w:t>e</w:t>
      </w:r>
      <w:r w:rsidR="4D07B910">
        <w:t>xample</w:t>
      </w:r>
      <w:r w:rsidR="2A68D70D">
        <w:t>s</w:t>
      </w:r>
      <w:r w:rsidR="4D07B910">
        <w:t xml:space="preserve"> of </w:t>
      </w:r>
      <w:r w:rsidR="0FC4A286">
        <w:t xml:space="preserve">when </w:t>
      </w:r>
      <w:r w:rsidR="00D11F2F">
        <w:t>the ACMA</w:t>
      </w:r>
      <w:r w:rsidR="1419CF6B">
        <w:t xml:space="preserve"> </w:t>
      </w:r>
      <w:r w:rsidR="32611812">
        <w:t xml:space="preserve">issued </w:t>
      </w:r>
      <w:r w:rsidR="1419CF6B">
        <w:t>formal warnings to comply, directions to comply, remedial directions</w:t>
      </w:r>
      <w:r w:rsidR="456BF5EF">
        <w:t xml:space="preserve">, and </w:t>
      </w:r>
      <w:r w:rsidR="1419CF6B">
        <w:t>infringement notices</w:t>
      </w:r>
      <w:r>
        <w:t xml:space="preserve">. </w:t>
      </w:r>
      <w:r w:rsidR="785550D5">
        <w:t xml:space="preserve">We also explain the three </w:t>
      </w:r>
      <w:r w:rsidR="456BF5EF">
        <w:t xml:space="preserve">instances where </w:t>
      </w:r>
      <w:r w:rsidR="00D11F2F">
        <w:t>the ACMA</w:t>
      </w:r>
      <w:r w:rsidR="456BF5EF">
        <w:t xml:space="preserve"> sought civil penalties </w:t>
      </w:r>
      <w:r w:rsidR="1A72B1B8">
        <w:t>in</w:t>
      </w:r>
      <w:r w:rsidR="456BF5EF">
        <w:t xml:space="preserve"> the </w:t>
      </w:r>
      <w:r w:rsidR="00E92E56">
        <w:t>F</w:t>
      </w:r>
      <w:r w:rsidR="456BF5EF">
        <w:t xml:space="preserve">ederal </w:t>
      </w:r>
      <w:r w:rsidR="00E92E56">
        <w:t>C</w:t>
      </w:r>
      <w:r w:rsidR="456BF5EF">
        <w:t xml:space="preserve">ourt. </w:t>
      </w:r>
      <w:r>
        <w:t xml:space="preserve">These </w:t>
      </w:r>
      <w:r w:rsidR="19E26BE1">
        <w:t xml:space="preserve">case studies </w:t>
      </w:r>
      <w:r w:rsidR="126A3E00">
        <w:t xml:space="preserve">provide some </w:t>
      </w:r>
      <w:r w:rsidR="1CB0B864">
        <w:t xml:space="preserve">further </w:t>
      </w:r>
      <w:r w:rsidR="126A3E00">
        <w:t xml:space="preserve">insight into </w:t>
      </w:r>
      <w:r>
        <w:t xml:space="preserve">how </w:t>
      </w:r>
      <w:r w:rsidR="00D11F2F">
        <w:t>the ACMA</w:t>
      </w:r>
      <w:r>
        <w:t xml:space="preserve"> </w:t>
      </w:r>
      <w:r w:rsidR="7EE7A80A">
        <w:t xml:space="preserve">applies </w:t>
      </w:r>
      <w:r w:rsidR="2AEF4F10">
        <w:t xml:space="preserve">the </w:t>
      </w:r>
      <w:r w:rsidR="00AA7AED">
        <w:t>Tel Act</w:t>
      </w:r>
      <w:r w:rsidR="2AEF4F10">
        <w:t xml:space="preserve">’s enforcement provisions and its own </w:t>
      </w:r>
      <w:r w:rsidR="7EE7A80A">
        <w:t xml:space="preserve">policies </w:t>
      </w:r>
      <w:r w:rsidR="126A3E00">
        <w:t xml:space="preserve">mentioned </w:t>
      </w:r>
      <w:r w:rsidR="7EE7A80A">
        <w:t xml:space="preserve">in </w:t>
      </w:r>
      <w:r w:rsidR="00107882">
        <w:t xml:space="preserve">section A of </w:t>
      </w:r>
      <w:r w:rsidR="00671644">
        <w:t>Chapter</w:t>
      </w:r>
      <w:r w:rsidR="7EE7A80A">
        <w:t xml:space="preserve"> 3</w:t>
      </w:r>
      <w:r w:rsidR="00E461A2">
        <w:t xml:space="preserve"> above</w:t>
      </w:r>
      <w:r w:rsidR="705DA07A">
        <w:t>.</w:t>
      </w:r>
      <w:r w:rsidR="0F6C49AF">
        <w:t xml:space="preserve"> </w:t>
      </w:r>
      <w:r w:rsidR="00C80E19">
        <w:t>T</w:t>
      </w:r>
      <w:r w:rsidR="433950B9">
        <w:t xml:space="preserve">wo </w:t>
      </w:r>
      <w:r w:rsidR="00E45E4E">
        <w:t xml:space="preserve">examples </w:t>
      </w:r>
      <w:r w:rsidR="433950B9">
        <w:t xml:space="preserve">(ie, the examples involving Telstra and SpinTel) </w:t>
      </w:r>
      <w:r w:rsidR="1F15A63D">
        <w:t xml:space="preserve">refer to action in response to </w:t>
      </w:r>
      <w:r w:rsidR="1F15A63D">
        <w:lastRenderedPageBreak/>
        <w:t>breaches of the TCP Code</w:t>
      </w:r>
      <w:r w:rsidR="00E92E56">
        <w:t xml:space="preserve"> – </w:t>
      </w:r>
      <w:r w:rsidR="64CB5839">
        <w:t xml:space="preserve">a </w:t>
      </w:r>
      <w:r w:rsidR="1F15A63D">
        <w:t xml:space="preserve">co-regulatory instrument </w:t>
      </w:r>
      <w:r w:rsidR="4C617838">
        <w:t>that impose</w:t>
      </w:r>
      <w:r w:rsidR="36139C0F">
        <w:t>s</w:t>
      </w:r>
      <w:r w:rsidR="4C617838">
        <w:t xml:space="preserve"> </w:t>
      </w:r>
      <w:r w:rsidR="46D13CA5">
        <w:t xml:space="preserve">consumer protection </w:t>
      </w:r>
      <w:r w:rsidR="4C617838">
        <w:t>obligations on telecommunications providers</w:t>
      </w:r>
      <w:r w:rsidR="46D13CA5">
        <w:t>. It comprises a set of rules that apply to all carriage service providers that supply telecommunications products to residential and small business consumers.</w:t>
      </w:r>
    </w:p>
    <w:p w14:paraId="25A74DB9" w14:textId="77777777" w:rsidR="00AA299B" w:rsidRPr="00701DFF" w:rsidRDefault="00AA299B" w:rsidP="00515C60">
      <w:pPr>
        <w:pStyle w:val="Heading3"/>
        <w:rPr>
          <w:rFonts w:ascii="Calibri" w:hAnsi="Calibri" w:cs="Arial"/>
        </w:rPr>
      </w:pPr>
      <w:bookmarkStart w:id="167" w:name="_Toc146201047"/>
      <w:bookmarkStart w:id="168" w:name="_Toc161836178"/>
      <w:r w:rsidRPr="00701DFF">
        <w:t>1</w:t>
      </w:r>
      <w:r w:rsidRPr="00701DFF">
        <w:tab/>
      </w:r>
      <w:r>
        <w:t xml:space="preserve">Administrative </w:t>
      </w:r>
      <w:r w:rsidR="00B575EC">
        <w:t>E</w:t>
      </w:r>
      <w:r w:rsidRPr="00701DFF">
        <w:t xml:space="preserve">nforcement </w:t>
      </w:r>
      <w:r w:rsidR="00B575EC">
        <w:t>A</w:t>
      </w:r>
      <w:r w:rsidRPr="00701DFF">
        <w:t>ctions</w:t>
      </w:r>
      <w:bookmarkEnd w:id="167"/>
      <w:bookmarkEnd w:id="168"/>
    </w:p>
    <w:p w14:paraId="1E5D763F" w14:textId="77777777" w:rsidR="00AA31BC" w:rsidRDefault="00AA31BC" w:rsidP="004E2ED8">
      <w:r>
        <w:rPr>
          <w:noProof/>
        </w:rPr>
        <mc:AlternateContent>
          <mc:Choice Requires="wps">
            <w:drawing>
              <wp:anchor distT="0" distB="0" distL="114300" distR="114300" simplePos="0" relativeHeight="251658244" behindDoc="1" locked="0" layoutInCell="1" allowOverlap="1" wp14:anchorId="03DC19BF" wp14:editId="4310291B">
                <wp:simplePos x="0" y="0"/>
                <wp:positionH relativeFrom="margin">
                  <wp:posOffset>0</wp:posOffset>
                </wp:positionH>
                <wp:positionV relativeFrom="paragraph">
                  <wp:posOffset>145644</wp:posOffset>
                </wp:positionV>
                <wp:extent cx="5528945" cy="2705725"/>
                <wp:effectExtent l="12700" t="12700" r="8255" b="12700"/>
                <wp:wrapNone/>
                <wp:docPr id="29887430" name="Rounded Rectangle 298874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28945" cy="2705725"/>
                        </a:xfrm>
                        <a:prstGeom prst="roundRect">
                          <a:avLst>
                            <a:gd name="adj" fmla="val 11960"/>
                          </a:avLst>
                        </a:prstGeom>
                        <a:noFill/>
                        <a:ln>
                          <a:solidFill>
                            <a:srgbClr val="0D41D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2B7BDA" w14:textId="77777777" w:rsidR="00712508" w:rsidRPr="00A323EB" w:rsidRDefault="00712508" w:rsidP="005252A3">
                            <w:pPr>
                              <w:spacing w:after="160" w:line="240" w:lineRule="auto"/>
                              <w:rPr>
                                <w:rFonts w:cs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C19BF" id="Rounded Rectangle 29887430" o:spid="_x0000_s1026" style="position:absolute;left:0;text-align:left;margin-left:0;margin-top:11.45pt;width:435.35pt;height:213.05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8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" filled="f" strokecolor="#0d41d1" strokeweight="2pt">
                <v:textbox>
                  <w:txbxContent>
                    <w:p w14:paraId="332B7BDA" w14:textId="77777777" w:rsidR="00712508" w:rsidRPr="00A323EB" w:rsidRDefault="00712508" w:rsidP="005252A3">
                      <w:pPr>
                        <w:spacing w:after="160" w:line="240" w:lineRule="auto"/>
                        <w:rPr>
                          <w:rFonts w:cstheme="minorHAnsi"/>
                          <w:color w:val="000000" w:themeColor="text1"/>
                          <w:sz w:val="20"/>
                          <w:szCs w:val="20"/>
                        </w:rPr>
                      </w:pPr>
                    </w:p>
                  </w:txbxContent>
                </v:textbox>
                <w10:wrap anchorx="margin"/>
              </v:roundrect>
            </w:pict>
          </mc:Fallback>
        </mc:AlternateContent>
      </w:r>
    </w:p>
    <w:p w14:paraId="028DFFAB" w14:textId="77777777" w:rsidR="005231D6" w:rsidRPr="005231D6" w:rsidRDefault="00B01FD9" w:rsidP="00AA31BC">
      <w:pPr>
        <w:spacing w:line="240" w:lineRule="auto"/>
        <w:ind w:firstLine="360"/>
        <w:rPr>
          <w:b/>
          <w:bCs/>
          <w:sz w:val="20"/>
          <w:szCs w:val="20"/>
        </w:rPr>
      </w:pPr>
      <w:hyperlink r:id="rId31" w:history="1">
        <w:r w:rsidR="6BD51FB8" w:rsidRPr="0028533C">
          <w:rPr>
            <w:rStyle w:val="Hyperlink"/>
            <w:sz w:val="20"/>
            <w:szCs w:val="20"/>
          </w:rPr>
          <w:t>Case Study: Formal Warning</w:t>
        </w:r>
        <w:r w:rsidR="6A20CF5C">
          <w:rPr>
            <w:rStyle w:val="Hyperlink"/>
            <w:sz w:val="20"/>
            <w:szCs w:val="20"/>
          </w:rPr>
          <w:t>: Telstra</w:t>
        </w:r>
        <w:r w:rsidR="6BD51FB8" w:rsidRPr="0028533C">
          <w:rPr>
            <w:rStyle w:val="Hyperlink"/>
            <w:sz w:val="20"/>
            <w:szCs w:val="20"/>
          </w:rPr>
          <w:t xml:space="preserve"> (March 2023)</w:t>
        </w:r>
      </w:hyperlink>
      <w:r w:rsidR="00AE4E83">
        <w:rPr>
          <w:rStyle w:val="FootnoteReference"/>
          <w:sz w:val="20"/>
          <w:szCs w:val="20"/>
        </w:rPr>
        <w:footnoteReference w:id="198"/>
      </w:r>
    </w:p>
    <w:p w14:paraId="1C96001D" w14:textId="04559579" w:rsidR="005231D6" w:rsidRPr="005231D6" w:rsidRDefault="005231D6" w:rsidP="001019BA">
      <w:pPr>
        <w:numPr>
          <w:ilvl w:val="0"/>
          <w:numId w:val="42"/>
        </w:numPr>
        <w:tabs>
          <w:tab w:val="clear" w:pos="720"/>
          <w:tab w:val="num" w:pos="1134"/>
        </w:tabs>
        <w:spacing w:line="240" w:lineRule="auto"/>
        <w:ind w:left="851" w:right="379" w:hanging="294"/>
        <w:rPr>
          <w:sz w:val="20"/>
          <w:szCs w:val="20"/>
        </w:rPr>
      </w:pPr>
      <w:r w:rsidRPr="005231D6">
        <w:rPr>
          <w:b/>
          <w:bCs/>
          <w:sz w:val="20"/>
          <w:szCs w:val="20"/>
        </w:rPr>
        <w:t>Telstra’s breach</w:t>
      </w:r>
      <w:r w:rsidRPr="005231D6">
        <w:rPr>
          <w:sz w:val="20"/>
          <w:szCs w:val="20"/>
        </w:rPr>
        <w:t xml:space="preserve">: </w:t>
      </w:r>
      <w:r w:rsidR="00D11F2F">
        <w:rPr>
          <w:sz w:val="20"/>
          <w:szCs w:val="20"/>
        </w:rPr>
        <w:t>the ACMA</w:t>
      </w:r>
      <w:r w:rsidRPr="005231D6">
        <w:rPr>
          <w:sz w:val="20"/>
          <w:szCs w:val="20"/>
        </w:rPr>
        <w:t xml:space="preserve"> found Telstra contravened clause 6.7.1 of the </w:t>
      </w:r>
      <w:r w:rsidRPr="005231D6">
        <w:rPr>
          <w:b/>
          <w:bCs/>
          <w:sz w:val="20"/>
          <w:szCs w:val="20"/>
        </w:rPr>
        <w:t>TCP Code</w:t>
      </w:r>
      <w:r w:rsidRPr="005231D6">
        <w:rPr>
          <w:sz w:val="20"/>
          <w:szCs w:val="20"/>
        </w:rPr>
        <w:t xml:space="preserve"> (Prior Notice of Restriction, Suspension, or Disconnection Action) by not giving customers a minimum of 5 working days’ notice before restricting or suspending their services for credit and/or debt management reasons. 5,245 customers had their services restricted. 165 customers had their services suspended. </w:t>
      </w:r>
    </w:p>
    <w:p w14:paraId="418F2CD5" w14:textId="77777777" w:rsidR="005231D6" w:rsidRPr="005231D6" w:rsidRDefault="005231D6" w:rsidP="001019BA">
      <w:pPr>
        <w:numPr>
          <w:ilvl w:val="0"/>
          <w:numId w:val="42"/>
        </w:numPr>
        <w:tabs>
          <w:tab w:val="clear" w:pos="720"/>
          <w:tab w:val="num" w:pos="1134"/>
        </w:tabs>
        <w:spacing w:line="240" w:lineRule="auto"/>
        <w:ind w:left="851" w:right="379" w:hanging="294"/>
        <w:rPr>
          <w:sz w:val="20"/>
          <w:szCs w:val="20"/>
        </w:rPr>
      </w:pPr>
      <w:r w:rsidRPr="005231D6">
        <w:rPr>
          <w:b/>
          <w:bCs/>
          <w:sz w:val="20"/>
          <w:szCs w:val="20"/>
        </w:rPr>
        <w:t xml:space="preserve">Telstra’s </w:t>
      </w:r>
      <w:r w:rsidR="00A11342">
        <w:rPr>
          <w:b/>
          <w:bCs/>
          <w:sz w:val="20"/>
          <w:szCs w:val="20"/>
        </w:rPr>
        <w:t>response</w:t>
      </w:r>
      <w:r w:rsidRPr="005231D6">
        <w:rPr>
          <w:sz w:val="20"/>
          <w:szCs w:val="20"/>
        </w:rPr>
        <w:t>: Telstra reported that the issue affected customers who received notice by mail and an intermittent system error prevented the correct customer dataset from being uploaded and forwarded to its mail house provider. Although 1,030 customers were without service or had restricted service for an average of 31 days, 4,283 customers had their services restored 7 days after their services had been restricted or suspended. The remaining 97 customers were more advanced in the debt collection process and had been provided with further, valid collection notices.</w:t>
      </w:r>
    </w:p>
    <w:p w14:paraId="2CB7BF1F" w14:textId="4AF0C8AF" w:rsidR="005231D6" w:rsidRPr="00C24A8E" w:rsidRDefault="6BD51FB8" w:rsidP="001019BA">
      <w:pPr>
        <w:numPr>
          <w:ilvl w:val="0"/>
          <w:numId w:val="42"/>
        </w:numPr>
        <w:tabs>
          <w:tab w:val="clear" w:pos="720"/>
          <w:tab w:val="num" w:pos="1134"/>
        </w:tabs>
        <w:spacing w:line="240" w:lineRule="auto"/>
        <w:ind w:left="851" w:right="379" w:hanging="294"/>
        <w:rPr>
          <w:sz w:val="20"/>
          <w:szCs w:val="20"/>
        </w:rPr>
      </w:pPr>
      <w:r w:rsidRPr="005231D6">
        <w:rPr>
          <w:b/>
          <w:bCs/>
          <w:sz w:val="20"/>
          <w:szCs w:val="20"/>
        </w:rPr>
        <w:t xml:space="preserve">Enforcement </w:t>
      </w:r>
      <w:r w:rsidR="369C951A">
        <w:rPr>
          <w:b/>
          <w:bCs/>
          <w:sz w:val="20"/>
          <w:szCs w:val="20"/>
        </w:rPr>
        <w:t>a</w:t>
      </w:r>
      <w:r w:rsidRPr="005231D6">
        <w:rPr>
          <w:b/>
          <w:bCs/>
          <w:sz w:val="20"/>
          <w:szCs w:val="20"/>
        </w:rPr>
        <w:t xml:space="preserve">ction: </w:t>
      </w:r>
      <w:r w:rsidR="00D11F2F">
        <w:rPr>
          <w:sz w:val="20"/>
          <w:szCs w:val="20"/>
        </w:rPr>
        <w:t>the ACMA</w:t>
      </w:r>
      <w:r w:rsidRPr="005231D6">
        <w:rPr>
          <w:sz w:val="20"/>
          <w:szCs w:val="20"/>
        </w:rPr>
        <w:t xml:space="preserve"> issued a formal warning.</w:t>
      </w:r>
      <w:r w:rsidR="0095252B">
        <w:rPr>
          <w:rStyle w:val="FootnoteReference"/>
          <w:sz w:val="20"/>
          <w:szCs w:val="20"/>
        </w:rPr>
        <w:footnoteReference w:id="199"/>
      </w:r>
    </w:p>
    <w:p w14:paraId="720A68E3" w14:textId="77777777" w:rsidR="00363F6E" w:rsidRDefault="00363F6E" w:rsidP="004E2ED8"/>
    <w:p w14:paraId="4CD604E7" w14:textId="3B602223" w:rsidR="007C2941" w:rsidRDefault="00C56B8A" w:rsidP="004E2ED8">
      <w:r>
        <w:t>In th</w:t>
      </w:r>
      <w:r w:rsidR="00E461A2">
        <w:t>is</w:t>
      </w:r>
      <w:r>
        <w:t xml:space="preserve"> </w:t>
      </w:r>
      <w:r w:rsidR="00A752C9">
        <w:t xml:space="preserve">first </w:t>
      </w:r>
      <w:r>
        <w:t>exa</w:t>
      </w:r>
      <w:r w:rsidR="00E01F61">
        <w:t xml:space="preserve">mple, </w:t>
      </w:r>
      <w:r w:rsidR="00D11F2F">
        <w:t>the ACMA</w:t>
      </w:r>
      <w:r w:rsidR="005252A3">
        <w:t xml:space="preserve"> does not </w:t>
      </w:r>
      <w:r w:rsidR="0079216F">
        <w:t xml:space="preserve">publicly </w:t>
      </w:r>
      <w:r w:rsidR="005252A3">
        <w:t>explain its rationale for issuing a fo</w:t>
      </w:r>
      <w:r w:rsidR="007E4D0D">
        <w:t xml:space="preserve">rmal warning instead of a </w:t>
      </w:r>
      <w:r w:rsidR="006E7265">
        <w:t>direction to comply</w:t>
      </w:r>
      <w:r w:rsidR="007E4D0D">
        <w:t xml:space="preserve">, which it </w:t>
      </w:r>
      <w:r w:rsidR="003C2811">
        <w:t xml:space="preserve">was entitled to do </w:t>
      </w:r>
      <w:r w:rsidR="00C50EB7">
        <w:t xml:space="preserve">following its finding </w:t>
      </w:r>
      <w:r w:rsidR="007E4D0D">
        <w:t xml:space="preserve">Telstra </w:t>
      </w:r>
      <w:r w:rsidR="00C50EB7">
        <w:t xml:space="preserve">had breached </w:t>
      </w:r>
      <w:r w:rsidR="007E4D0D">
        <w:t>the TCP Code</w:t>
      </w:r>
      <w:r w:rsidR="00E56644">
        <w:t xml:space="preserve"> </w:t>
      </w:r>
      <w:r w:rsidR="00BE6608">
        <w:t>(</w:t>
      </w:r>
      <w:r w:rsidR="00FF250F">
        <w:t>as explained in</w:t>
      </w:r>
      <w:r w:rsidR="00107882">
        <w:t xml:space="preserve"> section C(1) of </w:t>
      </w:r>
      <w:r w:rsidR="00257242">
        <w:t>Chapter</w:t>
      </w:r>
      <w:r w:rsidR="00BE6608">
        <w:t xml:space="preserve"> </w:t>
      </w:r>
      <w:r w:rsidR="00107882">
        <w:t>2</w:t>
      </w:r>
      <w:r w:rsidR="00E56644">
        <w:t>, above</w:t>
      </w:r>
      <w:r w:rsidR="007C2941">
        <w:t>)</w:t>
      </w:r>
      <w:r w:rsidR="00FF250F">
        <w:t>.</w:t>
      </w:r>
      <w:r w:rsidR="004074E7">
        <w:t xml:space="preserve"> I</w:t>
      </w:r>
      <w:r w:rsidR="007E4D0D">
        <w:t xml:space="preserve">n this instance, </w:t>
      </w:r>
      <w:r w:rsidR="004074E7">
        <w:t xml:space="preserve">however, </w:t>
      </w:r>
      <w:r w:rsidR="00D11F2F">
        <w:t>the ACMA</w:t>
      </w:r>
      <w:r w:rsidR="004074E7">
        <w:t xml:space="preserve">’s response </w:t>
      </w:r>
      <w:r w:rsidR="00A71C61">
        <w:t xml:space="preserve">could have been </w:t>
      </w:r>
      <w:r w:rsidR="004074E7">
        <w:t>influenced by four factors discussed in</w:t>
      </w:r>
      <w:r w:rsidR="00F40686">
        <w:t xml:space="preserve"> Chapter 3,</w:t>
      </w:r>
      <w:r w:rsidR="004074E7">
        <w:t xml:space="preserve"> section </w:t>
      </w:r>
      <w:r w:rsidR="00896472">
        <w:t>A</w:t>
      </w:r>
      <w:r w:rsidR="004074E7">
        <w:t>:</w:t>
      </w:r>
    </w:p>
    <w:p w14:paraId="4986FC04" w14:textId="4E2E571C" w:rsidR="001846FD" w:rsidRPr="001846FD" w:rsidRDefault="77F3D8DA" w:rsidP="001019BA">
      <w:pPr>
        <w:pStyle w:val="ListParagraph"/>
        <w:numPr>
          <w:ilvl w:val="0"/>
          <w:numId w:val="49"/>
        </w:numPr>
        <w:rPr>
          <w:color w:val="000000" w:themeColor="text1"/>
          <w:sz w:val="20"/>
          <w:szCs w:val="20"/>
        </w:rPr>
      </w:pPr>
      <w:r>
        <w:t>t</w:t>
      </w:r>
      <w:r w:rsidR="4A9BE667">
        <w:t>he</w:t>
      </w:r>
      <w:r w:rsidR="05C666C9">
        <w:t xml:space="preserve"> </w:t>
      </w:r>
      <w:r w:rsidR="4A9BE667">
        <w:t>harm experienced by Telstra’s customers (</w:t>
      </w:r>
      <w:r w:rsidR="7021828E">
        <w:t>here</w:t>
      </w:r>
      <w:r w:rsidR="00A71C61">
        <w:t>,</w:t>
      </w:r>
      <w:r w:rsidR="7021828E">
        <w:t xml:space="preserve"> the loss of customers’ telecommunications services)</w:t>
      </w:r>
      <w:r w:rsidR="7021828E" w:rsidRPr="47ACCDB0">
        <w:rPr>
          <w:color w:val="000000" w:themeColor="text1"/>
          <w:sz w:val="20"/>
          <w:szCs w:val="20"/>
        </w:rPr>
        <w:t xml:space="preserve"> </w:t>
      </w:r>
    </w:p>
    <w:p w14:paraId="5A7F0715" w14:textId="1B1401A3" w:rsidR="007C2941" w:rsidRDefault="77F3D8DA" w:rsidP="001019BA">
      <w:pPr>
        <w:pStyle w:val="ListParagraph"/>
        <w:numPr>
          <w:ilvl w:val="0"/>
          <w:numId w:val="49"/>
        </w:numPr>
      </w:pPr>
      <w:r>
        <w:t>t</w:t>
      </w:r>
      <w:r w:rsidR="7021828E">
        <w:t>he duration of th</w:t>
      </w:r>
      <w:r w:rsidR="70132A75">
        <w:t xml:space="preserve">at harm </w:t>
      </w:r>
      <w:r w:rsidR="7021828E">
        <w:t>(</w:t>
      </w:r>
      <w:r w:rsidR="70132A75">
        <w:t xml:space="preserve">for most customers the harm was </w:t>
      </w:r>
      <w:r w:rsidR="36D8ECFD">
        <w:t xml:space="preserve">relatively </w:t>
      </w:r>
      <w:r w:rsidR="70132A75">
        <w:t xml:space="preserve">short-lived) </w:t>
      </w:r>
    </w:p>
    <w:p w14:paraId="563FA478" w14:textId="6C232C14" w:rsidR="00237FC1" w:rsidRDefault="7D8677D1" w:rsidP="001019BA">
      <w:pPr>
        <w:pStyle w:val="ListParagraph"/>
        <w:numPr>
          <w:ilvl w:val="0"/>
          <w:numId w:val="49"/>
        </w:numPr>
      </w:pPr>
      <w:r>
        <w:t>t</w:t>
      </w:r>
      <w:r w:rsidR="3DC37106">
        <w:t xml:space="preserve">he </w:t>
      </w:r>
      <w:r w:rsidR="516543D4">
        <w:t xml:space="preserve">cause of the </w:t>
      </w:r>
      <w:r w:rsidR="3DC37106">
        <w:t xml:space="preserve">notification error </w:t>
      </w:r>
      <w:r w:rsidR="41BDE939">
        <w:t xml:space="preserve">being </w:t>
      </w:r>
      <w:r w:rsidR="3DC37106">
        <w:t>unintentional</w:t>
      </w:r>
    </w:p>
    <w:p w14:paraId="62956263" w14:textId="77777777" w:rsidR="00CA36DA" w:rsidRPr="00CA36DA" w:rsidRDefault="00237FC1" w:rsidP="001019BA">
      <w:pPr>
        <w:pStyle w:val="ListParagraph"/>
        <w:numPr>
          <w:ilvl w:val="0"/>
          <w:numId w:val="49"/>
        </w:numPr>
      </w:pPr>
      <w:r w:rsidRPr="00237FC1">
        <w:rPr>
          <w:rFonts w:cstheme="minorHAnsi"/>
          <w:color w:val="000000" w:themeColor="text1"/>
        </w:rPr>
        <w:t>Telstra’s actions to remedy the situation</w:t>
      </w:r>
      <w:r w:rsidR="00C33B74">
        <w:rPr>
          <w:rFonts w:cstheme="minorHAnsi"/>
          <w:color w:val="000000" w:themeColor="text1"/>
        </w:rPr>
        <w:t>.</w:t>
      </w:r>
    </w:p>
    <w:p w14:paraId="17EC6528" w14:textId="5E82718A" w:rsidR="00F921CD" w:rsidRPr="00553E07" w:rsidRDefault="004074E7" w:rsidP="00553E07">
      <w:r>
        <w:t xml:space="preserve">The case study </w:t>
      </w:r>
      <w:r w:rsidR="00896472">
        <w:t xml:space="preserve">also </w:t>
      </w:r>
      <w:r w:rsidR="003C2811">
        <w:t xml:space="preserve">illustrates how </w:t>
      </w:r>
      <w:r w:rsidR="00D11F2F">
        <w:t>the ACMA</w:t>
      </w:r>
      <w:r w:rsidR="003C2811">
        <w:t xml:space="preserve"> seeks to use the minimum enforcement power necessary to achieve compliance</w:t>
      </w:r>
      <w:r>
        <w:t xml:space="preserve">, notwithstanding consumer harm, and apply the </w:t>
      </w:r>
      <w:r w:rsidR="00AA7AED">
        <w:t>Tel Act</w:t>
      </w:r>
      <w:r>
        <w:t>’s policy of fostering industry compliance without imposing undue financial or administrative burdens on regulated entities.</w:t>
      </w:r>
    </w:p>
    <w:p w14:paraId="62F1664D" w14:textId="48DEB396" w:rsidR="00F921CD" w:rsidRPr="0061674D" w:rsidRDefault="00A752C9" w:rsidP="0061674D">
      <w:pPr>
        <w:keepNext/>
        <w:spacing w:line="240" w:lineRule="auto"/>
        <w:rPr>
          <w:bCs/>
        </w:rPr>
      </w:pPr>
      <w:r>
        <w:rPr>
          <w:bCs/>
        </w:rPr>
        <w:lastRenderedPageBreak/>
        <w:t>Our second example focuses on a</w:t>
      </w:r>
      <w:r w:rsidR="00854D47">
        <w:rPr>
          <w:bCs/>
        </w:rPr>
        <w:t xml:space="preserve"> </w:t>
      </w:r>
      <w:r w:rsidR="001F1A66">
        <w:rPr>
          <w:bCs/>
        </w:rPr>
        <w:t xml:space="preserve">breach of another </w:t>
      </w:r>
      <w:r>
        <w:rPr>
          <w:bCs/>
        </w:rPr>
        <w:t xml:space="preserve">TCP Code </w:t>
      </w:r>
      <w:r w:rsidR="001F1A66">
        <w:rPr>
          <w:bCs/>
        </w:rPr>
        <w:t>provision</w:t>
      </w:r>
      <w:r w:rsidR="00F133BA">
        <w:rPr>
          <w:bCs/>
        </w:rPr>
        <w:t>.</w:t>
      </w:r>
      <w:r w:rsidR="00854D47">
        <w:rPr>
          <w:bCs/>
        </w:rPr>
        <w:t xml:space="preserve"> </w:t>
      </w:r>
      <w:r w:rsidR="00F133BA">
        <w:rPr>
          <w:bCs/>
        </w:rPr>
        <w:t xml:space="preserve">Unlike the first example involving Telstra, this second example </w:t>
      </w:r>
      <w:r w:rsidR="001F1A66">
        <w:rPr>
          <w:bCs/>
        </w:rPr>
        <w:t xml:space="preserve">led </w:t>
      </w:r>
      <w:r w:rsidR="00D11F2F">
        <w:rPr>
          <w:bCs/>
        </w:rPr>
        <w:t>the ACMA</w:t>
      </w:r>
      <w:r>
        <w:rPr>
          <w:bCs/>
        </w:rPr>
        <w:t xml:space="preserve"> </w:t>
      </w:r>
      <w:r w:rsidR="001F1A66">
        <w:rPr>
          <w:bCs/>
        </w:rPr>
        <w:t xml:space="preserve">to </w:t>
      </w:r>
      <w:r>
        <w:rPr>
          <w:bCs/>
        </w:rPr>
        <w:t xml:space="preserve">issue </w:t>
      </w:r>
      <w:r w:rsidR="001F1A66">
        <w:rPr>
          <w:bCs/>
        </w:rPr>
        <w:t>a direction to comply</w:t>
      </w:r>
      <w:r w:rsidR="00F133BA">
        <w:rPr>
          <w:bCs/>
        </w:rPr>
        <w:t xml:space="preserve"> against SpinTel</w:t>
      </w:r>
      <w:r w:rsidR="00211926" w:rsidRPr="0061674D">
        <w:rPr>
          <w:bCs/>
        </w:rPr>
        <w:t>.</w:t>
      </w:r>
    </w:p>
    <w:p w14:paraId="61EE8FB5" w14:textId="16B2AE83" w:rsidR="00822105" w:rsidRDefault="00C81A2F" w:rsidP="0061674D">
      <w:pPr>
        <w:keepNext/>
      </w:pPr>
      <w:r w:rsidRPr="0028533C">
        <w:rPr>
          <w:noProof/>
          <w:color w:val="0000FF"/>
          <w:u w:val="single"/>
        </w:rPr>
        <mc:AlternateContent>
          <mc:Choice Requires="wps">
            <w:drawing>
              <wp:anchor distT="0" distB="0" distL="114300" distR="114300" simplePos="0" relativeHeight="251658240" behindDoc="1" locked="0" layoutInCell="1" allowOverlap="1" wp14:anchorId="4611F871" wp14:editId="2A665A27">
                <wp:simplePos x="0" y="0"/>
                <wp:positionH relativeFrom="margin">
                  <wp:posOffset>11875</wp:posOffset>
                </wp:positionH>
                <wp:positionV relativeFrom="paragraph">
                  <wp:posOffset>173280</wp:posOffset>
                </wp:positionV>
                <wp:extent cx="5572125" cy="2398815"/>
                <wp:effectExtent l="0" t="0" r="28575" b="20955"/>
                <wp:wrapNone/>
                <wp:docPr id="2" name="Rounded 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72125" cy="2398815"/>
                        </a:xfrm>
                        <a:prstGeom prst="roundRect">
                          <a:avLst>
                            <a:gd name="adj" fmla="val 13681"/>
                          </a:avLst>
                        </a:prstGeom>
                        <a:noFill/>
                        <a:ln>
                          <a:solidFill>
                            <a:srgbClr val="0D41D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5F0DE8" w14:textId="77777777" w:rsidR="00712508" w:rsidRPr="00A323EB" w:rsidRDefault="00712508" w:rsidP="00F921CD">
                            <w:pPr>
                              <w:spacing w:after="160" w:line="240" w:lineRule="auto"/>
                              <w:rPr>
                                <w:rFonts w:cs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11F871" id="Rounded Rectangle 2" o:spid="_x0000_s1027" style="position:absolute;left:0;text-align:left;margin-left:.95pt;margin-top:13.65pt;width:438.75pt;height:188.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89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" filled="f" strokecolor="#0d41d1" strokeweight="2pt">
                <v:textbox>
                  <w:txbxContent>
                    <w:p w14:paraId="485F0DE8" w14:textId="77777777" w:rsidR="00712508" w:rsidRPr="00A323EB" w:rsidRDefault="00712508" w:rsidP="00F921CD">
                      <w:pPr>
                        <w:spacing w:after="160" w:line="240" w:lineRule="auto"/>
                        <w:rPr>
                          <w:rFonts w:cstheme="minorHAnsi"/>
                          <w:color w:val="000000" w:themeColor="text1"/>
                          <w:sz w:val="20"/>
                          <w:szCs w:val="20"/>
                        </w:rPr>
                      </w:pPr>
                    </w:p>
                  </w:txbxContent>
                </v:textbox>
                <w10:wrap anchorx="margin"/>
              </v:roundrect>
            </w:pict>
          </mc:Fallback>
        </mc:AlternateContent>
      </w:r>
    </w:p>
    <w:p w14:paraId="180BF6A3" w14:textId="15499614" w:rsidR="00F921CD" w:rsidRPr="0028533C" w:rsidRDefault="00B01FD9" w:rsidP="0061674D">
      <w:pPr>
        <w:keepNext/>
        <w:spacing w:line="240" w:lineRule="auto"/>
        <w:ind w:left="284"/>
        <w:rPr>
          <w:sz w:val="20"/>
          <w:szCs w:val="20"/>
        </w:rPr>
      </w:pPr>
      <w:hyperlink r:id="rId32" w:history="1">
        <w:r w:rsidR="729A1E66" w:rsidRPr="00925ED3">
          <w:rPr>
            <w:rStyle w:val="Hyperlink"/>
            <w:sz w:val="20"/>
            <w:szCs w:val="20"/>
          </w:rPr>
          <w:t>Case Study: Direction to comply: SpinTel (June 2022)</w:t>
        </w:r>
      </w:hyperlink>
      <w:r w:rsidR="00F921CD" w:rsidRPr="0028533C">
        <w:rPr>
          <w:rStyle w:val="FootnoteReference"/>
          <w:sz w:val="20"/>
          <w:szCs w:val="20"/>
        </w:rPr>
        <w:footnoteReference w:id="200"/>
      </w:r>
    </w:p>
    <w:p w14:paraId="1E018390" w14:textId="023B0654" w:rsidR="00F921CD" w:rsidRPr="00F921CD" w:rsidRDefault="00F921CD" w:rsidP="001019BA">
      <w:pPr>
        <w:keepNext/>
        <w:numPr>
          <w:ilvl w:val="0"/>
          <w:numId w:val="41"/>
        </w:numPr>
        <w:tabs>
          <w:tab w:val="clear" w:pos="720"/>
          <w:tab w:val="num" w:pos="1276"/>
        </w:tabs>
        <w:spacing w:line="240" w:lineRule="auto"/>
        <w:ind w:left="851" w:right="379" w:hanging="284"/>
        <w:rPr>
          <w:sz w:val="20"/>
          <w:szCs w:val="20"/>
        </w:rPr>
      </w:pPr>
      <w:r w:rsidRPr="00F921CD">
        <w:rPr>
          <w:b/>
          <w:bCs/>
          <w:sz w:val="20"/>
          <w:szCs w:val="20"/>
        </w:rPr>
        <w:t>SpinTel’s breach:</w:t>
      </w:r>
      <w:r w:rsidRPr="00F921CD">
        <w:rPr>
          <w:sz w:val="20"/>
          <w:szCs w:val="20"/>
        </w:rPr>
        <w:t xml:space="preserve"> </w:t>
      </w:r>
      <w:r w:rsidR="00D11F2F">
        <w:rPr>
          <w:sz w:val="20"/>
          <w:szCs w:val="20"/>
        </w:rPr>
        <w:t>the ACMA</w:t>
      </w:r>
      <w:r w:rsidRPr="00F921CD">
        <w:rPr>
          <w:sz w:val="20"/>
          <w:szCs w:val="20"/>
        </w:rPr>
        <w:t xml:space="preserve"> found SpinTel breached clause 4.1.2(b) of the </w:t>
      </w:r>
      <w:r w:rsidRPr="00F921CD">
        <w:rPr>
          <w:b/>
          <w:bCs/>
          <w:sz w:val="20"/>
          <w:szCs w:val="20"/>
        </w:rPr>
        <w:t>TCP Code</w:t>
      </w:r>
      <w:r w:rsidRPr="00F921CD">
        <w:rPr>
          <w:sz w:val="20"/>
          <w:szCs w:val="20"/>
        </w:rPr>
        <w:t xml:space="preserve"> which aims to protect consumers from misleading or deceptive selling practices. </w:t>
      </w:r>
      <w:r w:rsidR="00BD2015">
        <w:rPr>
          <w:sz w:val="20"/>
          <w:szCs w:val="20"/>
        </w:rPr>
        <w:t>I</w:t>
      </w:r>
      <w:r w:rsidR="00BD2015" w:rsidRPr="00F921CD">
        <w:rPr>
          <w:sz w:val="20"/>
          <w:szCs w:val="20"/>
        </w:rPr>
        <w:t>n its SIM Only Mobile Plans advertising</w:t>
      </w:r>
      <w:r w:rsidR="00BD2015">
        <w:rPr>
          <w:sz w:val="20"/>
          <w:szCs w:val="20"/>
        </w:rPr>
        <w:t>,</w:t>
      </w:r>
      <w:r w:rsidR="00BD2015" w:rsidRPr="00F921CD">
        <w:rPr>
          <w:sz w:val="20"/>
          <w:szCs w:val="20"/>
        </w:rPr>
        <w:t xml:space="preserve"> </w:t>
      </w:r>
      <w:r w:rsidR="00355D47" w:rsidRPr="00F921CD">
        <w:rPr>
          <w:sz w:val="20"/>
          <w:szCs w:val="20"/>
        </w:rPr>
        <w:t>SpinTel</w:t>
      </w:r>
      <w:r w:rsidRPr="00F921CD">
        <w:rPr>
          <w:sz w:val="20"/>
          <w:szCs w:val="20"/>
        </w:rPr>
        <w:t xml:space="preserve"> used the term ‘unlimited’ in an unqualified manner even though the service was not genuinely unlimited and subject to exclusions.</w:t>
      </w:r>
    </w:p>
    <w:p w14:paraId="3B20F591" w14:textId="30D9EDA4" w:rsidR="00F921CD" w:rsidRPr="00F921CD" w:rsidRDefault="00F921CD" w:rsidP="001019BA">
      <w:pPr>
        <w:keepNext/>
        <w:numPr>
          <w:ilvl w:val="0"/>
          <w:numId w:val="41"/>
        </w:numPr>
        <w:tabs>
          <w:tab w:val="clear" w:pos="720"/>
          <w:tab w:val="num" w:pos="1276"/>
        </w:tabs>
        <w:spacing w:line="240" w:lineRule="auto"/>
        <w:ind w:left="851" w:right="379" w:hanging="284"/>
        <w:rPr>
          <w:sz w:val="20"/>
          <w:szCs w:val="20"/>
        </w:rPr>
      </w:pPr>
      <w:r w:rsidRPr="00F921CD">
        <w:rPr>
          <w:b/>
          <w:bCs/>
          <w:sz w:val="20"/>
          <w:szCs w:val="20"/>
        </w:rPr>
        <w:t>SpinTel’s response:</w:t>
      </w:r>
      <w:r w:rsidRPr="00F921CD">
        <w:rPr>
          <w:sz w:val="20"/>
          <w:szCs w:val="20"/>
        </w:rPr>
        <w:t xml:space="preserve"> SpinTel accepted the </w:t>
      </w:r>
      <w:r w:rsidR="00D11F2F">
        <w:rPr>
          <w:sz w:val="20"/>
          <w:szCs w:val="20"/>
        </w:rPr>
        <w:t>ACMA</w:t>
      </w:r>
      <w:r w:rsidRPr="00F921CD">
        <w:rPr>
          <w:sz w:val="20"/>
          <w:szCs w:val="20"/>
        </w:rPr>
        <w:t xml:space="preserve">’s preliminary findings that it had breached clause 4.1.2(b) and told </w:t>
      </w:r>
      <w:r w:rsidR="00D11F2F">
        <w:rPr>
          <w:sz w:val="20"/>
          <w:szCs w:val="20"/>
        </w:rPr>
        <w:t>the ACMA</w:t>
      </w:r>
      <w:r w:rsidRPr="00F921CD">
        <w:rPr>
          <w:sz w:val="20"/>
          <w:szCs w:val="20"/>
        </w:rPr>
        <w:t xml:space="preserve"> it was an unintentional error. SpinTel also amended its Acceptable Use Policy (AUP) so that its plans </w:t>
      </w:r>
      <w:r w:rsidR="00BD2015">
        <w:rPr>
          <w:sz w:val="20"/>
          <w:szCs w:val="20"/>
        </w:rPr>
        <w:t xml:space="preserve">could </w:t>
      </w:r>
      <w:r w:rsidRPr="00F921CD">
        <w:rPr>
          <w:sz w:val="20"/>
          <w:szCs w:val="20"/>
        </w:rPr>
        <w:t>correctly be described as unlimited.</w:t>
      </w:r>
    </w:p>
    <w:p w14:paraId="7A7995BD" w14:textId="337E7449" w:rsidR="00F921CD" w:rsidRPr="00F921CD" w:rsidRDefault="729A1E66" w:rsidP="001019BA">
      <w:pPr>
        <w:keepNext/>
        <w:numPr>
          <w:ilvl w:val="0"/>
          <w:numId w:val="41"/>
        </w:numPr>
        <w:tabs>
          <w:tab w:val="clear" w:pos="720"/>
          <w:tab w:val="num" w:pos="1276"/>
        </w:tabs>
        <w:spacing w:line="240" w:lineRule="auto"/>
        <w:ind w:left="851" w:right="379" w:hanging="284"/>
        <w:rPr>
          <w:b/>
          <w:bCs/>
          <w:sz w:val="20"/>
          <w:szCs w:val="20"/>
        </w:rPr>
      </w:pPr>
      <w:r w:rsidRPr="00F921CD">
        <w:rPr>
          <w:b/>
          <w:bCs/>
          <w:sz w:val="20"/>
          <w:szCs w:val="20"/>
        </w:rPr>
        <w:t xml:space="preserve">Enforcement </w:t>
      </w:r>
      <w:r w:rsidR="61754CD8">
        <w:rPr>
          <w:b/>
          <w:bCs/>
          <w:sz w:val="20"/>
          <w:szCs w:val="20"/>
        </w:rPr>
        <w:t>a</w:t>
      </w:r>
      <w:r w:rsidRPr="00F921CD">
        <w:rPr>
          <w:b/>
          <w:bCs/>
          <w:sz w:val="20"/>
          <w:szCs w:val="20"/>
        </w:rPr>
        <w:t xml:space="preserve">ction: </w:t>
      </w:r>
      <w:r w:rsidRPr="00F921CD">
        <w:rPr>
          <w:sz w:val="20"/>
          <w:szCs w:val="20"/>
        </w:rPr>
        <w:t xml:space="preserve">The </w:t>
      </w:r>
      <w:r w:rsidR="00D11F2F">
        <w:rPr>
          <w:sz w:val="20"/>
          <w:szCs w:val="20"/>
        </w:rPr>
        <w:t>ACMA</w:t>
      </w:r>
      <w:r w:rsidRPr="00F921CD">
        <w:rPr>
          <w:sz w:val="20"/>
          <w:szCs w:val="20"/>
        </w:rPr>
        <w:t xml:space="preserve"> issued </w:t>
      </w:r>
      <w:r w:rsidR="0366D0F8" w:rsidRPr="005708BF">
        <w:rPr>
          <w:sz w:val="20"/>
          <w:szCs w:val="20"/>
        </w:rPr>
        <w:t xml:space="preserve">SpinTel </w:t>
      </w:r>
      <w:r w:rsidR="0366D0F8">
        <w:rPr>
          <w:sz w:val="20"/>
          <w:szCs w:val="20"/>
        </w:rPr>
        <w:t xml:space="preserve">with </w:t>
      </w:r>
      <w:r w:rsidRPr="00F921CD">
        <w:rPr>
          <w:sz w:val="20"/>
          <w:szCs w:val="20"/>
        </w:rPr>
        <w:t xml:space="preserve">a </w:t>
      </w:r>
      <w:r w:rsidR="06FA999C" w:rsidRPr="006E7265">
        <w:rPr>
          <w:b/>
          <w:bCs/>
          <w:sz w:val="20"/>
          <w:szCs w:val="20"/>
        </w:rPr>
        <w:t xml:space="preserve">direction to comply </w:t>
      </w:r>
      <w:r w:rsidRPr="00F921CD">
        <w:rPr>
          <w:sz w:val="20"/>
          <w:szCs w:val="20"/>
        </w:rPr>
        <w:t xml:space="preserve">with clause 4.1.2(b) of the </w:t>
      </w:r>
      <w:r w:rsidRPr="00F921CD">
        <w:rPr>
          <w:b/>
          <w:bCs/>
          <w:sz w:val="20"/>
          <w:szCs w:val="20"/>
        </w:rPr>
        <w:t>TCP Code</w:t>
      </w:r>
      <w:r w:rsidRPr="00F921CD">
        <w:rPr>
          <w:sz w:val="20"/>
          <w:szCs w:val="20"/>
        </w:rPr>
        <w:t>.</w:t>
      </w:r>
      <w:r w:rsidR="00F921CD">
        <w:rPr>
          <w:rStyle w:val="FootnoteReference"/>
          <w:sz w:val="20"/>
          <w:szCs w:val="20"/>
        </w:rPr>
        <w:footnoteReference w:id="201"/>
      </w:r>
      <w:r w:rsidRPr="00F921CD">
        <w:rPr>
          <w:sz w:val="20"/>
          <w:szCs w:val="20"/>
        </w:rPr>
        <w:t xml:space="preserve"> </w:t>
      </w:r>
    </w:p>
    <w:p w14:paraId="2EFCA343" w14:textId="7C4423C8" w:rsidR="001D0335" w:rsidRDefault="00D272B7" w:rsidP="001D0335">
      <w:r>
        <w:br/>
      </w:r>
      <w:r w:rsidR="48C41CF4">
        <w:t xml:space="preserve">Again, </w:t>
      </w:r>
      <w:r w:rsidR="00D11F2F">
        <w:t>the ACMA</w:t>
      </w:r>
      <w:r w:rsidR="48C41CF4">
        <w:t xml:space="preserve"> does not explain its rationale for issuing a </w:t>
      </w:r>
      <w:r w:rsidR="06FA999C">
        <w:t xml:space="preserve">direction to comply </w:t>
      </w:r>
      <w:r w:rsidR="48C41CF4">
        <w:t>instead of a formal warning</w:t>
      </w:r>
      <w:r w:rsidR="4FD0FAC7">
        <w:t>,</w:t>
      </w:r>
      <w:r w:rsidR="48C41CF4">
        <w:t xml:space="preserve"> which it could have done </w:t>
      </w:r>
      <w:r w:rsidR="01240D86">
        <w:t xml:space="preserve">following its finding that </w:t>
      </w:r>
      <w:r w:rsidR="48C41CF4">
        <w:t>Telstra breach</w:t>
      </w:r>
      <w:r w:rsidR="01240D86">
        <w:t>ed</w:t>
      </w:r>
      <w:r w:rsidR="48C41CF4">
        <w:t xml:space="preserve"> of the TCP Code. (See </w:t>
      </w:r>
      <w:r w:rsidR="00257242">
        <w:t>Chapter</w:t>
      </w:r>
      <w:r w:rsidR="48C41CF4">
        <w:t xml:space="preserve"> 2</w:t>
      </w:r>
      <w:r w:rsidR="00107882">
        <w:t xml:space="preserve">, section </w:t>
      </w:r>
      <w:r w:rsidR="48C41CF4">
        <w:t>C(1)</w:t>
      </w:r>
      <w:r w:rsidR="003101A5">
        <w:t xml:space="preserve"> above</w:t>
      </w:r>
      <w:r w:rsidR="48C41CF4">
        <w:t>)</w:t>
      </w:r>
      <w:r w:rsidR="349804BD">
        <w:t>.</w:t>
      </w:r>
      <w:r w:rsidR="48C41CF4">
        <w:t xml:space="preserve"> However, in this instance, </w:t>
      </w:r>
      <w:r w:rsidR="00D11F2F">
        <w:t>the ACMA</w:t>
      </w:r>
      <w:r w:rsidR="48C41CF4">
        <w:t xml:space="preserve"> </w:t>
      </w:r>
      <w:r w:rsidR="008112FC">
        <w:t xml:space="preserve">may have </w:t>
      </w:r>
      <w:r w:rsidR="48C41CF4">
        <w:t>considered:</w:t>
      </w:r>
    </w:p>
    <w:p w14:paraId="2D1017A9" w14:textId="132E468F" w:rsidR="001D0335" w:rsidRPr="00691B4A" w:rsidRDefault="008112FC" w:rsidP="001019BA">
      <w:pPr>
        <w:pStyle w:val="ListParagraph"/>
        <w:numPr>
          <w:ilvl w:val="0"/>
          <w:numId w:val="50"/>
        </w:numPr>
      </w:pPr>
      <w:r>
        <w:t>t</w:t>
      </w:r>
      <w:r w:rsidR="00CA36DA" w:rsidRPr="00691B4A">
        <w:t xml:space="preserve">he nature of the TCP code </w:t>
      </w:r>
      <w:r w:rsidR="00691B4A" w:rsidRPr="00691B4A">
        <w:t>obligation</w:t>
      </w:r>
    </w:p>
    <w:p w14:paraId="5D686B76" w14:textId="71558814" w:rsidR="00B23E73" w:rsidRDefault="008112FC" w:rsidP="001019BA">
      <w:pPr>
        <w:pStyle w:val="ListParagraph"/>
        <w:numPr>
          <w:ilvl w:val="0"/>
          <w:numId w:val="50"/>
        </w:numPr>
      </w:pPr>
      <w:r>
        <w:t>t</w:t>
      </w:r>
      <w:r w:rsidR="00B23E73">
        <w:t xml:space="preserve">he harm experienced by </w:t>
      </w:r>
      <w:r w:rsidR="00355D47">
        <w:t>SpinTel’s</w:t>
      </w:r>
      <w:r w:rsidR="006B47DE">
        <w:t xml:space="preserve"> customers</w:t>
      </w:r>
    </w:p>
    <w:p w14:paraId="09EF6922" w14:textId="74867CEE" w:rsidR="00EB150C" w:rsidRPr="00EB150C" w:rsidRDefault="00F63B17" w:rsidP="001019BA">
      <w:pPr>
        <w:pStyle w:val="ListParagraph"/>
        <w:numPr>
          <w:ilvl w:val="0"/>
          <w:numId w:val="50"/>
        </w:numPr>
      </w:pPr>
      <w:r>
        <w:t>the</w:t>
      </w:r>
      <w:r w:rsidR="00EB150C">
        <w:t xml:space="preserve"> cause of the breach </w:t>
      </w:r>
      <w:r w:rsidR="008A475E">
        <w:t xml:space="preserve">being </w:t>
      </w:r>
      <w:r w:rsidR="00EB150C">
        <w:t>unintentional</w:t>
      </w:r>
    </w:p>
    <w:p w14:paraId="40A0F9F8" w14:textId="77777777" w:rsidR="00691B4A" w:rsidRPr="00691B4A" w:rsidRDefault="00355D47" w:rsidP="001019BA">
      <w:pPr>
        <w:pStyle w:val="ListParagraph"/>
        <w:numPr>
          <w:ilvl w:val="0"/>
          <w:numId w:val="50"/>
        </w:numPr>
      </w:pPr>
      <w:r w:rsidRPr="00691B4A">
        <w:rPr>
          <w:rFonts w:cstheme="minorHAnsi"/>
          <w:color w:val="000000" w:themeColor="text1"/>
        </w:rPr>
        <w:t>SpinTel’s</w:t>
      </w:r>
      <w:r w:rsidR="00691B4A" w:rsidRPr="00691B4A">
        <w:rPr>
          <w:rFonts w:cstheme="minorHAnsi"/>
          <w:color w:val="000000" w:themeColor="text1"/>
        </w:rPr>
        <w:t xml:space="preserve"> </w:t>
      </w:r>
      <w:r w:rsidR="001D0335" w:rsidRPr="00691B4A">
        <w:rPr>
          <w:rFonts w:cstheme="minorHAnsi"/>
          <w:color w:val="000000" w:themeColor="text1"/>
        </w:rPr>
        <w:t>cooperative behaviour</w:t>
      </w:r>
    </w:p>
    <w:p w14:paraId="7AA276E8" w14:textId="77777777" w:rsidR="00691B4A" w:rsidRPr="004074E7" w:rsidRDefault="00355D47" w:rsidP="001019BA">
      <w:pPr>
        <w:pStyle w:val="ListParagraph"/>
        <w:numPr>
          <w:ilvl w:val="0"/>
          <w:numId w:val="50"/>
        </w:numPr>
      </w:pPr>
      <w:r>
        <w:rPr>
          <w:rFonts w:cstheme="minorHAnsi"/>
          <w:color w:val="000000" w:themeColor="text1"/>
        </w:rPr>
        <w:t>SpinTel’s</w:t>
      </w:r>
      <w:r w:rsidR="00EB150C">
        <w:rPr>
          <w:rFonts w:cstheme="minorHAnsi"/>
          <w:color w:val="000000" w:themeColor="text1"/>
        </w:rPr>
        <w:t xml:space="preserve"> </w:t>
      </w:r>
      <w:r w:rsidR="00691B4A" w:rsidRPr="00691B4A">
        <w:rPr>
          <w:rFonts w:cstheme="minorHAnsi"/>
          <w:color w:val="000000" w:themeColor="text1"/>
        </w:rPr>
        <w:t xml:space="preserve">prompt </w:t>
      </w:r>
      <w:r w:rsidR="001D0335" w:rsidRPr="00691B4A">
        <w:rPr>
          <w:rFonts w:cstheme="minorHAnsi"/>
          <w:color w:val="000000" w:themeColor="text1"/>
        </w:rPr>
        <w:t>amendment of its AUP policy</w:t>
      </w:r>
      <w:r w:rsidR="008C7133">
        <w:rPr>
          <w:rFonts w:cstheme="minorHAnsi"/>
          <w:color w:val="000000" w:themeColor="text1"/>
        </w:rPr>
        <w:t>.</w:t>
      </w:r>
    </w:p>
    <w:p w14:paraId="45B89DFD" w14:textId="57C51319" w:rsidR="0028533C" w:rsidRDefault="006D455B" w:rsidP="00780683">
      <w:pPr>
        <w:rPr>
          <w:b/>
          <w:bCs/>
          <w:color w:val="0000FF"/>
          <w:sz w:val="20"/>
          <w:szCs w:val="20"/>
          <w:u w:val="single"/>
        </w:rPr>
      </w:pPr>
      <w:r>
        <w:t xml:space="preserve">It is possible </w:t>
      </w:r>
      <w:r w:rsidR="00F65A5B">
        <w:t xml:space="preserve">the </w:t>
      </w:r>
      <w:r>
        <w:t xml:space="preserve">purpose </w:t>
      </w:r>
      <w:r w:rsidR="00F65A5B">
        <w:t>of the TCP code obligation</w:t>
      </w:r>
      <w:r>
        <w:t xml:space="preserve"> – to protect consumers against misleading and deceptive selling practices</w:t>
      </w:r>
      <w:r w:rsidR="00F65A5B">
        <w:t xml:space="preserve"> </w:t>
      </w:r>
      <w:r>
        <w:t xml:space="preserve">– </w:t>
      </w:r>
      <w:r w:rsidR="00B829CE">
        <w:t xml:space="preserve">also </w:t>
      </w:r>
      <w:r w:rsidR="00F65A5B">
        <w:t xml:space="preserve">contributed to </w:t>
      </w:r>
      <w:r w:rsidR="00D11F2F">
        <w:t>the ACMA</w:t>
      </w:r>
      <w:r w:rsidR="00740DAC">
        <w:t xml:space="preserve"> </w:t>
      </w:r>
      <w:r w:rsidR="00F65A5B">
        <w:t xml:space="preserve">electing to </w:t>
      </w:r>
      <w:r w:rsidR="00740DAC">
        <w:t>us</w:t>
      </w:r>
      <w:r w:rsidR="00F65A5B">
        <w:t>e</w:t>
      </w:r>
      <w:r w:rsidR="00740DAC">
        <w:t xml:space="preserve"> more forceful enforcement action</w:t>
      </w:r>
      <w:r w:rsidR="00F65A5B">
        <w:t>.</w:t>
      </w:r>
      <w:r w:rsidR="00740DAC">
        <w:t xml:space="preserve"> </w:t>
      </w:r>
    </w:p>
    <w:p w14:paraId="5691C88D" w14:textId="7DCF23CA" w:rsidR="00822105" w:rsidRDefault="006D455B" w:rsidP="0061674D">
      <w:pPr>
        <w:spacing w:line="240" w:lineRule="auto"/>
      </w:pPr>
      <w:r>
        <w:t xml:space="preserve">Our third example involves </w:t>
      </w:r>
      <w:r w:rsidR="001F1A66">
        <w:t xml:space="preserve">a situation where </w:t>
      </w:r>
      <w:r w:rsidR="00D11F2F">
        <w:t>the ACMA</w:t>
      </w:r>
      <w:r w:rsidR="001F1A66">
        <w:t xml:space="preserve"> issued a remedial direction </w:t>
      </w:r>
      <w:r w:rsidR="00F133BA">
        <w:t xml:space="preserve">against </w:t>
      </w:r>
      <w:r w:rsidR="001F1A66">
        <w:t xml:space="preserve">Optus. </w:t>
      </w:r>
    </w:p>
    <w:p w14:paraId="44A2FA10" w14:textId="77777777" w:rsidR="00363F6E" w:rsidRDefault="00363F6E">
      <w:pPr>
        <w:jc w:val="left"/>
      </w:pPr>
      <w:r>
        <w:br w:type="page"/>
      </w:r>
    </w:p>
    <w:p w14:paraId="31C7BAAA" w14:textId="647DAEAC" w:rsidR="00822105" w:rsidRDefault="00677F60">
      <w:r w:rsidRPr="00F921CD">
        <w:rPr>
          <w:noProof/>
          <w:color w:val="0000FF"/>
          <w:u w:val="single"/>
        </w:rPr>
        <w:lastRenderedPageBreak/>
        <mc:AlternateContent>
          <mc:Choice Requires="wps">
            <w:drawing>
              <wp:anchor distT="0" distB="0" distL="114300" distR="114300" simplePos="0" relativeHeight="251658245" behindDoc="1" locked="0" layoutInCell="1" allowOverlap="1" wp14:anchorId="33A77CB0" wp14:editId="322C79CB">
                <wp:simplePos x="0" y="0"/>
                <wp:positionH relativeFrom="margin">
                  <wp:align>right</wp:align>
                </wp:positionH>
                <wp:positionV relativeFrom="paragraph">
                  <wp:posOffset>142875</wp:posOffset>
                </wp:positionV>
                <wp:extent cx="5534025" cy="3467100"/>
                <wp:effectExtent l="0" t="0" r="28575" b="19050"/>
                <wp:wrapNone/>
                <wp:docPr id="3" name="Rounded 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34025" cy="3467100"/>
                        </a:xfrm>
                        <a:prstGeom prst="roundRect">
                          <a:avLst>
                            <a:gd name="adj" fmla="val 9286"/>
                          </a:avLst>
                        </a:prstGeom>
                        <a:noFill/>
                        <a:ln>
                          <a:solidFill>
                            <a:srgbClr val="0D41D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C9C966" w14:textId="77777777" w:rsidR="00712508" w:rsidRPr="00A323EB" w:rsidRDefault="00712508" w:rsidP="00F60F2C">
                            <w:pPr>
                              <w:spacing w:after="160" w:line="240" w:lineRule="auto"/>
                              <w:rPr>
                                <w:rFonts w:cs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A77CB0" id="Rounded Rectangle 3" o:spid="_x0000_s1028" style="position:absolute;left:0;text-align:left;margin-left:384.55pt;margin-top:11.25pt;width:435.75pt;height:273pt;z-index:-25165823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60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" filled="f" strokecolor="#0d41d1" strokeweight="2pt">
                <v:textbox>
                  <w:txbxContent>
                    <w:p w14:paraId="3FC9C966" w14:textId="77777777" w:rsidR="00712508" w:rsidRPr="00A323EB" w:rsidRDefault="00712508" w:rsidP="00F60F2C">
                      <w:pPr>
                        <w:spacing w:after="160" w:line="240" w:lineRule="auto"/>
                        <w:rPr>
                          <w:rFonts w:cstheme="minorHAnsi"/>
                          <w:color w:val="000000" w:themeColor="text1"/>
                          <w:sz w:val="20"/>
                          <w:szCs w:val="20"/>
                        </w:rPr>
                      </w:pPr>
                    </w:p>
                  </w:txbxContent>
                </v:textbox>
                <w10:wrap anchorx="margin"/>
              </v:roundrect>
            </w:pict>
          </mc:Fallback>
        </mc:AlternateContent>
      </w:r>
    </w:p>
    <w:p w14:paraId="5650E5BF" w14:textId="23DD5D61" w:rsidR="00F60F2C" w:rsidRPr="00F60F2C" w:rsidRDefault="00B01FD9" w:rsidP="00F60F2C">
      <w:pPr>
        <w:spacing w:line="240" w:lineRule="auto"/>
        <w:ind w:left="284"/>
        <w:rPr>
          <w:b/>
          <w:bCs/>
          <w:color w:val="0000FF"/>
          <w:sz w:val="20"/>
          <w:szCs w:val="20"/>
          <w:u w:val="single"/>
        </w:rPr>
      </w:pPr>
      <w:hyperlink r:id="rId33" w:history="1">
        <w:r w:rsidR="39514A58" w:rsidRPr="004838FC">
          <w:rPr>
            <w:rStyle w:val="Hyperlink"/>
            <w:sz w:val="20"/>
            <w:szCs w:val="20"/>
          </w:rPr>
          <w:t>Case Study: Remedial direction: Optus (March 2022)</w:t>
        </w:r>
      </w:hyperlink>
      <w:r w:rsidR="00C05704" w:rsidRPr="00C57CC7">
        <w:rPr>
          <w:rStyle w:val="FootnoteReference"/>
          <w:sz w:val="20"/>
          <w:szCs w:val="20"/>
        </w:rPr>
        <w:footnoteReference w:id="202"/>
      </w:r>
    </w:p>
    <w:p w14:paraId="788AAFFE" w14:textId="463E2CB5" w:rsidR="00F60F2C" w:rsidRPr="00F60F2C" w:rsidRDefault="39514A58" w:rsidP="001019BA">
      <w:pPr>
        <w:numPr>
          <w:ilvl w:val="0"/>
          <w:numId w:val="41"/>
        </w:numPr>
        <w:tabs>
          <w:tab w:val="clear" w:pos="720"/>
          <w:tab w:val="num" w:pos="851"/>
        </w:tabs>
        <w:spacing w:line="240" w:lineRule="auto"/>
        <w:ind w:left="851" w:right="379" w:hanging="284"/>
        <w:rPr>
          <w:sz w:val="20"/>
          <w:szCs w:val="20"/>
        </w:rPr>
      </w:pPr>
      <w:r w:rsidRPr="47ACCDB0">
        <w:rPr>
          <w:b/>
          <w:bCs/>
          <w:sz w:val="20"/>
          <w:szCs w:val="20"/>
        </w:rPr>
        <w:t>Optus’s breaches</w:t>
      </w:r>
      <w:r w:rsidRPr="47ACCDB0">
        <w:rPr>
          <w:sz w:val="20"/>
          <w:szCs w:val="20"/>
        </w:rPr>
        <w:t xml:space="preserve">: </w:t>
      </w:r>
      <w:r w:rsidR="00D11F2F">
        <w:rPr>
          <w:sz w:val="20"/>
          <w:szCs w:val="20"/>
        </w:rPr>
        <w:t>the ACMA</w:t>
      </w:r>
      <w:r w:rsidRPr="47ACCDB0">
        <w:rPr>
          <w:sz w:val="20"/>
          <w:szCs w:val="20"/>
        </w:rPr>
        <w:t xml:space="preserve"> found Optus </w:t>
      </w:r>
      <w:r w:rsidR="0A89530F" w:rsidRPr="47ACCDB0">
        <w:rPr>
          <w:sz w:val="20"/>
          <w:szCs w:val="20"/>
        </w:rPr>
        <w:t xml:space="preserve">had contravened s 101(1) of the </w:t>
      </w:r>
      <w:r w:rsidR="00AA7AED">
        <w:rPr>
          <w:sz w:val="20"/>
          <w:szCs w:val="20"/>
        </w:rPr>
        <w:t>Tel Act</w:t>
      </w:r>
      <w:r w:rsidR="0A89530F" w:rsidRPr="47ACCDB0">
        <w:rPr>
          <w:sz w:val="20"/>
          <w:szCs w:val="20"/>
        </w:rPr>
        <w:t xml:space="preserve"> (obligation to comply with service provider rules) by </w:t>
      </w:r>
      <w:r w:rsidRPr="47ACCDB0">
        <w:rPr>
          <w:sz w:val="20"/>
          <w:szCs w:val="20"/>
        </w:rPr>
        <w:t>breach</w:t>
      </w:r>
      <w:r w:rsidR="53289595" w:rsidRPr="47ACCDB0">
        <w:rPr>
          <w:sz w:val="20"/>
          <w:szCs w:val="20"/>
        </w:rPr>
        <w:t>ing</w:t>
      </w:r>
      <w:r w:rsidRPr="47ACCDB0">
        <w:rPr>
          <w:sz w:val="20"/>
          <w:szCs w:val="20"/>
        </w:rPr>
        <w:t xml:space="preserve"> three subsections of the </w:t>
      </w:r>
      <w:r w:rsidRPr="47ACCDB0">
        <w:rPr>
          <w:b/>
          <w:bCs/>
          <w:sz w:val="20"/>
          <w:szCs w:val="20"/>
        </w:rPr>
        <w:t>Telecommunications Service Provider (NBN Service Migration) Determination 2018</w:t>
      </w:r>
      <w:r w:rsidRPr="47ACCDB0">
        <w:rPr>
          <w:sz w:val="20"/>
          <w:szCs w:val="20"/>
        </w:rPr>
        <w:t>. It breached subsections 14(3) and 15(1) of the Determination</w:t>
      </w:r>
      <w:r w:rsidRPr="47ACCDB0">
        <w:rPr>
          <w:b/>
          <w:bCs/>
          <w:sz w:val="20"/>
          <w:szCs w:val="20"/>
        </w:rPr>
        <w:t xml:space="preserve"> </w:t>
      </w:r>
      <w:r w:rsidRPr="47ACCDB0">
        <w:rPr>
          <w:sz w:val="20"/>
          <w:szCs w:val="20"/>
        </w:rPr>
        <w:t>on 34,258 occasions by failing to notify customers of their maximum attainable speed (MAS) on next-generation NBN broadband services and incorrectly charging them. It also breached section 14(2) the Determination on 24,039 occasions by failing to either confirm the MAS or perform, or arrange to perform, line capability testing within 20 days of each service becoming operational.</w:t>
      </w:r>
    </w:p>
    <w:p w14:paraId="7B8E9AC8" w14:textId="7F3E3646" w:rsidR="00F60F2C" w:rsidRDefault="00F60F2C" w:rsidP="001019BA">
      <w:pPr>
        <w:numPr>
          <w:ilvl w:val="0"/>
          <w:numId w:val="41"/>
        </w:numPr>
        <w:tabs>
          <w:tab w:val="clear" w:pos="720"/>
          <w:tab w:val="num" w:pos="851"/>
        </w:tabs>
        <w:spacing w:line="240" w:lineRule="auto"/>
        <w:ind w:left="851" w:right="379" w:hanging="284"/>
        <w:rPr>
          <w:sz w:val="20"/>
          <w:szCs w:val="20"/>
        </w:rPr>
      </w:pPr>
      <w:r w:rsidRPr="00F60F2C">
        <w:rPr>
          <w:b/>
          <w:bCs/>
          <w:sz w:val="20"/>
          <w:szCs w:val="20"/>
        </w:rPr>
        <w:t xml:space="preserve">Optus’s </w:t>
      </w:r>
      <w:r w:rsidR="00DC73A0">
        <w:rPr>
          <w:b/>
          <w:bCs/>
          <w:sz w:val="20"/>
          <w:szCs w:val="20"/>
        </w:rPr>
        <w:t>r</w:t>
      </w:r>
      <w:r w:rsidRPr="00F60F2C">
        <w:rPr>
          <w:b/>
          <w:bCs/>
          <w:sz w:val="20"/>
          <w:szCs w:val="20"/>
        </w:rPr>
        <w:t>esponse:</w:t>
      </w:r>
      <w:r w:rsidRPr="00F60F2C">
        <w:rPr>
          <w:sz w:val="20"/>
          <w:szCs w:val="20"/>
        </w:rPr>
        <w:t xml:space="preserve"> Optus self-reported </w:t>
      </w:r>
      <w:r w:rsidR="00F3764A">
        <w:rPr>
          <w:sz w:val="20"/>
          <w:szCs w:val="20"/>
        </w:rPr>
        <w:t xml:space="preserve">the </w:t>
      </w:r>
      <w:r w:rsidRPr="00F60F2C">
        <w:rPr>
          <w:sz w:val="20"/>
          <w:szCs w:val="20"/>
        </w:rPr>
        <w:t xml:space="preserve">issues </w:t>
      </w:r>
      <w:r w:rsidR="00F3764A">
        <w:rPr>
          <w:sz w:val="20"/>
          <w:szCs w:val="20"/>
        </w:rPr>
        <w:t xml:space="preserve">it had identified </w:t>
      </w:r>
      <w:r w:rsidRPr="00F60F2C">
        <w:rPr>
          <w:sz w:val="20"/>
          <w:szCs w:val="20"/>
        </w:rPr>
        <w:t xml:space="preserve">in its compatibility testing to the </w:t>
      </w:r>
      <w:r w:rsidR="00D11F2F">
        <w:rPr>
          <w:sz w:val="20"/>
          <w:szCs w:val="20"/>
        </w:rPr>
        <w:t>ACMA</w:t>
      </w:r>
      <w:r w:rsidRPr="00F60F2C">
        <w:rPr>
          <w:sz w:val="20"/>
          <w:szCs w:val="20"/>
        </w:rPr>
        <w:t xml:space="preserve"> in July 2021. Optus explained the failures, at least </w:t>
      </w:r>
      <w:r w:rsidR="00BD2015">
        <w:rPr>
          <w:sz w:val="20"/>
          <w:szCs w:val="20"/>
        </w:rPr>
        <w:t xml:space="preserve">with </w:t>
      </w:r>
      <w:r w:rsidRPr="00F60F2C">
        <w:rPr>
          <w:sz w:val="20"/>
          <w:szCs w:val="20"/>
        </w:rPr>
        <w:t>respect to the breaches of subsection 14(2), resulted from technical difficulties.</w:t>
      </w:r>
      <w:r w:rsidR="00F64CC0">
        <w:rPr>
          <w:sz w:val="20"/>
          <w:szCs w:val="20"/>
        </w:rPr>
        <w:t xml:space="preserve"> Optus cooperated with requests from the </w:t>
      </w:r>
      <w:r w:rsidR="00D11F2F">
        <w:rPr>
          <w:sz w:val="20"/>
          <w:szCs w:val="20"/>
        </w:rPr>
        <w:t>ACMA</w:t>
      </w:r>
      <w:r w:rsidR="00DA2F88">
        <w:rPr>
          <w:sz w:val="20"/>
          <w:szCs w:val="20"/>
        </w:rPr>
        <w:t>,</w:t>
      </w:r>
      <w:r w:rsidR="00F64CC0">
        <w:rPr>
          <w:sz w:val="20"/>
          <w:szCs w:val="20"/>
        </w:rPr>
        <w:t xml:space="preserve"> and </w:t>
      </w:r>
      <w:r w:rsidR="00A41AF5">
        <w:rPr>
          <w:sz w:val="20"/>
          <w:szCs w:val="20"/>
        </w:rPr>
        <w:t xml:space="preserve">it was </w:t>
      </w:r>
      <w:r w:rsidR="00BE2584">
        <w:rPr>
          <w:sz w:val="20"/>
          <w:szCs w:val="20"/>
        </w:rPr>
        <w:t>the information provided</w:t>
      </w:r>
      <w:r w:rsidR="00F64CC0">
        <w:rPr>
          <w:sz w:val="20"/>
          <w:szCs w:val="20"/>
        </w:rPr>
        <w:t xml:space="preserve"> </w:t>
      </w:r>
      <w:r w:rsidR="00A41AF5">
        <w:rPr>
          <w:sz w:val="20"/>
          <w:szCs w:val="20"/>
        </w:rPr>
        <w:t xml:space="preserve">by Optus that </w:t>
      </w:r>
      <w:r w:rsidR="00BE2584">
        <w:rPr>
          <w:sz w:val="20"/>
          <w:szCs w:val="20"/>
        </w:rPr>
        <w:t xml:space="preserve">informed </w:t>
      </w:r>
      <w:r w:rsidR="000A14CA">
        <w:rPr>
          <w:sz w:val="20"/>
          <w:szCs w:val="20"/>
        </w:rPr>
        <w:t xml:space="preserve">the </w:t>
      </w:r>
      <w:r w:rsidR="00D11F2F">
        <w:rPr>
          <w:sz w:val="20"/>
          <w:szCs w:val="20"/>
        </w:rPr>
        <w:t>ACMA</w:t>
      </w:r>
      <w:r w:rsidR="000A14CA">
        <w:rPr>
          <w:sz w:val="20"/>
          <w:szCs w:val="20"/>
        </w:rPr>
        <w:t xml:space="preserve">’s </w:t>
      </w:r>
      <w:r w:rsidR="00AB61B9">
        <w:rPr>
          <w:sz w:val="20"/>
          <w:szCs w:val="20"/>
        </w:rPr>
        <w:t xml:space="preserve">view </w:t>
      </w:r>
      <w:r w:rsidR="001B1D4E">
        <w:rPr>
          <w:sz w:val="20"/>
          <w:szCs w:val="20"/>
        </w:rPr>
        <w:t>o</w:t>
      </w:r>
      <w:r w:rsidR="00BE66D6">
        <w:rPr>
          <w:sz w:val="20"/>
          <w:szCs w:val="20"/>
        </w:rPr>
        <w:t>f</w:t>
      </w:r>
      <w:r w:rsidR="001B1D4E">
        <w:rPr>
          <w:sz w:val="20"/>
          <w:szCs w:val="20"/>
        </w:rPr>
        <w:t xml:space="preserve"> the breaches</w:t>
      </w:r>
      <w:r w:rsidR="00127013">
        <w:rPr>
          <w:sz w:val="20"/>
          <w:szCs w:val="20"/>
        </w:rPr>
        <w:t xml:space="preserve"> found.</w:t>
      </w:r>
    </w:p>
    <w:p w14:paraId="28D4E012" w14:textId="67B447D0" w:rsidR="00F60F2C" w:rsidRPr="00F60F2C" w:rsidRDefault="39514A58" w:rsidP="001019BA">
      <w:pPr>
        <w:numPr>
          <w:ilvl w:val="0"/>
          <w:numId w:val="41"/>
        </w:numPr>
        <w:tabs>
          <w:tab w:val="clear" w:pos="720"/>
          <w:tab w:val="num" w:pos="851"/>
        </w:tabs>
        <w:spacing w:line="240" w:lineRule="auto"/>
        <w:ind w:left="851" w:right="379" w:hanging="284"/>
        <w:rPr>
          <w:sz w:val="20"/>
          <w:szCs w:val="20"/>
        </w:rPr>
      </w:pPr>
      <w:r w:rsidRPr="47ACCDB0">
        <w:rPr>
          <w:b/>
          <w:bCs/>
          <w:color w:val="000000" w:themeColor="text1"/>
          <w:sz w:val="20"/>
          <w:szCs w:val="20"/>
        </w:rPr>
        <w:t xml:space="preserve">Enforcement </w:t>
      </w:r>
      <w:r w:rsidR="61754CD8" w:rsidRPr="47ACCDB0">
        <w:rPr>
          <w:b/>
          <w:bCs/>
          <w:color w:val="000000" w:themeColor="text1"/>
          <w:sz w:val="20"/>
          <w:szCs w:val="20"/>
        </w:rPr>
        <w:t>a</w:t>
      </w:r>
      <w:r w:rsidRPr="47ACCDB0">
        <w:rPr>
          <w:b/>
          <w:bCs/>
          <w:color w:val="000000" w:themeColor="text1"/>
          <w:sz w:val="20"/>
          <w:szCs w:val="20"/>
        </w:rPr>
        <w:t xml:space="preserve">ction: </w:t>
      </w:r>
      <w:r w:rsidR="00D11F2F">
        <w:rPr>
          <w:color w:val="000000" w:themeColor="text1"/>
          <w:sz w:val="20"/>
          <w:szCs w:val="20"/>
        </w:rPr>
        <w:t>the ACMA</w:t>
      </w:r>
      <w:r w:rsidRPr="47ACCDB0">
        <w:rPr>
          <w:color w:val="000000" w:themeColor="text1"/>
          <w:sz w:val="20"/>
          <w:szCs w:val="20"/>
        </w:rPr>
        <w:t xml:space="preserve"> issued a</w:t>
      </w:r>
      <w:r w:rsidRPr="47ACCDB0">
        <w:rPr>
          <w:b/>
          <w:bCs/>
          <w:color w:val="000000" w:themeColor="text1"/>
          <w:sz w:val="20"/>
          <w:szCs w:val="20"/>
        </w:rPr>
        <w:t xml:space="preserve"> remedial direction</w:t>
      </w:r>
      <w:r w:rsidRPr="47ACCDB0">
        <w:rPr>
          <w:color w:val="000000" w:themeColor="text1"/>
          <w:sz w:val="20"/>
          <w:szCs w:val="20"/>
        </w:rPr>
        <w:t>. It directed Optus to implement and maintain effective systems, processes, and practices for complying with the Determination, appoint an independent auditor to audit and report on its compliance and contact and offer remedies to affected customers.</w:t>
      </w:r>
      <w:r w:rsidR="00E5380F" w:rsidRPr="47ACCDB0">
        <w:rPr>
          <w:rStyle w:val="FootnoteReference"/>
          <w:color w:val="000000" w:themeColor="text1"/>
          <w:sz w:val="20"/>
          <w:szCs w:val="20"/>
        </w:rPr>
        <w:footnoteReference w:id="203"/>
      </w:r>
    </w:p>
    <w:p w14:paraId="09A4DE4C" w14:textId="5167387E" w:rsidR="00CC5D6A" w:rsidRPr="00A54DD8" w:rsidRDefault="0028533C" w:rsidP="002B2F28">
      <w:pPr>
        <w:rPr>
          <w:rFonts w:eastAsia="Calibri" w:cstheme="minorHAnsi"/>
          <w:color w:val="000000" w:themeColor="text1"/>
          <w:kern w:val="2"/>
          <w14:ligatures w14:val="standardContextual"/>
        </w:rPr>
      </w:pPr>
      <w:r>
        <w:rPr>
          <w:rFonts w:eastAsia="Calibri" w:cstheme="minorHAnsi"/>
          <w:color w:val="000000" w:themeColor="text1"/>
          <w:kern w:val="2"/>
          <w:highlight w:val="yellow"/>
          <w14:ligatures w14:val="standardContextual"/>
        </w:rPr>
        <w:br/>
      </w:r>
      <w:r w:rsidR="003A2BF2" w:rsidRPr="00A54DD8">
        <w:rPr>
          <w:rFonts w:eastAsia="Calibri" w:cstheme="minorHAnsi"/>
          <w:color w:val="000000" w:themeColor="text1"/>
          <w:kern w:val="2"/>
          <w14:ligatures w14:val="standardContextual"/>
        </w:rPr>
        <w:t xml:space="preserve">Looking at the </w:t>
      </w:r>
      <w:r w:rsidR="007121DB" w:rsidRPr="00A54DD8">
        <w:rPr>
          <w:rFonts w:eastAsia="Calibri" w:cstheme="minorHAnsi"/>
          <w:color w:val="000000" w:themeColor="text1"/>
          <w:kern w:val="2"/>
          <w14:ligatures w14:val="standardContextual"/>
        </w:rPr>
        <w:t>criteria highlighted in</w:t>
      </w:r>
      <w:r w:rsidR="00107882">
        <w:rPr>
          <w:rFonts w:eastAsia="Calibri" w:cstheme="minorHAnsi"/>
          <w:color w:val="000000" w:themeColor="text1"/>
          <w:kern w:val="2"/>
          <w14:ligatures w14:val="standardContextual"/>
        </w:rPr>
        <w:t xml:space="preserve"> section A of</w:t>
      </w:r>
      <w:r w:rsidR="007121DB" w:rsidRPr="00A54DD8">
        <w:rPr>
          <w:rFonts w:eastAsia="Calibri" w:cstheme="minorHAnsi"/>
          <w:color w:val="000000" w:themeColor="text1"/>
          <w:kern w:val="2"/>
          <w14:ligatures w14:val="standardContextual"/>
        </w:rPr>
        <w:t xml:space="preserve"> </w:t>
      </w:r>
      <w:r w:rsidR="00257242">
        <w:rPr>
          <w:rFonts w:eastAsia="Calibri" w:cstheme="minorHAnsi"/>
          <w:color w:val="000000" w:themeColor="text1"/>
          <w:kern w:val="2"/>
          <w14:ligatures w14:val="standardContextual"/>
        </w:rPr>
        <w:t xml:space="preserve">Chapter </w:t>
      </w:r>
      <w:r w:rsidR="00901DB8" w:rsidRPr="00A54DD8">
        <w:rPr>
          <w:rFonts w:eastAsia="Calibri" w:cstheme="minorHAnsi"/>
          <w:color w:val="000000" w:themeColor="text1"/>
          <w:kern w:val="2"/>
          <w14:ligatures w14:val="standardContextual"/>
        </w:rPr>
        <w:t>3</w:t>
      </w:r>
      <w:r w:rsidR="00357AEE" w:rsidRPr="00A54DD8">
        <w:rPr>
          <w:rFonts w:eastAsia="Calibri" w:cstheme="minorHAnsi"/>
          <w:color w:val="000000" w:themeColor="text1"/>
          <w:kern w:val="2"/>
          <w14:ligatures w14:val="standardContextual"/>
        </w:rPr>
        <w:t xml:space="preserve"> </w:t>
      </w:r>
      <w:r w:rsidR="00FD54BF">
        <w:rPr>
          <w:rFonts w:eastAsia="Calibri" w:cstheme="minorHAnsi"/>
          <w:color w:val="000000" w:themeColor="text1"/>
          <w:kern w:val="2"/>
          <w14:ligatures w14:val="standardContextual"/>
        </w:rPr>
        <w:t xml:space="preserve">above </w:t>
      </w:r>
      <w:r w:rsidR="00357AEE" w:rsidRPr="00A54DD8">
        <w:rPr>
          <w:rFonts w:eastAsia="Calibri" w:cstheme="minorHAnsi"/>
          <w:color w:val="000000" w:themeColor="text1"/>
          <w:kern w:val="2"/>
          <w14:ligatures w14:val="standardContextual"/>
        </w:rPr>
        <w:t>that</w:t>
      </w:r>
      <w:r w:rsidR="006F6C23" w:rsidRPr="00A54DD8">
        <w:rPr>
          <w:rFonts w:eastAsia="Calibri" w:cstheme="minorHAnsi"/>
          <w:color w:val="000000" w:themeColor="text1"/>
          <w:kern w:val="2"/>
          <w14:ligatures w14:val="standardContextual"/>
        </w:rPr>
        <w:t xml:space="preserve"> the </w:t>
      </w:r>
      <w:r w:rsidR="00D11F2F">
        <w:rPr>
          <w:rFonts w:eastAsia="Calibri" w:cstheme="minorHAnsi"/>
          <w:color w:val="000000" w:themeColor="text1"/>
          <w:kern w:val="2"/>
          <w14:ligatures w14:val="standardContextual"/>
        </w:rPr>
        <w:t>ACMA</w:t>
      </w:r>
      <w:r w:rsidR="006F6C23" w:rsidRPr="00A54DD8">
        <w:rPr>
          <w:rFonts w:eastAsia="Calibri" w:cstheme="minorHAnsi"/>
          <w:color w:val="000000" w:themeColor="text1"/>
          <w:kern w:val="2"/>
          <w14:ligatures w14:val="standardContextual"/>
        </w:rPr>
        <w:t xml:space="preserve"> will consider </w:t>
      </w:r>
      <w:r w:rsidR="00357AEE" w:rsidRPr="00A54DD8">
        <w:rPr>
          <w:rFonts w:eastAsia="Calibri" w:cstheme="minorHAnsi"/>
          <w:color w:val="000000" w:themeColor="text1"/>
          <w:kern w:val="2"/>
          <w14:ligatures w14:val="standardContextual"/>
        </w:rPr>
        <w:t xml:space="preserve">in </w:t>
      </w:r>
      <w:r w:rsidR="006F6C23" w:rsidRPr="00A54DD8">
        <w:rPr>
          <w:rFonts w:eastAsia="Calibri" w:cstheme="minorHAnsi"/>
          <w:color w:val="000000" w:themeColor="text1"/>
          <w:kern w:val="2"/>
          <w14:ligatures w14:val="standardContextual"/>
        </w:rPr>
        <w:t>determin</w:t>
      </w:r>
      <w:r w:rsidR="00357AEE" w:rsidRPr="00A54DD8">
        <w:rPr>
          <w:rFonts w:eastAsia="Calibri" w:cstheme="minorHAnsi"/>
          <w:color w:val="000000" w:themeColor="text1"/>
          <w:kern w:val="2"/>
          <w14:ligatures w14:val="standardContextual"/>
        </w:rPr>
        <w:t xml:space="preserve">ing </w:t>
      </w:r>
      <w:r w:rsidR="004611D7" w:rsidRPr="00A54DD8">
        <w:rPr>
          <w:rFonts w:eastAsia="Calibri" w:cstheme="minorHAnsi"/>
          <w:color w:val="000000" w:themeColor="text1"/>
          <w:kern w:val="2"/>
          <w14:ligatures w14:val="standardContextual"/>
        </w:rPr>
        <w:t xml:space="preserve">the </w:t>
      </w:r>
      <w:r w:rsidR="006F6C23" w:rsidRPr="00A54DD8">
        <w:rPr>
          <w:rFonts w:eastAsia="Calibri" w:cstheme="minorHAnsi"/>
          <w:color w:val="000000" w:themeColor="text1"/>
          <w:kern w:val="2"/>
          <w14:ligatures w14:val="standardContextual"/>
        </w:rPr>
        <w:t>most appropriate enforcement approach</w:t>
      </w:r>
      <w:r w:rsidR="0079613D" w:rsidRPr="00A54DD8">
        <w:rPr>
          <w:rFonts w:eastAsia="Calibri" w:cstheme="minorHAnsi"/>
          <w:color w:val="000000" w:themeColor="text1"/>
          <w:kern w:val="2"/>
          <w14:ligatures w14:val="standardContextual"/>
        </w:rPr>
        <w:t xml:space="preserve">, on this occasion, </w:t>
      </w:r>
      <w:r w:rsidR="00107940" w:rsidRPr="00A54DD8">
        <w:rPr>
          <w:rFonts w:eastAsia="Calibri" w:cstheme="minorHAnsi"/>
          <w:color w:val="000000" w:themeColor="text1"/>
          <w:kern w:val="2"/>
          <w14:ligatures w14:val="standardContextual"/>
        </w:rPr>
        <w:t>the following</w:t>
      </w:r>
      <w:r w:rsidR="007121DB" w:rsidRPr="00A54DD8">
        <w:rPr>
          <w:rFonts w:eastAsia="Calibri" w:cstheme="minorHAnsi"/>
          <w:color w:val="000000" w:themeColor="text1"/>
          <w:kern w:val="2"/>
          <w14:ligatures w14:val="standardContextual"/>
        </w:rPr>
        <w:t xml:space="preserve"> factors</w:t>
      </w:r>
      <w:r w:rsidR="00D71836" w:rsidRPr="00A54DD8">
        <w:rPr>
          <w:rFonts w:eastAsia="Calibri" w:cstheme="minorHAnsi"/>
          <w:color w:val="000000" w:themeColor="text1"/>
          <w:kern w:val="2"/>
          <w14:ligatures w14:val="standardContextual"/>
        </w:rPr>
        <w:t xml:space="preserve"> </w:t>
      </w:r>
      <w:r w:rsidR="002C1765" w:rsidRPr="00A54DD8">
        <w:rPr>
          <w:rFonts w:eastAsia="Calibri" w:cstheme="minorHAnsi"/>
          <w:color w:val="000000" w:themeColor="text1"/>
          <w:kern w:val="2"/>
          <w14:ligatures w14:val="standardContextual"/>
        </w:rPr>
        <w:t xml:space="preserve">likely contributed to the </w:t>
      </w:r>
      <w:r w:rsidR="00D11F2F">
        <w:rPr>
          <w:rFonts w:eastAsia="Calibri" w:cstheme="minorHAnsi"/>
          <w:color w:val="000000" w:themeColor="text1"/>
          <w:kern w:val="2"/>
          <w14:ligatures w14:val="standardContextual"/>
        </w:rPr>
        <w:t>ACMA</w:t>
      </w:r>
      <w:r w:rsidR="002C1765" w:rsidRPr="00A54DD8">
        <w:rPr>
          <w:rFonts w:eastAsia="Calibri" w:cstheme="minorHAnsi"/>
          <w:color w:val="000000" w:themeColor="text1"/>
          <w:kern w:val="2"/>
          <w14:ligatures w14:val="standardContextual"/>
        </w:rPr>
        <w:t>’s chosen approach:</w:t>
      </w:r>
    </w:p>
    <w:p w14:paraId="14F0AF3A" w14:textId="2058969B" w:rsidR="00417991" w:rsidRPr="00A54DD8" w:rsidRDefault="0DCF988A" w:rsidP="001019BA">
      <w:pPr>
        <w:pStyle w:val="ListParagraph"/>
        <w:numPr>
          <w:ilvl w:val="0"/>
          <w:numId w:val="41"/>
        </w:numPr>
        <w:rPr>
          <w:rFonts w:eastAsia="Calibri"/>
          <w:color w:val="000000" w:themeColor="text1"/>
          <w:kern w:val="2"/>
          <w14:ligatures w14:val="standardContextual"/>
        </w:rPr>
      </w:pPr>
      <w:r w:rsidRPr="47ACCDB0">
        <w:rPr>
          <w:rFonts w:eastAsia="Calibri"/>
          <w:color w:val="000000" w:themeColor="text1"/>
          <w:kern w:val="2"/>
          <w14:ligatures w14:val="standardContextual"/>
        </w:rPr>
        <w:t>t</w:t>
      </w:r>
      <w:r w:rsidR="7FD299B2" w:rsidRPr="47ACCDB0">
        <w:rPr>
          <w:rFonts w:eastAsia="Calibri"/>
          <w:color w:val="000000" w:themeColor="text1"/>
          <w:kern w:val="2"/>
          <w14:ligatures w14:val="standardContextual"/>
        </w:rPr>
        <w:t>he nature of the obligation</w:t>
      </w:r>
      <w:r w:rsidR="12E061D7" w:rsidRPr="47ACCDB0">
        <w:rPr>
          <w:rFonts w:eastAsia="Calibri"/>
          <w:color w:val="000000" w:themeColor="text1"/>
          <w:kern w:val="2"/>
          <w14:ligatures w14:val="standardContextual"/>
        </w:rPr>
        <w:t xml:space="preserve"> in the Determination</w:t>
      </w:r>
      <w:r w:rsidR="7FD299B2" w:rsidRPr="47ACCDB0">
        <w:rPr>
          <w:rFonts w:eastAsia="Calibri"/>
          <w:color w:val="000000" w:themeColor="text1"/>
          <w:kern w:val="2"/>
          <w14:ligatures w14:val="standardContextual"/>
        </w:rPr>
        <w:t xml:space="preserve"> </w:t>
      </w:r>
    </w:p>
    <w:p w14:paraId="707EFE96" w14:textId="15461B0D" w:rsidR="002C1765" w:rsidRPr="00FB7083" w:rsidRDefault="0DCF988A" w:rsidP="001019BA">
      <w:pPr>
        <w:pStyle w:val="ListParagraph"/>
        <w:numPr>
          <w:ilvl w:val="0"/>
          <w:numId w:val="41"/>
        </w:numPr>
        <w:rPr>
          <w:rFonts w:eastAsia="Calibri"/>
          <w:color w:val="000000" w:themeColor="text1"/>
          <w:kern w:val="2"/>
          <w14:ligatures w14:val="standardContextual"/>
        </w:rPr>
      </w:pPr>
      <w:r w:rsidRPr="47ACCDB0">
        <w:rPr>
          <w:rFonts w:eastAsia="Calibri"/>
          <w:color w:val="000000" w:themeColor="text1"/>
          <w:kern w:val="2"/>
          <w14:ligatures w14:val="standardContextual"/>
        </w:rPr>
        <w:t>t</w:t>
      </w:r>
      <w:r w:rsidR="4B1276D2" w:rsidRPr="47ACCDB0">
        <w:rPr>
          <w:rFonts w:eastAsia="Calibri"/>
          <w:color w:val="000000" w:themeColor="text1"/>
          <w:kern w:val="2"/>
          <w14:ligatures w14:val="standardContextual"/>
        </w:rPr>
        <w:t xml:space="preserve">he </w:t>
      </w:r>
      <w:r w:rsidR="5A68A1D9" w:rsidRPr="47ACCDB0">
        <w:rPr>
          <w:rFonts w:eastAsia="Calibri"/>
          <w:color w:val="000000" w:themeColor="text1"/>
          <w:kern w:val="2"/>
          <w14:ligatures w14:val="standardContextual"/>
        </w:rPr>
        <w:t>detriment</w:t>
      </w:r>
      <w:r w:rsidR="23CABBE4" w:rsidRPr="47ACCDB0">
        <w:rPr>
          <w:rFonts w:eastAsia="Calibri"/>
          <w:color w:val="000000" w:themeColor="text1"/>
          <w:kern w:val="2"/>
          <w14:ligatures w14:val="standardContextual"/>
        </w:rPr>
        <w:t xml:space="preserve"> </w:t>
      </w:r>
      <w:r w:rsidR="6A20CF5C" w:rsidRPr="47ACCDB0">
        <w:rPr>
          <w:rFonts w:eastAsia="Calibri"/>
          <w:color w:val="000000" w:themeColor="text1"/>
          <w:kern w:val="2"/>
          <w14:ligatures w14:val="standardContextual"/>
        </w:rPr>
        <w:t xml:space="preserve">experienced by a </w:t>
      </w:r>
      <w:r w:rsidR="23CABBE4" w:rsidRPr="47ACCDB0">
        <w:rPr>
          <w:rFonts w:eastAsia="Calibri"/>
          <w:color w:val="000000" w:themeColor="text1"/>
          <w:kern w:val="2"/>
          <w14:ligatures w14:val="standardContextual"/>
        </w:rPr>
        <w:t>large number of customers</w:t>
      </w:r>
    </w:p>
    <w:p w14:paraId="52F9BB60" w14:textId="07C9CF24" w:rsidR="006D5BC1" w:rsidRPr="005B3A65" w:rsidRDefault="0DCF988A" w:rsidP="001019BA">
      <w:pPr>
        <w:pStyle w:val="ListParagraph"/>
        <w:numPr>
          <w:ilvl w:val="0"/>
          <w:numId w:val="41"/>
        </w:numPr>
        <w:rPr>
          <w:rFonts w:eastAsia="Calibri"/>
          <w:color w:val="000000" w:themeColor="text1"/>
          <w:kern w:val="2"/>
          <w14:ligatures w14:val="standardContextual"/>
        </w:rPr>
      </w:pPr>
      <w:r w:rsidRPr="47ACCDB0">
        <w:rPr>
          <w:rFonts w:eastAsia="Calibri"/>
          <w:color w:val="000000" w:themeColor="text1"/>
          <w:kern w:val="2"/>
          <w14:ligatures w14:val="standardContextual"/>
        </w:rPr>
        <w:t>t</w:t>
      </w:r>
      <w:r w:rsidR="4B765BA8" w:rsidRPr="47ACCDB0">
        <w:rPr>
          <w:rFonts w:eastAsia="Calibri"/>
          <w:color w:val="000000" w:themeColor="text1"/>
          <w:kern w:val="2"/>
          <w14:ligatures w14:val="standardContextual"/>
        </w:rPr>
        <w:t>he fact t</w:t>
      </w:r>
      <w:r w:rsidR="699A8952" w:rsidRPr="47ACCDB0">
        <w:rPr>
          <w:rFonts w:eastAsia="Calibri"/>
          <w:color w:val="000000" w:themeColor="text1"/>
          <w:kern w:val="2"/>
          <w14:ligatures w14:val="standardContextual"/>
        </w:rPr>
        <w:t xml:space="preserve">hat the breach was </w:t>
      </w:r>
      <w:r w:rsidR="5648B393" w:rsidRPr="47ACCDB0">
        <w:rPr>
          <w:rFonts w:eastAsia="Calibri"/>
          <w:color w:val="000000" w:themeColor="text1"/>
          <w:kern w:val="2"/>
          <w14:ligatures w14:val="standardContextual"/>
        </w:rPr>
        <w:t xml:space="preserve">not deliberate </w:t>
      </w:r>
      <w:r w:rsidR="09A5C5EA" w:rsidRPr="47ACCDB0">
        <w:rPr>
          <w:rFonts w:eastAsia="Calibri"/>
          <w:color w:val="000000" w:themeColor="text1"/>
          <w:kern w:val="2"/>
          <w14:ligatures w14:val="standardContextual"/>
        </w:rPr>
        <w:t xml:space="preserve">but </w:t>
      </w:r>
      <w:r w:rsidR="699A8952" w:rsidRPr="47ACCDB0">
        <w:rPr>
          <w:rFonts w:eastAsia="Calibri"/>
          <w:color w:val="000000" w:themeColor="text1"/>
          <w:kern w:val="2"/>
          <w14:ligatures w14:val="standardContextual"/>
        </w:rPr>
        <w:t xml:space="preserve">due to </w:t>
      </w:r>
      <w:r w:rsidR="029E8399" w:rsidRPr="47ACCDB0">
        <w:rPr>
          <w:rFonts w:eastAsia="Calibri"/>
          <w:color w:val="000000" w:themeColor="text1"/>
          <w:kern w:val="2"/>
          <w14:ligatures w14:val="standardContextual"/>
        </w:rPr>
        <w:t>issue</w:t>
      </w:r>
      <w:r w:rsidR="58106DCB" w:rsidRPr="47ACCDB0">
        <w:rPr>
          <w:rFonts w:eastAsia="Calibri"/>
          <w:color w:val="000000" w:themeColor="text1"/>
          <w:kern w:val="2"/>
          <w14:ligatures w14:val="standardContextual"/>
        </w:rPr>
        <w:t>s</w:t>
      </w:r>
      <w:r w:rsidR="029E8399" w:rsidRPr="47ACCDB0">
        <w:rPr>
          <w:rFonts w:eastAsia="Calibri"/>
          <w:color w:val="000000" w:themeColor="text1"/>
          <w:kern w:val="2"/>
          <w14:ligatures w14:val="standardContextual"/>
        </w:rPr>
        <w:t xml:space="preserve"> with Optus’s </w:t>
      </w:r>
      <w:r w:rsidR="12E061D7" w:rsidRPr="47ACCDB0">
        <w:rPr>
          <w:rFonts w:eastAsia="Calibri"/>
          <w:color w:val="000000" w:themeColor="text1"/>
          <w:kern w:val="2"/>
          <w14:ligatures w14:val="standardContextual"/>
        </w:rPr>
        <w:t xml:space="preserve">IT </w:t>
      </w:r>
      <w:r w:rsidR="367AAC77" w:rsidRPr="47ACCDB0">
        <w:rPr>
          <w:rFonts w:eastAsia="Calibri"/>
          <w:color w:val="000000" w:themeColor="text1"/>
          <w:kern w:val="2"/>
          <w14:ligatures w14:val="standardContextual"/>
        </w:rPr>
        <w:t>system</w:t>
      </w:r>
      <w:r w:rsidR="029E8399" w:rsidRPr="47ACCDB0">
        <w:rPr>
          <w:rFonts w:eastAsia="Calibri"/>
          <w:color w:val="000000" w:themeColor="text1"/>
          <w:kern w:val="2"/>
          <w14:ligatures w14:val="standardContextual"/>
        </w:rPr>
        <w:t>s</w:t>
      </w:r>
    </w:p>
    <w:p w14:paraId="51962784" w14:textId="5FF574AE" w:rsidR="000E7A47" w:rsidRPr="005B3A65" w:rsidRDefault="00FD54BF" w:rsidP="001019BA">
      <w:pPr>
        <w:pStyle w:val="ListParagraph"/>
        <w:numPr>
          <w:ilvl w:val="0"/>
          <w:numId w:val="41"/>
        </w:numPr>
        <w:rPr>
          <w:rFonts w:eastAsia="Calibri" w:cstheme="minorHAnsi"/>
          <w:color w:val="000000" w:themeColor="text1"/>
          <w:kern w:val="2"/>
          <w14:ligatures w14:val="standardContextual"/>
        </w:rPr>
      </w:pPr>
      <w:r>
        <w:rPr>
          <w:rFonts w:eastAsia="Calibri" w:cstheme="minorHAnsi"/>
          <w:color w:val="000000" w:themeColor="text1"/>
          <w:kern w:val="2"/>
          <w14:ligatures w14:val="standardContextual"/>
        </w:rPr>
        <w:t xml:space="preserve">the fact that </w:t>
      </w:r>
      <w:r w:rsidR="003C3A1F" w:rsidRPr="005B3A65">
        <w:rPr>
          <w:rFonts w:eastAsia="Calibri" w:cstheme="minorHAnsi"/>
          <w:color w:val="000000" w:themeColor="text1"/>
          <w:kern w:val="2"/>
          <w14:ligatures w14:val="standardContextual"/>
        </w:rPr>
        <w:t xml:space="preserve">Optus </w:t>
      </w:r>
      <w:r w:rsidR="003949B4">
        <w:rPr>
          <w:rFonts w:eastAsia="Calibri" w:cstheme="minorHAnsi"/>
          <w:color w:val="000000" w:themeColor="text1"/>
          <w:kern w:val="2"/>
          <w14:ligatures w14:val="standardContextual"/>
        </w:rPr>
        <w:t xml:space="preserve">told </w:t>
      </w:r>
      <w:r w:rsidR="00D11F2F">
        <w:rPr>
          <w:rFonts w:eastAsia="Calibri" w:cstheme="minorHAnsi"/>
          <w:color w:val="000000" w:themeColor="text1"/>
          <w:kern w:val="2"/>
          <w14:ligatures w14:val="standardContextual"/>
        </w:rPr>
        <w:t>the ACMA</w:t>
      </w:r>
      <w:r w:rsidR="00836F11" w:rsidRPr="005B3A65">
        <w:rPr>
          <w:rFonts w:eastAsia="Calibri" w:cstheme="minorHAnsi"/>
          <w:color w:val="000000" w:themeColor="text1"/>
          <w:kern w:val="2"/>
          <w14:ligatures w14:val="standardContextual"/>
        </w:rPr>
        <w:t xml:space="preserve"> </w:t>
      </w:r>
      <w:r w:rsidR="003949B4">
        <w:rPr>
          <w:rFonts w:eastAsia="Calibri" w:cstheme="minorHAnsi"/>
          <w:color w:val="000000" w:themeColor="text1"/>
          <w:kern w:val="2"/>
          <w14:ligatures w14:val="standardContextual"/>
        </w:rPr>
        <w:t xml:space="preserve">about </w:t>
      </w:r>
      <w:r w:rsidR="00836F11" w:rsidRPr="005B3A65">
        <w:rPr>
          <w:rFonts w:eastAsia="Calibri" w:cstheme="minorHAnsi"/>
          <w:color w:val="000000" w:themeColor="text1"/>
          <w:kern w:val="2"/>
          <w14:ligatures w14:val="standardContextual"/>
        </w:rPr>
        <w:t>the issue</w:t>
      </w:r>
    </w:p>
    <w:p w14:paraId="0876E466" w14:textId="5C5AB343" w:rsidR="00F77CBC" w:rsidRPr="005B3A65" w:rsidRDefault="0054432E" w:rsidP="001019BA">
      <w:pPr>
        <w:pStyle w:val="ListParagraph"/>
        <w:numPr>
          <w:ilvl w:val="0"/>
          <w:numId w:val="41"/>
        </w:numPr>
        <w:rPr>
          <w:rFonts w:eastAsia="Calibri"/>
          <w:color w:val="000000" w:themeColor="text1"/>
          <w:kern w:val="2"/>
          <w14:ligatures w14:val="standardContextual"/>
        </w:rPr>
      </w:pPr>
      <w:r w:rsidRPr="005B3A65">
        <w:rPr>
          <w:rFonts w:eastAsia="Calibri"/>
          <w:color w:val="000000" w:themeColor="text1"/>
          <w:kern w:val="2"/>
          <w14:ligatures w14:val="standardContextual"/>
        </w:rPr>
        <w:t xml:space="preserve">Optus’s </w:t>
      </w:r>
      <w:r w:rsidR="00143216" w:rsidRPr="005B3A65">
        <w:rPr>
          <w:rFonts w:eastAsia="Calibri"/>
          <w:color w:val="000000" w:themeColor="text1"/>
          <w:kern w:val="2"/>
          <w14:ligatures w14:val="standardContextual"/>
        </w:rPr>
        <w:t>cooperative behaviour</w:t>
      </w:r>
      <w:r w:rsidR="00DC0A72" w:rsidRPr="005B3A65">
        <w:rPr>
          <w:rFonts w:eastAsia="Calibri"/>
          <w:color w:val="000000" w:themeColor="text1"/>
          <w:kern w:val="2"/>
          <w14:ligatures w14:val="standardContextual"/>
        </w:rPr>
        <w:t>,</w:t>
      </w:r>
      <w:r w:rsidR="00143216" w:rsidRPr="005B3A65">
        <w:rPr>
          <w:rFonts w:eastAsia="Calibri"/>
          <w:color w:val="000000" w:themeColor="text1"/>
          <w:kern w:val="2"/>
          <w14:ligatures w14:val="standardContextual"/>
        </w:rPr>
        <w:t xml:space="preserve"> including admissions </w:t>
      </w:r>
      <w:r w:rsidR="005B3A65">
        <w:rPr>
          <w:rFonts w:eastAsia="Calibri"/>
          <w:color w:val="000000" w:themeColor="text1"/>
          <w:kern w:val="2"/>
          <w14:ligatures w14:val="standardContextual"/>
        </w:rPr>
        <w:t xml:space="preserve">of breach to </w:t>
      </w:r>
      <w:r w:rsidR="00D11F2F">
        <w:rPr>
          <w:rFonts w:eastAsia="Calibri"/>
          <w:color w:val="000000" w:themeColor="text1"/>
          <w:kern w:val="2"/>
          <w14:ligatures w14:val="standardContextual"/>
        </w:rPr>
        <w:t>the ACMA</w:t>
      </w:r>
      <w:r w:rsidR="005B3A65">
        <w:rPr>
          <w:rFonts w:eastAsia="Calibri"/>
          <w:color w:val="000000" w:themeColor="text1"/>
          <w:kern w:val="2"/>
          <w14:ligatures w14:val="standardContextual"/>
        </w:rPr>
        <w:t xml:space="preserve"> </w:t>
      </w:r>
      <w:r w:rsidR="00143216" w:rsidRPr="005B3A65">
        <w:rPr>
          <w:rFonts w:eastAsia="Calibri"/>
          <w:color w:val="000000" w:themeColor="text1"/>
          <w:kern w:val="2"/>
          <w14:ligatures w14:val="standardContextual"/>
        </w:rPr>
        <w:t xml:space="preserve">after </w:t>
      </w:r>
      <w:r w:rsidR="005B3A65">
        <w:rPr>
          <w:rFonts w:eastAsia="Calibri"/>
          <w:color w:val="000000" w:themeColor="text1"/>
          <w:kern w:val="2"/>
          <w14:ligatures w14:val="standardContextual"/>
        </w:rPr>
        <w:t xml:space="preserve">conducting </w:t>
      </w:r>
      <w:r w:rsidR="00143216" w:rsidRPr="005B3A65">
        <w:rPr>
          <w:rFonts w:eastAsia="Calibri"/>
          <w:color w:val="000000" w:themeColor="text1"/>
          <w:kern w:val="2"/>
          <w14:ligatures w14:val="standardContextual"/>
        </w:rPr>
        <w:t xml:space="preserve">its </w:t>
      </w:r>
      <w:r w:rsidR="005B3A65">
        <w:rPr>
          <w:rFonts w:eastAsia="Calibri"/>
          <w:color w:val="000000" w:themeColor="text1"/>
          <w:kern w:val="2"/>
          <w14:ligatures w14:val="standardContextual"/>
        </w:rPr>
        <w:t xml:space="preserve">own </w:t>
      </w:r>
      <w:r w:rsidR="00143216" w:rsidRPr="005B3A65">
        <w:rPr>
          <w:rFonts w:eastAsia="Calibri"/>
          <w:color w:val="000000" w:themeColor="text1"/>
          <w:kern w:val="2"/>
          <w14:ligatures w14:val="standardContextual"/>
        </w:rPr>
        <w:t>internal investigation</w:t>
      </w:r>
      <w:r w:rsidR="00DC0A72" w:rsidRPr="005B3A65">
        <w:rPr>
          <w:rFonts w:eastAsia="Calibri"/>
          <w:color w:val="000000" w:themeColor="text1"/>
          <w:kern w:val="2"/>
          <w14:ligatures w14:val="standardContextual"/>
        </w:rPr>
        <w:t>.</w:t>
      </w:r>
    </w:p>
    <w:p w14:paraId="5424D0AE" w14:textId="7FEF20D5" w:rsidR="00460AAD" w:rsidRDefault="3B1C9021" w:rsidP="47ACCDB0">
      <w:pPr>
        <w:rPr>
          <w:rFonts w:eastAsia="Calibri"/>
          <w:color w:val="000000" w:themeColor="text1"/>
          <w:kern w:val="2"/>
          <w14:ligatures w14:val="standardContextual"/>
        </w:rPr>
      </w:pPr>
      <w:r w:rsidRPr="47ACCDB0">
        <w:rPr>
          <w:rFonts w:eastAsia="Calibri"/>
          <w:color w:val="000000" w:themeColor="text1"/>
          <w:kern w:val="2"/>
          <w14:ligatures w14:val="standardContextual"/>
        </w:rPr>
        <w:t>Despite</w:t>
      </w:r>
      <w:r w:rsidR="31F75118" w:rsidRPr="47ACCDB0">
        <w:rPr>
          <w:rFonts w:eastAsia="Calibri"/>
          <w:color w:val="000000" w:themeColor="text1"/>
          <w:kern w:val="2"/>
          <w14:ligatures w14:val="standardContextual"/>
        </w:rPr>
        <w:t xml:space="preserve"> the</w:t>
      </w:r>
      <w:r w:rsidR="5A534580" w:rsidRPr="47ACCDB0">
        <w:rPr>
          <w:rFonts w:eastAsia="Calibri"/>
          <w:color w:val="000000" w:themeColor="text1"/>
          <w:kern w:val="2"/>
          <w14:ligatures w14:val="standardContextual"/>
        </w:rPr>
        <w:t xml:space="preserve"> large number of </w:t>
      </w:r>
      <w:r w:rsidR="53D7F8F9" w:rsidRPr="47ACCDB0">
        <w:rPr>
          <w:rFonts w:eastAsia="Calibri"/>
          <w:color w:val="000000" w:themeColor="text1"/>
          <w:kern w:val="2"/>
          <w14:ligatures w14:val="standardContextual"/>
        </w:rPr>
        <w:t xml:space="preserve">impacted customers, </w:t>
      </w:r>
      <w:r w:rsidR="029E8399" w:rsidRPr="47ACCDB0">
        <w:rPr>
          <w:rFonts w:eastAsia="Calibri"/>
          <w:color w:val="000000" w:themeColor="text1"/>
          <w:kern w:val="2"/>
          <w14:ligatures w14:val="standardContextual"/>
        </w:rPr>
        <w:t xml:space="preserve">and the fact </w:t>
      </w:r>
      <w:r w:rsidR="04AC0A15" w:rsidRPr="47ACCDB0">
        <w:rPr>
          <w:rFonts w:eastAsia="Calibri"/>
          <w:color w:val="000000" w:themeColor="text1"/>
          <w:kern w:val="2"/>
          <w14:ligatures w14:val="standardContextual"/>
        </w:rPr>
        <w:t xml:space="preserve">that this matter </w:t>
      </w:r>
      <w:r w:rsidR="7F5D7D4F" w:rsidRPr="47ACCDB0">
        <w:rPr>
          <w:rFonts w:eastAsia="Calibri"/>
          <w:color w:val="000000" w:themeColor="text1"/>
          <w:kern w:val="2"/>
          <w14:ligatures w14:val="standardContextual"/>
        </w:rPr>
        <w:t>arose from a problem with</w:t>
      </w:r>
      <w:r w:rsidR="7CC42D1F" w:rsidRPr="47ACCDB0">
        <w:rPr>
          <w:rFonts w:eastAsia="Calibri"/>
          <w:color w:val="000000" w:themeColor="text1"/>
          <w:kern w:val="2"/>
          <w14:ligatures w14:val="standardContextual"/>
        </w:rPr>
        <w:t xml:space="preserve"> </w:t>
      </w:r>
      <w:r w:rsidR="029E8399" w:rsidRPr="47ACCDB0">
        <w:rPr>
          <w:rFonts w:eastAsia="Calibri"/>
          <w:color w:val="000000" w:themeColor="text1"/>
          <w:kern w:val="2"/>
          <w14:ligatures w14:val="standardContextual"/>
        </w:rPr>
        <w:t>Optus’s systems</w:t>
      </w:r>
      <w:r w:rsidR="58106DCB" w:rsidRPr="47ACCDB0">
        <w:rPr>
          <w:rFonts w:eastAsia="Calibri"/>
          <w:color w:val="000000" w:themeColor="text1"/>
          <w:kern w:val="2"/>
          <w14:ligatures w14:val="standardContextual"/>
        </w:rPr>
        <w:t xml:space="preserve">, Optus’s </w:t>
      </w:r>
      <w:r w:rsidR="35FE1117" w:rsidRPr="47ACCDB0">
        <w:rPr>
          <w:rFonts w:eastAsia="Calibri"/>
          <w:color w:val="000000" w:themeColor="text1"/>
          <w:kern w:val="2"/>
          <w14:ligatures w14:val="standardContextual"/>
        </w:rPr>
        <w:t xml:space="preserve">decision to </w:t>
      </w:r>
      <w:r w:rsidR="58106DCB" w:rsidRPr="47ACCDB0">
        <w:rPr>
          <w:rFonts w:eastAsia="Calibri"/>
          <w:color w:val="000000" w:themeColor="text1"/>
          <w:kern w:val="2"/>
          <w14:ligatures w14:val="standardContextual"/>
        </w:rPr>
        <w:t>self-report</w:t>
      </w:r>
      <w:r w:rsidR="35FE1117" w:rsidRPr="47ACCDB0">
        <w:rPr>
          <w:rFonts w:eastAsia="Calibri"/>
          <w:color w:val="000000" w:themeColor="text1"/>
          <w:kern w:val="2"/>
          <w14:ligatures w14:val="standardContextual"/>
        </w:rPr>
        <w:t xml:space="preserve"> the </w:t>
      </w:r>
      <w:r w:rsidR="46A84E7E" w:rsidRPr="47ACCDB0">
        <w:rPr>
          <w:rFonts w:eastAsia="Calibri"/>
          <w:color w:val="000000" w:themeColor="text1"/>
          <w:kern w:val="2"/>
          <w14:ligatures w14:val="standardContextual"/>
        </w:rPr>
        <w:t>breaches and</w:t>
      </w:r>
      <w:r w:rsidR="58106DCB" w:rsidRPr="47ACCDB0">
        <w:rPr>
          <w:rFonts w:eastAsia="Calibri"/>
          <w:color w:val="000000" w:themeColor="text1"/>
          <w:kern w:val="2"/>
          <w14:ligatures w14:val="standardContextual"/>
        </w:rPr>
        <w:t xml:space="preserve"> </w:t>
      </w:r>
      <w:r w:rsidR="35FE1117" w:rsidRPr="47ACCDB0">
        <w:rPr>
          <w:rFonts w:eastAsia="Calibri"/>
          <w:color w:val="000000" w:themeColor="text1"/>
          <w:kern w:val="2"/>
          <w14:ligatures w14:val="standardContextual"/>
        </w:rPr>
        <w:t xml:space="preserve">its </w:t>
      </w:r>
      <w:r w:rsidR="58106DCB" w:rsidRPr="47ACCDB0">
        <w:rPr>
          <w:rFonts w:eastAsia="Calibri"/>
          <w:color w:val="000000" w:themeColor="text1"/>
          <w:kern w:val="2"/>
          <w14:ligatures w14:val="standardContextual"/>
        </w:rPr>
        <w:t>cooperati</w:t>
      </w:r>
      <w:r w:rsidR="732747EC" w:rsidRPr="47ACCDB0">
        <w:rPr>
          <w:rFonts w:eastAsia="Calibri"/>
          <w:color w:val="000000" w:themeColor="text1"/>
          <w:kern w:val="2"/>
          <w14:ligatures w14:val="standardContextual"/>
        </w:rPr>
        <w:t>ve behaviour</w:t>
      </w:r>
      <w:r w:rsidR="58106DCB" w:rsidRPr="47ACCDB0">
        <w:rPr>
          <w:rFonts w:eastAsia="Calibri"/>
          <w:color w:val="000000" w:themeColor="text1"/>
          <w:kern w:val="2"/>
          <w14:ligatures w14:val="standardContextual"/>
        </w:rPr>
        <w:t xml:space="preserve"> </w:t>
      </w:r>
      <w:r w:rsidR="5338EA76" w:rsidRPr="47ACCDB0">
        <w:rPr>
          <w:rFonts w:eastAsia="Calibri"/>
          <w:color w:val="000000" w:themeColor="text1"/>
          <w:kern w:val="2"/>
          <w14:ligatures w14:val="standardContextual"/>
        </w:rPr>
        <w:t xml:space="preserve">may have influenced the </w:t>
      </w:r>
      <w:r w:rsidR="00D11F2F">
        <w:rPr>
          <w:rFonts w:eastAsia="Calibri"/>
          <w:color w:val="000000" w:themeColor="text1"/>
          <w:kern w:val="2"/>
          <w14:ligatures w14:val="standardContextual"/>
        </w:rPr>
        <w:t>ACMA</w:t>
      </w:r>
      <w:r w:rsidR="5338EA76" w:rsidRPr="47ACCDB0">
        <w:rPr>
          <w:rFonts w:eastAsia="Calibri"/>
          <w:color w:val="000000" w:themeColor="text1"/>
          <w:kern w:val="2"/>
          <w14:ligatures w14:val="standardContextual"/>
        </w:rPr>
        <w:t xml:space="preserve">’s decision to </w:t>
      </w:r>
      <w:r w:rsidR="648360E2" w:rsidRPr="47ACCDB0">
        <w:rPr>
          <w:rFonts w:eastAsia="Calibri"/>
          <w:color w:val="000000" w:themeColor="text1"/>
          <w:kern w:val="2"/>
          <w14:ligatures w14:val="standardContextual"/>
        </w:rPr>
        <w:t>issue a remedial direction</w:t>
      </w:r>
      <w:r w:rsidR="4C2998A9" w:rsidRPr="47ACCDB0">
        <w:rPr>
          <w:rFonts w:eastAsia="Calibri"/>
          <w:color w:val="000000" w:themeColor="text1"/>
          <w:kern w:val="2"/>
          <w14:ligatures w14:val="standardContextual"/>
        </w:rPr>
        <w:t xml:space="preserve"> </w:t>
      </w:r>
      <w:r w:rsidR="3CC6C9BC" w:rsidRPr="47ACCDB0">
        <w:rPr>
          <w:rFonts w:eastAsia="Calibri"/>
          <w:color w:val="000000" w:themeColor="text1"/>
          <w:kern w:val="2"/>
          <w14:ligatures w14:val="standardContextual"/>
        </w:rPr>
        <w:t>instead of pursuing a civil penalty</w:t>
      </w:r>
      <w:r w:rsidR="00BC3094">
        <w:rPr>
          <w:rFonts w:eastAsia="Calibri"/>
          <w:color w:val="000000" w:themeColor="text1"/>
          <w:kern w:val="2"/>
          <w14:ligatures w14:val="standardContextual"/>
        </w:rPr>
        <w:t xml:space="preserve"> or an infringement notice</w:t>
      </w:r>
      <w:r w:rsidR="003E0005">
        <w:rPr>
          <w:rFonts w:eastAsia="Calibri"/>
          <w:color w:val="000000" w:themeColor="text1"/>
          <w:kern w:val="2"/>
          <w14:ligatures w14:val="standardContextual"/>
        </w:rPr>
        <w:t xml:space="preserve"> (breach of </w:t>
      </w:r>
      <w:r w:rsidR="007F1AFE">
        <w:rPr>
          <w:rFonts w:eastAsia="Calibri"/>
          <w:color w:val="000000" w:themeColor="text1"/>
          <w:kern w:val="2"/>
          <w14:ligatures w14:val="standardContextual"/>
        </w:rPr>
        <w:t>ss 14(3) and 15(1) of the Telecommunications Service Provider (NBN Service Migration) Determination 2018 are listed infringement notice provisions)</w:t>
      </w:r>
      <w:r w:rsidR="3CC6C9BC" w:rsidRPr="47ACCDB0">
        <w:rPr>
          <w:rFonts w:eastAsia="Calibri"/>
          <w:color w:val="000000" w:themeColor="text1"/>
          <w:kern w:val="2"/>
          <w14:ligatures w14:val="standardContextual"/>
        </w:rPr>
        <w:t xml:space="preserve">.  Pursuit of a civil penalty </w:t>
      </w:r>
      <w:r w:rsidR="00BC3094">
        <w:rPr>
          <w:rFonts w:eastAsia="Calibri"/>
          <w:color w:val="000000" w:themeColor="text1"/>
          <w:kern w:val="2"/>
          <w14:ligatures w14:val="standardContextual"/>
        </w:rPr>
        <w:t xml:space="preserve">or an infringement notice </w:t>
      </w:r>
      <w:r w:rsidR="732747EC" w:rsidRPr="47ACCDB0">
        <w:rPr>
          <w:rFonts w:eastAsia="Calibri"/>
          <w:color w:val="000000" w:themeColor="text1"/>
          <w:kern w:val="2"/>
          <w14:ligatures w14:val="standardContextual"/>
        </w:rPr>
        <w:t xml:space="preserve">would arguably </w:t>
      </w:r>
      <w:r w:rsidR="3CC6C9BC" w:rsidRPr="47ACCDB0">
        <w:rPr>
          <w:rFonts w:eastAsia="Calibri"/>
          <w:color w:val="000000" w:themeColor="text1"/>
          <w:kern w:val="2"/>
          <w14:ligatures w14:val="standardContextual"/>
        </w:rPr>
        <w:t>creat</w:t>
      </w:r>
      <w:r w:rsidR="70A7D7EB" w:rsidRPr="47ACCDB0">
        <w:rPr>
          <w:rFonts w:eastAsia="Calibri"/>
          <w:color w:val="000000" w:themeColor="text1"/>
          <w:kern w:val="2"/>
          <w14:ligatures w14:val="standardContextual"/>
        </w:rPr>
        <w:t xml:space="preserve">e </w:t>
      </w:r>
      <w:r w:rsidR="732747EC" w:rsidRPr="47ACCDB0">
        <w:rPr>
          <w:rFonts w:eastAsia="Calibri"/>
          <w:color w:val="000000" w:themeColor="text1"/>
          <w:kern w:val="2"/>
          <w14:ligatures w14:val="standardContextual"/>
        </w:rPr>
        <w:t xml:space="preserve">strong </w:t>
      </w:r>
      <w:r w:rsidR="6909201D" w:rsidRPr="47ACCDB0">
        <w:rPr>
          <w:rFonts w:eastAsia="Calibri"/>
          <w:color w:val="000000" w:themeColor="text1"/>
          <w:kern w:val="2"/>
          <w14:ligatures w14:val="standardContextual"/>
        </w:rPr>
        <w:t>dis</w:t>
      </w:r>
      <w:r w:rsidR="1CA363F8" w:rsidRPr="47ACCDB0">
        <w:rPr>
          <w:rFonts w:eastAsia="Calibri"/>
          <w:color w:val="000000" w:themeColor="text1"/>
          <w:kern w:val="2"/>
          <w14:ligatures w14:val="standardContextual"/>
        </w:rPr>
        <w:t>incentiv</w:t>
      </w:r>
      <w:r w:rsidR="3CC6C9BC" w:rsidRPr="47ACCDB0">
        <w:rPr>
          <w:rFonts w:eastAsia="Calibri"/>
          <w:color w:val="000000" w:themeColor="text1"/>
          <w:kern w:val="2"/>
          <w14:ligatures w14:val="standardContextual"/>
        </w:rPr>
        <w:t xml:space="preserve">es </w:t>
      </w:r>
      <w:r w:rsidR="70A7D7EB" w:rsidRPr="47ACCDB0">
        <w:rPr>
          <w:rFonts w:eastAsia="Calibri"/>
          <w:color w:val="000000" w:themeColor="text1"/>
          <w:kern w:val="2"/>
          <w14:ligatures w14:val="standardContextual"/>
        </w:rPr>
        <w:t xml:space="preserve">to </w:t>
      </w:r>
      <w:r w:rsidR="20217ABB" w:rsidRPr="47ACCDB0">
        <w:rPr>
          <w:rFonts w:eastAsia="Calibri"/>
          <w:color w:val="000000" w:themeColor="text1"/>
          <w:kern w:val="2"/>
          <w14:ligatures w14:val="standardContextual"/>
        </w:rPr>
        <w:t>report</w:t>
      </w:r>
      <w:r w:rsidR="029335AA" w:rsidRPr="47ACCDB0">
        <w:rPr>
          <w:rFonts w:eastAsia="Calibri"/>
          <w:color w:val="000000" w:themeColor="text1"/>
          <w:kern w:val="2"/>
          <w14:ligatures w14:val="standardContextual"/>
        </w:rPr>
        <w:t xml:space="preserve"> non-compliance</w:t>
      </w:r>
      <w:r w:rsidR="4C2998A9" w:rsidRPr="47ACCDB0">
        <w:rPr>
          <w:rFonts w:eastAsia="Calibri"/>
          <w:color w:val="000000" w:themeColor="text1"/>
          <w:kern w:val="2"/>
          <w14:ligatures w14:val="standardContextual"/>
        </w:rPr>
        <w:t>.</w:t>
      </w:r>
      <w:r w:rsidR="002759E8" w:rsidRPr="47ACCDB0">
        <w:rPr>
          <w:rStyle w:val="FootnoteReference"/>
          <w:rFonts w:eastAsia="Calibri"/>
          <w:color w:val="000000" w:themeColor="text1"/>
          <w:kern w:val="2"/>
          <w14:ligatures w14:val="standardContextual"/>
        </w:rPr>
        <w:footnoteReference w:id="204"/>
      </w:r>
      <w:r w:rsidR="732747EC" w:rsidRPr="47ACCDB0">
        <w:rPr>
          <w:rFonts w:eastAsia="Calibri"/>
          <w:color w:val="000000" w:themeColor="text1"/>
          <w:kern w:val="2"/>
          <w14:ligatures w14:val="standardContextual"/>
        </w:rPr>
        <w:t xml:space="preserve"> </w:t>
      </w:r>
    </w:p>
    <w:p w14:paraId="67D218BB" w14:textId="77777777" w:rsidR="00363F6E" w:rsidRDefault="00363F6E">
      <w:pPr>
        <w:jc w:val="left"/>
        <w:rPr>
          <w:rFonts w:eastAsia="Calibri"/>
          <w:color w:val="000000" w:themeColor="text1"/>
          <w:kern w:val="2"/>
          <w14:ligatures w14:val="standardContextual"/>
        </w:rPr>
      </w:pPr>
      <w:bookmarkStart w:id="169" w:name="_Toc139024398"/>
      <w:bookmarkStart w:id="170" w:name="_Toc139024719"/>
      <w:bookmarkStart w:id="171" w:name="_Toc139031362"/>
      <w:r>
        <w:rPr>
          <w:rFonts w:eastAsia="Calibri"/>
          <w:color w:val="000000" w:themeColor="text1"/>
          <w:kern w:val="2"/>
          <w14:ligatures w14:val="standardContextual"/>
        </w:rPr>
        <w:br w:type="page"/>
      </w:r>
    </w:p>
    <w:p w14:paraId="7409A110" w14:textId="77777777" w:rsidR="00363F6E" w:rsidRPr="005B3A65" w:rsidRDefault="0038008A" w:rsidP="00363F6E">
      <w:pPr>
        <w:rPr>
          <w:rFonts w:eastAsia="Calibri"/>
          <w:color w:val="000000" w:themeColor="text1"/>
          <w:kern w:val="2"/>
          <w14:ligatures w14:val="standardContextual"/>
        </w:rPr>
      </w:pPr>
      <w:r w:rsidRPr="7EFE6C20">
        <w:rPr>
          <w:rFonts w:eastAsia="Calibri"/>
          <w:color w:val="000000" w:themeColor="text1"/>
          <w:kern w:val="2"/>
          <w14:ligatures w14:val="standardContextual"/>
        </w:rPr>
        <w:lastRenderedPageBreak/>
        <w:t xml:space="preserve">Our fourth and final example </w:t>
      </w:r>
      <w:r>
        <w:rPr>
          <w:rFonts w:eastAsia="Calibri"/>
          <w:color w:val="000000" w:themeColor="text1"/>
          <w:kern w:val="2"/>
          <w14:ligatures w14:val="standardContextual"/>
        </w:rPr>
        <w:t>(</w:t>
      </w:r>
      <w:r w:rsidRPr="00107882">
        <w:rPr>
          <w:rFonts w:eastAsia="Calibri"/>
          <w:color w:val="000000" w:themeColor="text1"/>
          <w:kern w:val="2"/>
          <w14:ligatures w14:val="standardContextual"/>
        </w:rPr>
        <w:t>above</w:t>
      </w:r>
      <w:r>
        <w:rPr>
          <w:rFonts w:eastAsia="Calibri"/>
          <w:color w:val="000000" w:themeColor="text1"/>
          <w:kern w:val="2"/>
          <w14:ligatures w14:val="standardContextual"/>
        </w:rPr>
        <w:t xml:space="preserve">) </w:t>
      </w:r>
      <w:r w:rsidRPr="7EFE6C20">
        <w:rPr>
          <w:rFonts w:eastAsia="Calibri"/>
          <w:color w:val="000000" w:themeColor="text1"/>
          <w:kern w:val="2"/>
          <w14:ligatures w14:val="standardContextual"/>
        </w:rPr>
        <w:t xml:space="preserve">of administrative enforcement action taken by </w:t>
      </w:r>
      <w:r w:rsidR="00D11F2F">
        <w:rPr>
          <w:rFonts w:eastAsia="Calibri"/>
          <w:color w:val="000000" w:themeColor="text1"/>
          <w:kern w:val="2"/>
          <w14:ligatures w14:val="standardContextual"/>
        </w:rPr>
        <w:t>the ACMA</w:t>
      </w:r>
      <w:r w:rsidRPr="7EFE6C20">
        <w:rPr>
          <w:rFonts w:eastAsia="Calibri"/>
          <w:color w:val="000000" w:themeColor="text1"/>
          <w:kern w:val="2"/>
          <w14:ligatures w14:val="standardContextual"/>
        </w:rPr>
        <w:t xml:space="preserve"> </w:t>
      </w:r>
      <w:r w:rsidR="00363F6E" w:rsidRPr="7EFE6C20">
        <w:rPr>
          <w:rFonts w:eastAsia="Calibri"/>
          <w:color w:val="000000" w:themeColor="text1"/>
          <w:kern w:val="2"/>
          <w14:ligatures w14:val="standardContextual"/>
        </w:rPr>
        <w:t>involves its decision to issue two infringement notices to Lycamobile in May 2022. This action followed enforcement action taken a year earlier for breach of the same obligations</w:t>
      </w:r>
      <w:r w:rsidR="00363F6E">
        <w:rPr>
          <w:rFonts w:eastAsia="Calibri"/>
          <w:color w:val="000000" w:themeColor="text1"/>
          <w:kern w:val="2"/>
          <w14:ligatures w14:val="standardContextual"/>
        </w:rPr>
        <w:t>.</w:t>
      </w:r>
      <w:r w:rsidR="00363F6E" w:rsidRPr="7EFE6C20">
        <w:rPr>
          <w:rFonts w:eastAsia="Calibri"/>
          <w:color w:val="000000" w:themeColor="text1"/>
          <w:kern w:val="2"/>
          <w14:ligatures w14:val="standardContextual"/>
        </w:rPr>
        <w:t xml:space="preserve"> </w:t>
      </w:r>
    </w:p>
    <w:p w14:paraId="236682D2" w14:textId="6F493DBB" w:rsidR="00822105" w:rsidRDefault="0038008A">
      <w:r w:rsidRPr="00F921CD">
        <w:rPr>
          <w:noProof/>
          <w:color w:val="0000FF"/>
          <w:u w:val="single"/>
        </w:rPr>
        <mc:AlternateContent>
          <mc:Choice Requires="wps">
            <w:drawing>
              <wp:anchor distT="0" distB="0" distL="114300" distR="114300" simplePos="0" relativeHeight="251658241" behindDoc="1" locked="0" layoutInCell="1" allowOverlap="1" wp14:anchorId="0168D1F0" wp14:editId="06A70CB5">
                <wp:simplePos x="0" y="0"/>
                <wp:positionH relativeFrom="margin">
                  <wp:posOffset>-10160</wp:posOffset>
                </wp:positionH>
                <wp:positionV relativeFrom="paragraph">
                  <wp:posOffset>281586</wp:posOffset>
                </wp:positionV>
                <wp:extent cx="5563870" cy="5885929"/>
                <wp:effectExtent l="12700" t="12700" r="11430" b="6985"/>
                <wp:wrapNone/>
                <wp:docPr id="4" name="Rounded 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63870" cy="5885929"/>
                        </a:xfrm>
                        <a:prstGeom prst="roundRect">
                          <a:avLst>
                            <a:gd name="adj" fmla="val 6669"/>
                          </a:avLst>
                        </a:prstGeom>
                        <a:noFill/>
                        <a:ln>
                          <a:solidFill>
                            <a:srgbClr val="0D41D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B1E00E" w14:textId="77777777" w:rsidR="00712508" w:rsidRPr="00A323EB" w:rsidRDefault="00712508" w:rsidP="00B24425">
                            <w:pPr>
                              <w:spacing w:after="160" w:line="240" w:lineRule="auto"/>
                              <w:rPr>
                                <w:rFonts w:cs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68D1F0" id="Rounded Rectangle 4" o:spid="_x0000_s1029" style="position:absolute;left:0;text-align:left;margin-left:-.8pt;margin-top:22.15pt;width:438.1pt;height:463.4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3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" filled="f" strokecolor="#0d41d1" strokeweight="2pt">
                <v:textbox>
                  <w:txbxContent>
                    <w:p w14:paraId="26B1E00E" w14:textId="77777777" w:rsidR="00712508" w:rsidRPr="00A323EB" w:rsidRDefault="00712508" w:rsidP="00B24425">
                      <w:pPr>
                        <w:spacing w:after="160" w:line="240" w:lineRule="auto"/>
                        <w:rPr>
                          <w:rFonts w:cstheme="minorHAnsi"/>
                          <w:color w:val="000000" w:themeColor="text1"/>
                          <w:sz w:val="20"/>
                          <w:szCs w:val="20"/>
                        </w:rPr>
                      </w:pPr>
                    </w:p>
                  </w:txbxContent>
                </v:textbox>
                <w10:wrap anchorx="margin"/>
              </v:roundrect>
            </w:pict>
          </mc:Fallback>
        </mc:AlternateContent>
      </w:r>
    </w:p>
    <w:p w14:paraId="2EB58370" w14:textId="70BF4F62" w:rsidR="00B24425" w:rsidRPr="00B24425" w:rsidRDefault="009B4455" w:rsidP="00884C95">
      <w:pPr>
        <w:spacing w:line="240" w:lineRule="auto"/>
        <w:ind w:left="426"/>
        <w:rPr>
          <w:b/>
          <w:bCs/>
          <w:sz w:val="20"/>
          <w:szCs w:val="20"/>
          <w:u w:val="single"/>
        </w:rPr>
      </w:pPr>
      <w:r>
        <w:br/>
      </w:r>
      <w:hyperlink r:id="rId34" w:history="1">
        <w:r w:rsidR="10E08738" w:rsidRPr="0028533C">
          <w:rPr>
            <w:rStyle w:val="Hyperlink"/>
            <w:sz w:val="20"/>
            <w:szCs w:val="20"/>
          </w:rPr>
          <w:t>Case Study: Infringement notice: Lycamobile Pty Ltd (</w:t>
        </w:r>
        <w:r w:rsidR="0C0D3670">
          <w:rPr>
            <w:rStyle w:val="Hyperlink"/>
            <w:sz w:val="20"/>
            <w:szCs w:val="20"/>
          </w:rPr>
          <w:t>May 202</w:t>
        </w:r>
        <w:r w:rsidR="69BAEBAC">
          <w:rPr>
            <w:rStyle w:val="Hyperlink"/>
            <w:sz w:val="20"/>
            <w:szCs w:val="20"/>
          </w:rPr>
          <w:t>2</w:t>
        </w:r>
        <w:r w:rsidR="10E08738" w:rsidRPr="0028533C">
          <w:rPr>
            <w:rStyle w:val="Hyperlink"/>
            <w:sz w:val="20"/>
            <w:szCs w:val="20"/>
          </w:rPr>
          <w:t>)</w:t>
        </w:r>
      </w:hyperlink>
      <w:r w:rsidR="001E0813" w:rsidRPr="47ACCDB0">
        <w:rPr>
          <w:rStyle w:val="FootnoteReference"/>
          <w:sz w:val="20"/>
          <w:szCs w:val="20"/>
        </w:rPr>
        <w:footnoteReference w:id="205"/>
      </w:r>
    </w:p>
    <w:p w14:paraId="4439DC63" w14:textId="77777777" w:rsidR="00333AF2" w:rsidRPr="00333AF2" w:rsidRDefault="00333AF2" w:rsidP="652E4887">
      <w:pPr>
        <w:spacing w:line="240" w:lineRule="auto"/>
        <w:ind w:right="379" w:firstLine="426"/>
        <w:rPr>
          <w:sz w:val="20"/>
          <w:szCs w:val="20"/>
        </w:rPr>
      </w:pPr>
      <w:r w:rsidRPr="652E4887">
        <w:rPr>
          <w:b/>
          <w:bCs/>
          <w:sz w:val="20"/>
          <w:szCs w:val="20"/>
        </w:rPr>
        <w:t>The first investigation</w:t>
      </w:r>
    </w:p>
    <w:p w14:paraId="21D168BA" w14:textId="13CB98D9" w:rsidR="00AB44D0" w:rsidRDefault="29761F66" w:rsidP="001019BA">
      <w:pPr>
        <w:numPr>
          <w:ilvl w:val="0"/>
          <w:numId w:val="51"/>
        </w:numPr>
        <w:spacing w:line="240" w:lineRule="auto"/>
        <w:ind w:left="709" w:right="379" w:hanging="284"/>
      </w:pPr>
      <w:r w:rsidRPr="47ACCDB0">
        <w:rPr>
          <w:sz w:val="20"/>
          <w:szCs w:val="20"/>
        </w:rPr>
        <w:t xml:space="preserve">On 3 December 2020, the </w:t>
      </w:r>
      <w:r w:rsidR="00D11F2F">
        <w:rPr>
          <w:sz w:val="20"/>
          <w:szCs w:val="20"/>
        </w:rPr>
        <w:t>ACMA</w:t>
      </w:r>
      <w:r w:rsidRPr="47ACCDB0">
        <w:rPr>
          <w:sz w:val="20"/>
          <w:szCs w:val="20"/>
        </w:rPr>
        <w:t xml:space="preserve"> found that Lycamobile had </w:t>
      </w:r>
      <w:r w:rsidRPr="002F55F2">
        <w:rPr>
          <w:sz w:val="20"/>
          <w:szCs w:val="20"/>
        </w:rPr>
        <w:t>contravened</w:t>
      </w:r>
      <w:r w:rsidR="7958D66F" w:rsidRPr="002F55F2">
        <w:rPr>
          <w:sz w:val="20"/>
          <w:szCs w:val="20"/>
        </w:rPr>
        <w:t>:</w:t>
      </w:r>
      <w:r w:rsidRPr="47ACCDB0">
        <w:rPr>
          <w:sz w:val="20"/>
          <w:szCs w:val="20"/>
        </w:rPr>
        <w:t xml:space="preserve"> </w:t>
      </w:r>
    </w:p>
    <w:p w14:paraId="3F6E9A69" w14:textId="41B726B1" w:rsidR="00EF2EAF" w:rsidRPr="00470CAA" w:rsidRDefault="1CAC19DE" w:rsidP="001019BA">
      <w:pPr>
        <w:pStyle w:val="ListParagraph"/>
        <w:numPr>
          <w:ilvl w:val="1"/>
          <w:numId w:val="61"/>
        </w:numPr>
        <w:spacing w:line="240" w:lineRule="auto"/>
        <w:ind w:left="993" w:right="402" w:hanging="284"/>
        <w:rPr>
          <w:szCs w:val="21"/>
        </w:rPr>
      </w:pPr>
      <w:r w:rsidRPr="00120017">
        <w:rPr>
          <w:sz w:val="20"/>
          <w:szCs w:val="20"/>
        </w:rPr>
        <w:t xml:space="preserve">section 101(1) of the </w:t>
      </w:r>
      <w:r w:rsidR="00AA7AED">
        <w:rPr>
          <w:sz w:val="20"/>
          <w:szCs w:val="20"/>
        </w:rPr>
        <w:t>Tel Act</w:t>
      </w:r>
      <w:r w:rsidRPr="00120017">
        <w:rPr>
          <w:sz w:val="20"/>
          <w:szCs w:val="20"/>
        </w:rPr>
        <w:t xml:space="preserve"> </w:t>
      </w:r>
      <w:r w:rsidR="655017D1" w:rsidRPr="00120017">
        <w:rPr>
          <w:sz w:val="20"/>
          <w:szCs w:val="20"/>
        </w:rPr>
        <w:t xml:space="preserve">(obligation to comply with service provider rules) </w:t>
      </w:r>
      <w:r w:rsidRPr="00120017">
        <w:rPr>
          <w:sz w:val="20"/>
          <w:szCs w:val="20"/>
        </w:rPr>
        <w:t xml:space="preserve">by not complying with </w:t>
      </w:r>
      <w:r w:rsidR="29761F66" w:rsidRPr="00120017">
        <w:rPr>
          <w:sz w:val="20"/>
          <w:szCs w:val="20"/>
        </w:rPr>
        <w:t>the</w:t>
      </w:r>
      <w:r w:rsidR="033551BD" w:rsidRPr="00120017">
        <w:rPr>
          <w:sz w:val="20"/>
          <w:szCs w:val="20"/>
        </w:rPr>
        <w:t xml:space="preserve"> </w:t>
      </w:r>
      <w:r w:rsidR="76D390FE" w:rsidRPr="00120017">
        <w:rPr>
          <w:b/>
          <w:bCs/>
          <w:sz w:val="20"/>
          <w:szCs w:val="20"/>
        </w:rPr>
        <w:t>Telecommunications (Service Provider— Identity Checks for Prepaid Mobile Carriage Services) Determination 2017 (Prepaid Determination)</w:t>
      </w:r>
      <w:r w:rsidR="057FF285" w:rsidRPr="00120017">
        <w:rPr>
          <w:sz w:val="20"/>
          <w:szCs w:val="20"/>
        </w:rPr>
        <w:t>,</w:t>
      </w:r>
      <w:r w:rsidR="3E4CA211" w:rsidRPr="00120017">
        <w:rPr>
          <w:sz w:val="20"/>
          <w:szCs w:val="20"/>
        </w:rPr>
        <w:t xml:space="preserve"> and</w:t>
      </w:r>
      <w:r w:rsidR="00470CAA" w:rsidRPr="00120017">
        <w:rPr>
          <w:sz w:val="20"/>
          <w:szCs w:val="20"/>
        </w:rPr>
        <w:t xml:space="preserve"> </w:t>
      </w:r>
      <w:r w:rsidR="0B8AC82A" w:rsidRPr="00120017">
        <w:rPr>
          <w:sz w:val="20"/>
          <w:szCs w:val="20"/>
        </w:rPr>
        <w:t xml:space="preserve">the IPND service provider rule set out in subclause 10(2) of Part 4 of Schedule 2 to the </w:t>
      </w:r>
      <w:r w:rsidR="00AA7AED">
        <w:rPr>
          <w:sz w:val="20"/>
          <w:szCs w:val="20"/>
        </w:rPr>
        <w:t>Tel Act</w:t>
      </w:r>
      <w:r w:rsidR="0B8AC82A" w:rsidRPr="00120017">
        <w:rPr>
          <w:b/>
          <w:bCs/>
          <w:sz w:val="20"/>
          <w:szCs w:val="20"/>
        </w:rPr>
        <w:t xml:space="preserve"> </w:t>
      </w:r>
      <w:r w:rsidR="339FB9CE" w:rsidRPr="00120017">
        <w:rPr>
          <w:b/>
          <w:bCs/>
          <w:sz w:val="20"/>
          <w:szCs w:val="20"/>
        </w:rPr>
        <w:t>(</w:t>
      </w:r>
      <w:r w:rsidR="29761F66" w:rsidRPr="00120017">
        <w:rPr>
          <w:b/>
          <w:bCs/>
          <w:sz w:val="20"/>
          <w:szCs w:val="20"/>
        </w:rPr>
        <w:t xml:space="preserve">IPND </w:t>
      </w:r>
      <w:r w:rsidR="248483DE" w:rsidRPr="00120017">
        <w:rPr>
          <w:b/>
          <w:bCs/>
          <w:sz w:val="20"/>
          <w:szCs w:val="20"/>
        </w:rPr>
        <w:t>S</w:t>
      </w:r>
      <w:r w:rsidR="29761F66" w:rsidRPr="00120017">
        <w:rPr>
          <w:b/>
          <w:bCs/>
          <w:sz w:val="20"/>
          <w:szCs w:val="20"/>
        </w:rPr>
        <w:t xml:space="preserve">ervice </w:t>
      </w:r>
      <w:r w:rsidR="248483DE" w:rsidRPr="00120017">
        <w:rPr>
          <w:b/>
          <w:bCs/>
          <w:sz w:val="20"/>
          <w:szCs w:val="20"/>
        </w:rPr>
        <w:t>P</w:t>
      </w:r>
      <w:r w:rsidR="29761F66" w:rsidRPr="00120017">
        <w:rPr>
          <w:b/>
          <w:bCs/>
          <w:sz w:val="20"/>
          <w:szCs w:val="20"/>
        </w:rPr>
        <w:t xml:space="preserve">rovider </w:t>
      </w:r>
      <w:r w:rsidR="248483DE" w:rsidRPr="00120017">
        <w:rPr>
          <w:b/>
          <w:bCs/>
          <w:sz w:val="20"/>
          <w:szCs w:val="20"/>
        </w:rPr>
        <w:t>R</w:t>
      </w:r>
      <w:r w:rsidR="29761F66" w:rsidRPr="00120017">
        <w:rPr>
          <w:b/>
          <w:bCs/>
          <w:sz w:val="20"/>
          <w:szCs w:val="20"/>
        </w:rPr>
        <w:t>ule</w:t>
      </w:r>
      <w:r w:rsidR="339FB9CE" w:rsidRPr="00120017">
        <w:rPr>
          <w:b/>
          <w:bCs/>
          <w:sz w:val="20"/>
          <w:szCs w:val="20"/>
        </w:rPr>
        <w:t>)</w:t>
      </w:r>
      <w:r w:rsidR="057FF285" w:rsidRPr="00120017">
        <w:rPr>
          <w:sz w:val="20"/>
          <w:szCs w:val="20"/>
        </w:rPr>
        <w:t>,</w:t>
      </w:r>
      <w:r w:rsidR="29761F66" w:rsidRPr="00120017">
        <w:rPr>
          <w:sz w:val="20"/>
          <w:szCs w:val="20"/>
        </w:rPr>
        <w:t xml:space="preserve"> and </w:t>
      </w:r>
    </w:p>
    <w:p w14:paraId="112675B4" w14:textId="32732D49" w:rsidR="00B24425" w:rsidRPr="00A16DB9" w:rsidRDefault="1521D0CF" w:rsidP="001019BA">
      <w:pPr>
        <w:pStyle w:val="ListParagraph"/>
        <w:numPr>
          <w:ilvl w:val="0"/>
          <w:numId w:val="54"/>
        </w:numPr>
        <w:spacing w:line="240" w:lineRule="auto"/>
        <w:ind w:left="993" w:right="402" w:hanging="284"/>
        <w:rPr>
          <w:sz w:val="20"/>
          <w:szCs w:val="20"/>
        </w:rPr>
      </w:pPr>
      <w:r w:rsidRPr="47ACCDB0">
        <w:rPr>
          <w:sz w:val="20"/>
          <w:szCs w:val="20"/>
        </w:rPr>
        <w:t xml:space="preserve">the </w:t>
      </w:r>
      <w:r w:rsidR="161F994B" w:rsidRPr="47ACCDB0">
        <w:rPr>
          <w:b/>
          <w:bCs/>
          <w:sz w:val="20"/>
          <w:szCs w:val="20"/>
        </w:rPr>
        <w:t xml:space="preserve">Integrated Public Number Database (IPND) </w:t>
      </w:r>
      <w:r w:rsidR="5B2B33CC" w:rsidRPr="47ACCDB0">
        <w:rPr>
          <w:b/>
          <w:bCs/>
          <w:sz w:val="20"/>
          <w:szCs w:val="20"/>
        </w:rPr>
        <w:t>C</w:t>
      </w:r>
      <w:r w:rsidR="161F994B" w:rsidRPr="47ACCDB0">
        <w:rPr>
          <w:b/>
          <w:bCs/>
          <w:sz w:val="20"/>
          <w:szCs w:val="20"/>
        </w:rPr>
        <w:t>ode</w:t>
      </w:r>
      <w:r w:rsidR="161F994B" w:rsidRPr="47ACCDB0">
        <w:rPr>
          <w:sz w:val="20"/>
          <w:szCs w:val="20"/>
        </w:rPr>
        <w:t xml:space="preserve"> (</w:t>
      </w:r>
      <w:r w:rsidR="161F994B" w:rsidRPr="47ACCDB0">
        <w:rPr>
          <w:b/>
          <w:bCs/>
          <w:sz w:val="20"/>
          <w:szCs w:val="20"/>
        </w:rPr>
        <w:t>IPND Code).</w:t>
      </w:r>
    </w:p>
    <w:p w14:paraId="0561706A" w14:textId="04B36DEA" w:rsidR="00B24425" w:rsidRPr="00333AF2" w:rsidRDefault="7F524B03" w:rsidP="001019BA">
      <w:pPr>
        <w:numPr>
          <w:ilvl w:val="0"/>
          <w:numId w:val="51"/>
        </w:numPr>
        <w:spacing w:line="240" w:lineRule="auto"/>
        <w:ind w:right="402"/>
        <w:rPr>
          <w:sz w:val="20"/>
          <w:szCs w:val="20"/>
        </w:rPr>
      </w:pPr>
      <w:r w:rsidRPr="47ACCDB0">
        <w:rPr>
          <w:sz w:val="20"/>
          <w:szCs w:val="20"/>
        </w:rPr>
        <w:t>As a result of the</w:t>
      </w:r>
      <w:r w:rsidR="46B76241" w:rsidRPr="47ACCDB0">
        <w:rPr>
          <w:sz w:val="20"/>
          <w:szCs w:val="20"/>
        </w:rPr>
        <w:t>se</w:t>
      </w:r>
      <w:r w:rsidRPr="47ACCDB0">
        <w:rPr>
          <w:sz w:val="20"/>
          <w:szCs w:val="20"/>
        </w:rPr>
        <w:t xml:space="preserve"> contraventions, </w:t>
      </w:r>
      <w:r w:rsidR="2927E2D1" w:rsidRPr="47ACCDB0">
        <w:rPr>
          <w:sz w:val="20"/>
          <w:szCs w:val="20"/>
        </w:rPr>
        <w:t xml:space="preserve">in January </w:t>
      </w:r>
      <w:r w:rsidR="62AC1D76" w:rsidRPr="47ACCDB0">
        <w:rPr>
          <w:sz w:val="20"/>
          <w:szCs w:val="20"/>
        </w:rPr>
        <w:t>2021</w:t>
      </w:r>
      <w:r w:rsidR="2927E2D1" w:rsidRPr="47ACCDB0">
        <w:rPr>
          <w:sz w:val="20"/>
          <w:szCs w:val="20"/>
        </w:rPr>
        <w:t xml:space="preserve"> </w:t>
      </w:r>
      <w:r w:rsidR="00D11F2F">
        <w:rPr>
          <w:sz w:val="20"/>
          <w:szCs w:val="20"/>
        </w:rPr>
        <w:t>the ACMA</w:t>
      </w:r>
      <w:r w:rsidR="1521D0CF" w:rsidRPr="47ACCDB0">
        <w:rPr>
          <w:sz w:val="20"/>
          <w:szCs w:val="20"/>
        </w:rPr>
        <w:t xml:space="preserve"> gave Lycamobile a </w:t>
      </w:r>
      <w:r w:rsidR="1521D0CF" w:rsidRPr="47ACCDB0">
        <w:rPr>
          <w:b/>
          <w:bCs/>
          <w:sz w:val="20"/>
          <w:szCs w:val="20"/>
        </w:rPr>
        <w:t>remedial direction</w:t>
      </w:r>
      <w:r w:rsidR="1521D0CF" w:rsidRPr="47ACCDB0">
        <w:rPr>
          <w:sz w:val="20"/>
          <w:szCs w:val="20"/>
        </w:rPr>
        <w:t xml:space="preserve"> </w:t>
      </w:r>
      <w:r w:rsidR="6707999E" w:rsidRPr="47ACCDB0">
        <w:rPr>
          <w:sz w:val="20"/>
          <w:szCs w:val="20"/>
        </w:rPr>
        <w:t xml:space="preserve">(varied in March 2021) </w:t>
      </w:r>
      <w:r w:rsidR="1521D0CF" w:rsidRPr="47ACCDB0">
        <w:rPr>
          <w:sz w:val="20"/>
          <w:szCs w:val="20"/>
        </w:rPr>
        <w:t xml:space="preserve">for the </w:t>
      </w:r>
      <w:r w:rsidR="1521D0CF" w:rsidRPr="47ACCDB0">
        <w:rPr>
          <w:b/>
          <w:bCs/>
          <w:sz w:val="20"/>
          <w:szCs w:val="20"/>
        </w:rPr>
        <w:t>Prepaid Determination</w:t>
      </w:r>
      <w:r w:rsidR="2927E2D1" w:rsidRPr="47ACCDB0">
        <w:rPr>
          <w:sz w:val="20"/>
          <w:szCs w:val="20"/>
        </w:rPr>
        <w:t xml:space="preserve"> and </w:t>
      </w:r>
      <w:r w:rsidR="1521D0CF" w:rsidRPr="47ACCDB0">
        <w:rPr>
          <w:sz w:val="20"/>
          <w:szCs w:val="20"/>
        </w:rPr>
        <w:t xml:space="preserve">a </w:t>
      </w:r>
      <w:r w:rsidR="1521D0CF" w:rsidRPr="47ACCDB0">
        <w:rPr>
          <w:b/>
          <w:bCs/>
          <w:sz w:val="20"/>
          <w:szCs w:val="20"/>
        </w:rPr>
        <w:t>direction to comply</w:t>
      </w:r>
      <w:r w:rsidR="1521D0CF" w:rsidRPr="47ACCDB0">
        <w:rPr>
          <w:sz w:val="20"/>
          <w:szCs w:val="20"/>
        </w:rPr>
        <w:t xml:space="preserve"> with the </w:t>
      </w:r>
      <w:r w:rsidR="1521D0CF" w:rsidRPr="47ACCDB0">
        <w:rPr>
          <w:b/>
          <w:bCs/>
          <w:sz w:val="20"/>
          <w:szCs w:val="20"/>
        </w:rPr>
        <w:t>IPND Code</w:t>
      </w:r>
      <w:r w:rsidR="2927E2D1" w:rsidRPr="47ACCDB0">
        <w:rPr>
          <w:b/>
          <w:bCs/>
          <w:sz w:val="20"/>
          <w:szCs w:val="20"/>
        </w:rPr>
        <w:t>.</w:t>
      </w:r>
      <w:r w:rsidR="07690D6A" w:rsidRPr="47ACCDB0">
        <w:rPr>
          <w:sz w:val="20"/>
          <w:szCs w:val="20"/>
        </w:rPr>
        <w:t xml:space="preserve"> </w:t>
      </w:r>
      <w:r w:rsidR="2927E2D1" w:rsidRPr="47ACCDB0">
        <w:rPr>
          <w:sz w:val="20"/>
          <w:szCs w:val="20"/>
        </w:rPr>
        <w:t>I</w:t>
      </w:r>
      <w:r w:rsidR="759B7133" w:rsidRPr="47ACCDB0">
        <w:rPr>
          <w:sz w:val="20"/>
          <w:szCs w:val="20"/>
        </w:rPr>
        <w:t>n March</w:t>
      </w:r>
      <w:r w:rsidR="4A0E1F15" w:rsidRPr="47ACCDB0">
        <w:rPr>
          <w:sz w:val="20"/>
          <w:szCs w:val="20"/>
        </w:rPr>
        <w:t xml:space="preserve"> 2021,</w:t>
      </w:r>
      <w:r w:rsidR="759B7133" w:rsidRPr="47ACCDB0">
        <w:rPr>
          <w:sz w:val="20"/>
          <w:szCs w:val="20"/>
        </w:rPr>
        <w:t xml:space="preserve"> </w:t>
      </w:r>
      <w:r w:rsidR="2927E2D1" w:rsidRPr="47ACCDB0">
        <w:rPr>
          <w:sz w:val="20"/>
          <w:szCs w:val="20"/>
        </w:rPr>
        <w:t xml:space="preserve">it </w:t>
      </w:r>
      <w:r w:rsidR="6707999E" w:rsidRPr="47ACCDB0">
        <w:rPr>
          <w:sz w:val="20"/>
          <w:szCs w:val="20"/>
        </w:rPr>
        <w:t xml:space="preserve">also </w:t>
      </w:r>
      <w:r w:rsidR="2927E2D1" w:rsidRPr="47ACCDB0">
        <w:rPr>
          <w:sz w:val="20"/>
          <w:szCs w:val="20"/>
        </w:rPr>
        <w:t xml:space="preserve">gave Lycamobile </w:t>
      </w:r>
      <w:r w:rsidR="1521D0CF" w:rsidRPr="47ACCDB0">
        <w:rPr>
          <w:sz w:val="20"/>
          <w:szCs w:val="20"/>
        </w:rPr>
        <w:t xml:space="preserve">an </w:t>
      </w:r>
      <w:r w:rsidR="1521D0CF" w:rsidRPr="47ACCDB0">
        <w:rPr>
          <w:b/>
          <w:bCs/>
          <w:sz w:val="20"/>
          <w:szCs w:val="20"/>
        </w:rPr>
        <w:t>infringement notice</w:t>
      </w:r>
      <w:r w:rsidR="1521D0CF" w:rsidRPr="47ACCDB0">
        <w:rPr>
          <w:sz w:val="20"/>
          <w:szCs w:val="20"/>
        </w:rPr>
        <w:t xml:space="preserve"> for $604,800 </w:t>
      </w:r>
      <w:r w:rsidR="40052886" w:rsidRPr="47ACCDB0">
        <w:rPr>
          <w:sz w:val="20"/>
          <w:szCs w:val="20"/>
        </w:rPr>
        <w:t>in relation to the IPND service provider rule</w:t>
      </w:r>
      <w:r w:rsidR="46B76241" w:rsidRPr="47ACCDB0">
        <w:rPr>
          <w:sz w:val="20"/>
          <w:szCs w:val="20"/>
        </w:rPr>
        <w:t xml:space="preserve"> (a listed infringement notice provision)</w:t>
      </w:r>
      <w:r w:rsidR="40052886" w:rsidRPr="47ACCDB0">
        <w:rPr>
          <w:sz w:val="20"/>
          <w:szCs w:val="20"/>
        </w:rPr>
        <w:t>.</w:t>
      </w:r>
      <w:r w:rsidR="2927E2D1" w:rsidRPr="47ACCDB0">
        <w:rPr>
          <w:sz w:val="20"/>
          <w:szCs w:val="20"/>
        </w:rPr>
        <w:t xml:space="preserve"> In</w:t>
      </w:r>
      <w:r w:rsidR="1521D0CF" w:rsidRPr="47ACCDB0">
        <w:rPr>
          <w:sz w:val="20"/>
          <w:szCs w:val="20"/>
        </w:rPr>
        <w:t xml:space="preserve"> May the </w:t>
      </w:r>
      <w:r w:rsidR="00D11F2F">
        <w:rPr>
          <w:sz w:val="20"/>
          <w:szCs w:val="20"/>
        </w:rPr>
        <w:t>ACMA</w:t>
      </w:r>
      <w:r w:rsidR="51653932" w:rsidRPr="47ACCDB0">
        <w:rPr>
          <w:sz w:val="20"/>
          <w:szCs w:val="20"/>
        </w:rPr>
        <w:t xml:space="preserve"> also</w:t>
      </w:r>
      <w:r w:rsidR="1521D0CF" w:rsidRPr="47ACCDB0">
        <w:rPr>
          <w:sz w:val="20"/>
          <w:szCs w:val="20"/>
        </w:rPr>
        <w:t xml:space="preserve"> </w:t>
      </w:r>
      <w:r w:rsidR="1521D0CF" w:rsidRPr="47ACCDB0">
        <w:rPr>
          <w:b/>
          <w:bCs/>
          <w:sz w:val="20"/>
          <w:szCs w:val="20"/>
        </w:rPr>
        <w:t>accepted</w:t>
      </w:r>
      <w:r w:rsidR="1521D0CF" w:rsidRPr="47ACCDB0">
        <w:rPr>
          <w:sz w:val="20"/>
          <w:szCs w:val="20"/>
        </w:rPr>
        <w:t xml:space="preserve"> an </w:t>
      </w:r>
      <w:r w:rsidR="1521D0CF" w:rsidRPr="47ACCDB0">
        <w:rPr>
          <w:b/>
          <w:bCs/>
          <w:sz w:val="20"/>
          <w:szCs w:val="20"/>
        </w:rPr>
        <w:t>enforceable undertaking</w:t>
      </w:r>
      <w:r w:rsidR="1521D0CF" w:rsidRPr="47ACCDB0">
        <w:rPr>
          <w:sz w:val="20"/>
          <w:szCs w:val="20"/>
        </w:rPr>
        <w:t xml:space="preserve"> from Lycamobile regarding its </w:t>
      </w:r>
      <w:r w:rsidR="1521D0CF" w:rsidRPr="002F55F2">
        <w:rPr>
          <w:sz w:val="20"/>
          <w:szCs w:val="20"/>
        </w:rPr>
        <w:t>IPND obligations</w:t>
      </w:r>
      <w:r w:rsidR="1521D0CF" w:rsidRPr="47ACCDB0">
        <w:rPr>
          <w:sz w:val="20"/>
          <w:szCs w:val="20"/>
        </w:rPr>
        <w:t>.</w:t>
      </w:r>
    </w:p>
    <w:p w14:paraId="7EEF90FC" w14:textId="457B4088" w:rsidR="00333AF2" w:rsidRDefault="00333AF2" w:rsidP="7EFE6C20">
      <w:pPr>
        <w:spacing w:line="240" w:lineRule="auto"/>
        <w:ind w:left="426" w:right="402"/>
        <w:rPr>
          <w:b/>
          <w:bCs/>
          <w:sz w:val="20"/>
          <w:szCs w:val="20"/>
        </w:rPr>
      </w:pPr>
      <w:r w:rsidRPr="7EFE6C20">
        <w:rPr>
          <w:b/>
          <w:bCs/>
          <w:sz w:val="20"/>
          <w:szCs w:val="20"/>
        </w:rPr>
        <w:t>The second investigation</w:t>
      </w:r>
      <w:r w:rsidR="00B24425" w:rsidRPr="7EFE6C20">
        <w:rPr>
          <w:b/>
          <w:bCs/>
          <w:sz w:val="20"/>
          <w:szCs w:val="20"/>
        </w:rPr>
        <w:t xml:space="preserve"> </w:t>
      </w:r>
    </w:p>
    <w:p w14:paraId="0622520D" w14:textId="7BA39D54" w:rsidR="00B24425" w:rsidRPr="00B24425" w:rsidRDefault="2927E2D1" w:rsidP="001019BA">
      <w:pPr>
        <w:numPr>
          <w:ilvl w:val="0"/>
          <w:numId w:val="51"/>
        </w:numPr>
        <w:spacing w:line="240" w:lineRule="auto"/>
        <w:ind w:left="709" w:right="402" w:hanging="283"/>
        <w:rPr>
          <w:b/>
          <w:bCs/>
          <w:sz w:val="20"/>
          <w:szCs w:val="20"/>
        </w:rPr>
      </w:pPr>
      <w:r w:rsidRPr="47ACCDB0">
        <w:rPr>
          <w:sz w:val="20"/>
          <w:szCs w:val="20"/>
        </w:rPr>
        <w:t>Following this first round of enforcement action, t</w:t>
      </w:r>
      <w:r w:rsidR="2AF21C84" w:rsidRPr="47ACCDB0">
        <w:rPr>
          <w:sz w:val="20"/>
          <w:szCs w:val="20"/>
        </w:rPr>
        <w:t xml:space="preserve">he </w:t>
      </w:r>
      <w:r w:rsidR="00D11F2F">
        <w:rPr>
          <w:sz w:val="20"/>
          <w:szCs w:val="20"/>
        </w:rPr>
        <w:t>ACMA</w:t>
      </w:r>
      <w:r w:rsidRPr="47ACCDB0">
        <w:rPr>
          <w:sz w:val="20"/>
          <w:szCs w:val="20"/>
        </w:rPr>
        <w:t xml:space="preserve"> became aware that </w:t>
      </w:r>
      <w:r w:rsidR="1C2AC1B8" w:rsidRPr="47ACCDB0">
        <w:rPr>
          <w:sz w:val="20"/>
          <w:szCs w:val="20"/>
        </w:rPr>
        <w:t>Lycamobile</w:t>
      </w:r>
      <w:r w:rsidRPr="47ACCDB0">
        <w:rPr>
          <w:sz w:val="20"/>
          <w:szCs w:val="20"/>
        </w:rPr>
        <w:t xml:space="preserve"> had continued to be in contravention of its obligations relating to the IPND. </w:t>
      </w:r>
      <w:r w:rsidR="00BA17D9">
        <w:rPr>
          <w:sz w:val="20"/>
          <w:szCs w:val="20"/>
        </w:rPr>
        <w:t>T</w:t>
      </w:r>
      <w:r w:rsidR="00D11F2F">
        <w:rPr>
          <w:sz w:val="20"/>
          <w:szCs w:val="20"/>
        </w:rPr>
        <w:t>he ACMA</w:t>
      </w:r>
      <w:r w:rsidRPr="47ACCDB0">
        <w:rPr>
          <w:sz w:val="20"/>
          <w:szCs w:val="20"/>
        </w:rPr>
        <w:t xml:space="preserve"> commenced a</w:t>
      </w:r>
      <w:r w:rsidR="2AF21C84" w:rsidRPr="47ACCDB0">
        <w:rPr>
          <w:sz w:val="20"/>
          <w:szCs w:val="20"/>
        </w:rPr>
        <w:t xml:space="preserve"> </w:t>
      </w:r>
      <w:r w:rsidR="3337A2E5" w:rsidRPr="47ACCDB0">
        <w:rPr>
          <w:sz w:val="20"/>
          <w:szCs w:val="20"/>
        </w:rPr>
        <w:t xml:space="preserve">second </w:t>
      </w:r>
      <w:r w:rsidR="2AF21C84" w:rsidRPr="47ACCDB0">
        <w:rPr>
          <w:sz w:val="20"/>
          <w:szCs w:val="20"/>
        </w:rPr>
        <w:t xml:space="preserve">investigation </w:t>
      </w:r>
      <w:r w:rsidRPr="47ACCDB0">
        <w:rPr>
          <w:sz w:val="20"/>
          <w:szCs w:val="20"/>
        </w:rPr>
        <w:t xml:space="preserve">in December 2021. In an investigation report issued in February 2022, </w:t>
      </w:r>
      <w:r w:rsidR="00D11F2F">
        <w:rPr>
          <w:sz w:val="20"/>
          <w:szCs w:val="20"/>
        </w:rPr>
        <w:t>the ACMA</w:t>
      </w:r>
      <w:r w:rsidRPr="47ACCDB0">
        <w:rPr>
          <w:sz w:val="20"/>
          <w:szCs w:val="20"/>
        </w:rPr>
        <w:t xml:space="preserve"> found </w:t>
      </w:r>
      <w:r w:rsidR="2AF21C84" w:rsidRPr="47ACCDB0">
        <w:rPr>
          <w:sz w:val="20"/>
          <w:szCs w:val="20"/>
        </w:rPr>
        <w:t>that</w:t>
      </w:r>
      <w:r w:rsidR="69D5396F" w:rsidRPr="47ACCDB0">
        <w:rPr>
          <w:sz w:val="20"/>
          <w:szCs w:val="20"/>
        </w:rPr>
        <w:t xml:space="preserve"> </w:t>
      </w:r>
      <w:r w:rsidR="58ABF286" w:rsidRPr="47ACCDB0">
        <w:rPr>
          <w:sz w:val="20"/>
          <w:szCs w:val="20"/>
        </w:rPr>
        <w:t xml:space="preserve">Lycamobile had on multiple occasions breached the IPND Code and IPND service provider rule (again), the direction to comply, and the remedial direction. </w:t>
      </w:r>
      <w:r w:rsidR="00BA17D9">
        <w:rPr>
          <w:sz w:val="20"/>
          <w:szCs w:val="20"/>
        </w:rPr>
        <w:t>T</w:t>
      </w:r>
      <w:r w:rsidR="00D11F2F">
        <w:rPr>
          <w:sz w:val="20"/>
          <w:szCs w:val="20"/>
        </w:rPr>
        <w:t>he ACMA</w:t>
      </w:r>
      <w:r w:rsidR="58ABF286" w:rsidRPr="47ACCDB0">
        <w:rPr>
          <w:sz w:val="20"/>
          <w:szCs w:val="20"/>
        </w:rPr>
        <w:t xml:space="preserve"> </w:t>
      </w:r>
      <w:r w:rsidR="282A9177" w:rsidRPr="47ACCDB0">
        <w:rPr>
          <w:sz w:val="20"/>
          <w:szCs w:val="20"/>
        </w:rPr>
        <w:t xml:space="preserve">said Lycamobile had undermined the intention of the remedial direction by failing to meet multiple deadlines for key deliverables, despite </w:t>
      </w:r>
      <w:r w:rsidR="6E8D46BD" w:rsidRPr="47ACCDB0">
        <w:rPr>
          <w:sz w:val="20"/>
          <w:szCs w:val="20"/>
        </w:rPr>
        <w:t xml:space="preserve">numerous reminders from </w:t>
      </w:r>
      <w:r w:rsidR="00D11F2F">
        <w:rPr>
          <w:sz w:val="20"/>
          <w:szCs w:val="20"/>
        </w:rPr>
        <w:t>the ACMA</w:t>
      </w:r>
      <w:r w:rsidR="6E8D46BD" w:rsidRPr="47ACCDB0">
        <w:rPr>
          <w:sz w:val="20"/>
          <w:szCs w:val="20"/>
        </w:rPr>
        <w:t xml:space="preserve"> relating to </w:t>
      </w:r>
      <w:r w:rsidR="282A9177" w:rsidRPr="47ACCDB0">
        <w:rPr>
          <w:sz w:val="20"/>
          <w:szCs w:val="20"/>
        </w:rPr>
        <w:t xml:space="preserve">its </w:t>
      </w:r>
      <w:r w:rsidR="6E8D46BD" w:rsidRPr="47ACCDB0">
        <w:rPr>
          <w:sz w:val="20"/>
          <w:szCs w:val="20"/>
        </w:rPr>
        <w:t>obligations</w:t>
      </w:r>
      <w:r w:rsidR="259B2CB4" w:rsidRPr="47ACCDB0">
        <w:rPr>
          <w:sz w:val="20"/>
          <w:szCs w:val="20"/>
        </w:rPr>
        <w:t xml:space="preserve">. </w:t>
      </w:r>
      <w:r w:rsidR="00BA17D9">
        <w:rPr>
          <w:sz w:val="20"/>
          <w:szCs w:val="20"/>
        </w:rPr>
        <w:t>T</w:t>
      </w:r>
      <w:r w:rsidR="00D11F2F">
        <w:rPr>
          <w:sz w:val="20"/>
          <w:szCs w:val="20"/>
        </w:rPr>
        <w:t>he ACMA</w:t>
      </w:r>
      <w:r w:rsidR="42722312" w:rsidRPr="47ACCDB0">
        <w:rPr>
          <w:sz w:val="20"/>
          <w:szCs w:val="20"/>
        </w:rPr>
        <w:t xml:space="preserve"> </w:t>
      </w:r>
      <w:r w:rsidR="259B2CB4" w:rsidRPr="47ACCDB0">
        <w:rPr>
          <w:sz w:val="20"/>
          <w:szCs w:val="20"/>
        </w:rPr>
        <w:t xml:space="preserve">noted that </w:t>
      </w:r>
      <w:r w:rsidR="55D3BBE2" w:rsidRPr="47ACCDB0">
        <w:rPr>
          <w:sz w:val="20"/>
          <w:szCs w:val="20"/>
        </w:rPr>
        <w:t xml:space="preserve">even </w:t>
      </w:r>
      <w:r w:rsidR="259B2CB4" w:rsidRPr="47ACCDB0">
        <w:rPr>
          <w:sz w:val="20"/>
          <w:szCs w:val="20"/>
        </w:rPr>
        <w:t xml:space="preserve">in instances </w:t>
      </w:r>
      <w:r w:rsidR="55D3BBE2" w:rsidRPr="47ACCDB0">
        <w:rPr>
          <w:sz w:val="20"/>
          <w:szCs w:val="20"/>
        </w:rPr>
        <w:t xml:space="preserve">where Lycamobile had proposed </w:t>
      </w:r>
      <w:r w:rsidR="4C780DF9" w:rsidRPr="47ACCDB0">
        <w:rPr>
          <w:sz w:val="20"/>
          <w:szCs w:val="20"/>
        </w:rPr>
        <w:t xml:space="preserve">alternative dates for deliverables, these were not always met. </w:t>
      </w:r>
    </w:p>
    <w:p w14:paraId="6DB27165" w14:textId="77A68D56" w:rsidR="009D1C96" w:rsidRPr="00B24425" w:rsidRDefault="10E08738" w:rsidP="001019BA">
      <w:pPr>
        <w:numPr>
          <w:ilvl w:val="0"/>
          <w:numId w:val="51"/>
        </w:numPr>
        <w:spacing w:line="240" w:lineRule="auto"/>
        <w:ind w:left="709" w:right="402" w:hanging="283"/>
        <w:rPr>
          <w:sz w:val="20"/>
          <w:szCs w:val="20"/>
        </w:rPr>
      </w:pPr>
      <w:r w:rsidRPr="00B24425">
        <w:rPr>
          <w:b/>
          <w:bCs/>
          <w:sz w:val="20"/>
          <w:szCs w:val="20"/>
        </w:rPr>
        <w:t>Enforcement action:</w:t>
      </w:r>
      <w:r w:rsidRPr="00B24425">
        <w:rPr>
          <w:sz w:val="20"/>
          <w:szCs w:val="20"/>
        </w:rPr>
        <w:t xml:space="preserve"> </w:t>
      </w:r>
      <w:r w:rsidR="441E676A">
        <w:rPr>
          <w:sz w:val="20"/>
          <w:szCs w:val="20"/>
        </w:rPr>
        <w:t xml:space="preserve">The </w:t>
      </w:r>
      <w:r w:rsidR="00D11F2F">
        <w:rPr>
          <w:sz w:val="20"/>
          <w:szCs w:val="20"/>
        </w:rPr>
        <w:t>ACMA</w:t>
      </w:r>
      <w:r w:rsidRPr="00B24425">
        <w:rPr>
          <w:sz w:val="20"/>
          <w:szCs w:val="20"/>
        </w:rPr>
        <w:t xml:space="preserve"> issu</w:t>
      </w:r>
      <w:r w:rsidR="410AC005">
        <w:rPr>
          <w:sz w:val="20"/>
          <w:szCs w:val="20"/>
        </w:rPr>
        <w:t>ed</w:t>
      </w:r>
      <w:r w:rsidRPr="00B24425">
        <w:rPr>
          <w:sz w:val="20"/>
          <w:szCs w:val="20"/>
        </w:rPr>
        <w:t xml:space="preserve"> two infringement notices on 13 May</w:t>
      </w:r>
      <w:r w:rsidR="4D8B5CDE">
        <w:rPr>
          <w:sz w:val="20"/>
          <w:szCs w:val="20"/>
        </w:rPr>
        <w:t xml:space="preserve"> 2022</w:t>
      </w:r>
      <w:r w:rsidRPr="00B24425">
        <w:rPr>
          <w:sz w:val="20"/>
          <w:szCs w:val="20"/>
        </w:rPr>
        <w:t xml:space="preserve">. </w:t>
      </w:r>
      <w:r w:rsidR="2BD49B62" w:rsidRPr="00B24425">
        <w:rPr>
          <w:sz w:val="20"/>
          <w:szCs w:val="20"/>
        </w:rPr>
        <w:t xml:space="preserve">The first </w:t>
      </w:r>
      <w:r w:rsidR="396F7A23">
        <w:rPr>
          <w:sz w:val="20"/>
          <w:szCs w:val="20"/>
        </w:rPr>
        <w:t xml:space="preserve">was </w:t>
      </w:r>
      <w:r w:rsidR="2BD49B62" w:rsidRPr="00B24425">
        <w:rPr>
          <w:sz w:val="20"/>
          <w:szCs w:val="20"/>
        </w:rPr>
        <w:t xml:space="preserve">for $159,840 for 12 contraventions of </w:t>
      </w:r>
      <w:r w:rsidR="2C9D3C05">
        <w:rPr>
          <w:sz w:val="20"/>
          <w:szCs w:val="20"/>
        </w:rPr>
        <w:t xml:space="preserve">s 121(2) of the </w:t>
      </w:r>
      <w:r w:rsidR="00AA7AED">
        <w:rPr>
          <w:sz w:val="20"/>
          <w:szCs w:val="20"/>
        </w:rPr>
        <w:t>Tel Act</w:t>
      </w:r>
      <w:r w:rsidR="2C9D3C05">
        <w:rPr>
          <w:sz w:val="20"/>
          <w:szCs w:val="20"/>
        </w:rPr>
        <w:t xml:space="preserve"> which required compliance with </w:t>
      </w:r>
      <w:r w:rsidR="2BD49B62" w:rsidRPr="00B24425">
        <w:rPr>
          <w:sz w:val="20"/>
          <w:szCs w:val="20"/>
        </w:rPr>
        <w:t xml:space="preserve">the </w:t>
      </w:r>
      <w:r w:rsidR="2BD49B62" w:rsidRPr="00B24425">
        <w:rPr>
          <w:b/>
          <w:bCs/>
          <w:sz w:val="20"/>
          <w:szCs w:val="20"/>
        </w:rPr>
        <w:t>direction to comply</w:t>
      </w:r>
      <w:r w:rsidR="730BF0C3">
        <w:rPr>
          <w:b/>
          <w:bCs/>
          <w:sz w:val="20"/>
          <w:szCs w:val="20"/>
        </w:rPr>
        <w:t xml:space="preserve"> </w:t>
      </w:r>
      <w:r w:rsidR="2C9D3C05" w:rsidRPr="7EFE6C20">
        <w:rPr>
          <w:b/>
          <w:bCs/>
          <w:sz w:val="20"/>
          <w:szCs w:val="20"/>
        </w:rPr>
        <w:t>with</w:t>
      </w:r>
      <w:r w:rsidR="2C9D3C05">
        <w:rPr>
          <w:b/>
          <w:bCs/>
          <w:sz w:val="20"/>
          <w:szCs w:val="20"/>
        </w:rPr>
        <w:t xml:space="preserve"> the </w:t>
      </w:r>
      <w:r w:rsidR="2C9D3C05" w:rsidRPr="7EFE6C20">
        <w:rPr>
          <w:b/>
          <w:bCs/>
          <w:sz w:val="20"/>
          <w:szCs w:val="20"/>
        </w:rPr>
        <w:t xml:space="preserve">IPND </w:t>
      </w:r>
      <w:r w:rsidR="69ACD07C" w:rsidRPr="00120017">
        <w:rPr>
          <w:b/>
          <w:bCs/>
          <w:sz w:val="20"/>
          <w:szCs w:val="20"/>
        </w:rPr>
        <w:t>Code.</w:t>
      </w:r>
      <w:r w:rsidR="00922C7E">
        <w:rPr>
          <w:rStyle w:val="FootnoteReference"/>
          <w:sz w:val="20"/>
          <w:szCs w:val="20"/>
        </w:rPr>
        <w:footnoteReference w:id="206"/>
      </w:r>
      <w:r w:rsidR="2BD49B62" w:rsidRPr="00B24425">
        <w:rPr>
          <w:sz w:val="20"/>
          <w:szCs w:val="20"/>
        </w:rPr>
        <w:t xml:space="preserve"> The second </w:t>
      </w:r>
      <w:r w:rsidR="396F7A23">
        <w:rPr>
          <w:sz w:val="20"/>
          <w:szCs w:val="20"/>
        </w:rPr>
        <w:t xml:space="preserve">was </w:t>
      </w:r>
      <w:r w:rsidR="2BD49B62" w:rsidRPr="00B24425">
        <w:rPr>
          <w:sz w:val="20"/>
          <w:szCs w:val="20"/>
        </w:rPr>
        <w:t xml:space="preserve">for $26,640 for </w:t>
      </w:r>
      <w:r w:rsidR="2C9D3C05">
        <w:rPr>
          <w:sz w:val="20"/>
          <w:szCs w:val="20"/>
        </w:rPr>
        <w:t xml:space="preserve">two contraventions for </w:t>
      </w:r>
      <w:r w:rsidR="2BD49B62" w:rsidRPr="00B24425">
        <w:rPr>
          <w:sz w:val="20"/>
          <w:szCs w:val="20"/>
        </w:rPr>
        <w:t xml:space="preserve">failing to adhere to the timeframe and commitments of the </w:t>
      </w:r>
      <w:r w:rsidR="2BD49B62" w:rsidRPr="00B24425">
        <w:rPr>
          <w:b/>
          <w:bCs/>
          <w:sz w:val="20"/>
          <w:szCs w:val="20"/>
        </w:rPr>
        <w:t>remedial direction</w:t>
      </w:r>
      <w:r w:rsidR="3D3357FC">
        <w:rPr>
          <w:b/>
          <w:bCs/>
          <w:sz w:val="20"/>
          <w:szCs w:val="20"/>
        </w:rPr>
        <w:t xml:space="preserve"> </w:t>
      </w:r>
      <w:r w:rsidR="3D3357FC" w:rsidRPr="47ACCDB0">
        <w:rPr>
          <w:sz w:val="20"/>
          <w:szCs w:val="20"/>
        </w:rPr>
        <w:t>(a</w:t>
      </w:r>
      <w:r w:rsidR="7BA07066" w:rsidRPr="47ACCDB0">
        <w:rPr>
          <w:sz w:val="20"/>
          <w:szCs w:val="20"/>
        </w:rPr>
        <w:t xml:space="preserve"> listed infringement </w:t>
      </w:r>
      <w:r w:rsidR="67A6C098" w:rsidRPr="47ACCDB0">
        <w:rPr>
          <w:sz w:val="20"/>
          <w:szCs w:val="20"/>
        </w:rPr>
        <w:t xml:space="preserve">notice </w:t>
      </w:r>
      <w:r w:rsidR="7BA07066" w:rsidRPr="47ACCDB0">
        <w:rPr>
          <w:sz w:val="20"/>
          <w:szCs w:val="20"/>
        </w:rPr>
        <w:t>provision)</w:t>
      </w:r>
      <w:r w:rsidR="2BD49B62" w:rsidRPr="00B24425">
        <w:rPr>
          <w:sz w:val="20"/>
          <w:szCs w:val="20"/>
        </w:rPr>
        <w:t>.</w:t>
      </w:r>
      <w:r w:rsidR="009063B7">
        <w:rPr>
          <w:rStyle w:val="FootnoteReference"/>
          <w:sz w:val="20"/>
          <w:szCs w:val="20"/>
        </w:rPr>
        <w:footnoteReference w:id="207"/>
      </w:r>
      <w:r w:rsidRPr="00B24425">
        <w:rPr>
          <w:sz w:val="20"/>
          <w:szCs w:val="20"/>
        </w:rPr>
        <w:t xml:space="preserve"> </w:t>
      </w:r>
    </w:p>
    <w:p w14:paraId="35D2D2A9" w14:textId="77777777" w:rsidR="00363F6E" w:rsidRDefault="00363F6E" w:rsidP="73A03200">
      <w:pPr>
        <w:spacing w:before="120" w:after="120"/>
        <w:rPr>
          <w:rFonts w:eastAsia="Calibri"/>
          <w:color w:val="000000" w:themeColor="text1"/>
          <w:kern w:val="2"/>
          <w14:ligatures w14:val="standardContextual"/>
        </w:rPr>
      </w:pPr>
    </w:p>
    <w:p w14:paraId="365B9FAE" w14:textId="77777777" w:rsidR="00363F6E" w:rsidRDefault="00363F6E" w:rsidP="73A03200">
      <w:pPr>
        <w:spacing w:before="120" w:after="120"/>
        <w:rPr>
          <w:rFonts w:eastAsia="Calibri"/>
          <w:color w:val="000000" w:themeColor="text1"/>
          <w:kern w:val="2"/>
          <w14:ligatures w14:val="standardContextual"/>
        </w:rPr>
      </w:pPr>
    </w:p>
    <w:p w14:paraId="4D37EA51" w14:textId="73E86AF1" w:rsidR="006F6C23" w:rsidRPr="00313D8D" w:rsidRDefault="000E6B3C" w:rsidP="73A03200">
      <w:pPr>
        <w:spacing w:before="120" w:after="120"/>
        <w:rPr>
          <w:rFonts w:eastAsia="Calibri"/>
          <w:color w:val="000000" w:themeColor="text1"/>
          <w:kern w:val="2"/>
          <w14:ligatures w14:val="standardContextual"/>
        </w:rPr>
      </w:pPr>
      <w:r>
        <w:rPr>
          <w:rFonts w:eastAsia="Calibri"/>
          <w:color w:val="000000" w:themeColor="text1"/>
          <w:kern w:val="2"/>
          <w14:ligatures w14:val="standardContextual"/>
        </w:rPr>
        <w:lastRenderedPageBreak/>
        <w:t xml:space="preserve">Some explanation of the IPND obligations is helpful when considering this example. </w:t>
      </w:r>
      <w:r w:rsidR="7F6D54DF" w:rsidRPr="73A03200">
        <w:rPr>
          <w:rFonts w:eastAsia="Calibri"/>
          <w:color w:val="000000" w:themeColor="text1"/>
          <w:kern w:val="2"/>
          <w14:ligatures w14:val="standardContextual"/>
        </w:rPr>
        <w:t>The IPND database is an essential tool for emergency services</w:t>
      </w:r>
      <w:r w:rsidR="545090FF" w:rsidRPr="73A03200">
        <w:rPr>
          <w:rFonts w:eastAsia="Calibri"/>
          <w:color w:val="000000" w:themeColor="text1"/>
        </w:rPr>
        <w:t xml:space="preserve"> and a source of information for law enforcement</w:t>
      </w:r>
      <w:r w:rsidR="482200DE" w:rsidRPr="73A03200">
        <w:rPr>
          <w:rFonts w:eastAsia="Calibri"/>
          <w:color w:val="000000" w:themeColor="text1"/>
        </w:rPr>
        <w:t xml:space="preserve"> and </w:t>
      </w:r>
      <w:r w:rsidR="545090FF" w:rsidRPr="73A03200">
        <w:rPr>
          <w:rFonts w:eastAsia="Calibri"/>
          <w:color w:val="000000" w:themeColor="text1"/>
        </w:rPr>
        <w:t>national security agencies</w:t>
      </w:r>
      <w:r w:rsidR="66700EBC" w:rsidRPr="73A03200">
        <w:rPr>
          <w:rFonts w:eastAsia="Calibri"/>
          <w:color w:val="000000" w:themeColor="text1"/>
          <w:kern w:val="2"/>
          <w14:ligatures w14:val="standardContextual"/>
        </w:rPr>
        <w:t xml:space="preserve">. </w:t>
      </w:r>
      <w:r w:rsidR="4733B5C4" w:rsidRPr="73A03200">
        <w:rPr>
          <w:rFonts w:eastAsia="Calibri"/>
          <w:color w:val="000000" w:themeColor="text1"/>
          <w:kern w:val="2"/>
          <w14:ligatures w14:val="standardContextual"/>
        </w:rPr>
        <w:t xml:space="preserve">It is also used for authorised research purposes. </w:t>
      </w:r>
      <w:r w:rsidR="66700EBC" w:rsidRPr="73A03200">
        <w:rPr>
          <w:rFonts w:eastAsia="Calibri"/>
          <w:color w:val="000000" w:themeColor="text1"/>
          <w:kern w:val="2"/>
          <w14:ligatures w14:val="standardContextual"/>
        </w:rPr>
        <w:t xml:space="preserve">When </w:t>
      </w:r>
      <w:r w:rsidR="7F6D54DF" w:rsidRPr="73A03200">
        <w:rPr>
          <w:rFonts w:eastAsia="Calibri"/>
          <w:color w:val="000000" w:themeColor="text1"/>
          <w:kern w:val="2"/>
          <w14:ligatures w14:val="standardContextual"/>
        </w:rPr>
        <w:t xml:space="preserve">a call is made to </w:t>
      </w:r>
      <w:r w:rsidR="00D32315">
        <w:rPr>
          <w:rFonts w:eastAsia="Calibri"/>
          <w:color w:val="000000" w:themeColor="text1"/>
          <w:kern w:val="2"/>
          <w14:ligatures w14:val="standardContextual"/>
        </w:rPr>
        <w:t>Australia’s emergency call service,</w:t>
      </w:r>
      <w:r w:rsidR="7F6D54DF" w:rsidRPr="73A03200">
        <w:rPr>
          <w:rFonts w:eastAsia="Calibri"/>
          <w:color w:val="000000" w:themeColor="text1"/>
          <w:kern w:val="2"/>
          <w14:ligatures w14:val="standardContextual"/>
        </w:rPr>
        <w:t xml:space="preserve"> Triple Zero, the </w:t>
      </w:r>
      <w:r w:rsidR="57422325" w:rsidRPr="73A03200">
        <w:rPr>
          <w:rFonts w:eastAsia="Calibri"/>
          <w:color w:val="000000" w:themeColor="text1"/>
          <w:kern w:val="2"/>
          <w14:ligatures w14:val="standardContextual"/>
        </w:rPr>
        <w:t xml:space="preserve">caller’s </w:t>
      </w:r>
      <w:r w:rsidR="7F6D54DF" w:rsidRPr="73A03200">
        <w:rPr>
          <w:rFonts w:eastAsia="Calibri"/>
          <w:color w:val="000000" w:themeColor="text1"/>
          <w:kern w:val="2"/>
          <w14:ligatures w14:val="standardContextual"/>
        </w:rPr>
        <w:t xml:space="preserve">number is checked against the IPND Database, allowing for the dispatching of emergency services, even </w:t>
      </w:r>
      <w:r w:rsidR="60850ED1" w:rsidRPr="73A03200">
        <w:rPr>
          <w:rFonts w:eastAsia="Calibri"/>
          <w:color w:val="000000" w:themeColor="text1"/>
          <w:kern w:val="2"/>
          <w14:ligatures w14:val="standardContextual"/>
        </w:rPr>
        <w:t xml:space="preserve">if </w:t>
      </w:r>
      <w:r w:rsidR="7F6D54DF" w:rsidRPr="73A03200">
        <w:rPr>
          <w:rFonts w:eastAsia="Calibri"/>
          <w:color w:val="000000" w:themeColor="text1"/>
          <w:kern w:val="2"/>
          <w14:ligatures w14:val="standardContextual"/>
        </w:rPr>
        <w:t>caller</w:t>
      </w:r>
      <w:r w:rsidR="60850ED1" w:rsidRPr="73A03200">
        <w:rPr>
          <w:rFonts w:eastAsia="Calibri"/>
          <w:color w:val="000000" w:themeColor="text1"/>
          <w:kern w:val="2"/>
          <w14:ligatures w14:val="standardContextual"/>
        </w:rPr>
        <w:t>s do not provi</w:t>
      </w:r>
      <w:r w:rsidR="56654AE3" w:rsidRPr="73A03200">
        <w:rPr>
          <w:rFonts w:eastAsia="Calibri"/>
          <w:color w:val="000000" w:themeColor="text1"/>
          <w:kern w:val="2"/>
          <w14:ligatures w14:val="standardContextual"/>
        </w:rPr>
        <w:t>de or are unable to provide their physical location to emergency operators</w:t>
      </w:r>
      <w:r w:rsidR="7F6D54DF" w:rsidRPr="73A03200">
        <w:rPr>
          <w:rFonts w:eastAsia="Calibri"/>
          <w:color w:val="000000" w:themeColor="text1"/>
          <w:kern w:val="2"/>
          <w14:ligatures w14:val="standardContextual"/>
        </w:rPr>
        <w:t xml:space="preserve">. </w:t>
      </w:r>
      <w:r w:rsidR="545090FF" w:rsidRPr="73A03200">
        <w:rPr>
          <w:rFonts w:eastAsia="Calibri"/>
          <w:color w:val="000000" w:themeColor="text1"/>
        </w:rPr>
        <w:t xml:space="preserve">The information that telcos obtain from customers under the Prepaid Determination is uploaded to the IPND. </w:t>
      </w:r>
      <w:r w:rsidR="003E0005" w:rsidRPr="7EFE6C20">
        <w:rPr>
          <w:rFonts w:eastAsia="Calibri"/>
          <w:color w:val="000000" w:themeColor="text1"/>
        </w:rPr>
        <w:t xml:space="preserve">Accordingly, </w:t>
      </w:r>
      <w:r w:rsidR="003E0005" w:rsidRPr="73A03200">
        <w:rPr>
          <w:rFonts w:eastAsia="Calibri"/>
          <w:color w:val="000000" w:themeColor="text1"/>
          <w:kern w:val="2"/>
          <w14:ligatures w14:val="standardContextual"/>
        </w:rPr>
        <w:t>the</w:t>
      </w:r>
      <w:r w:rsidR="32893389" w:rsidRPr="73A03200">
        <w:rPr>
          <w:rFonts w:eastAsia="Calibri"/>
          <w:color w:val="000000" w:themeColor="text1"/>
          <w:kern w:val="2"/>
          <w14:ligatures w14:val="standardContextual"/>
        </w:rPr>
        <w:t xml:space="preserve"> seriousness of the obligation </w:t>
      </w:r>
      <w:r w:rsidR="00EB31F6">
        <w:rPr>
          <w:rFonts w:eastAsia="Calibri"/>
          <w:color w:val="000000" w:themeColor="text1"/>
          <w:kern w:val="2"/>
          <w14:ligatures w14:val="standardContextual"/>
        </w:rPr>
        <w:t xml:space="preserve">likely </w:t>
      </w:r>
      <w:r w:rsidR="0D37E666" w:rsidRPr="73A03200">
        <w:rPr>
          <w:rFonts w:eastAsia="Calibri"/>
          <w:color w:val="000000" w:themeColor="text1"/>
          <w:kern w:val="2"/>
          <w14:ligatures w14:val="standardContextual"/>
        </w:rPr>
        <w:t xml:space="preserve">influenced </w:t>
      </w:r>
      <w:r w:rsidR="00D11F2F">
        <w:rPr>
          <w:rFonts w:eastAsia="Calibri"/>
          <w:color w:val="000000" w:themeColor="text1"/>
          <w:kern w:val="2"/>
          <w14:ligatures w14:val="standardContextual"/>
        </w:rPr>
        <w:t>the ACMA</w:t>
      </w:r>
      <w:r w:rsidR="32893389" w:rsidRPr="73A03200">
        <w:rPr>
          <w:rFonts w:eastAsia="Calibri"/>
          <w:color w:val="000000" w:themeColor="text1"/>
          <w:kern w:val="2"/>
          <w14:ligatures w14:val="standardContextual"/>
        </w:rPr>
        <w:t>’s enforcement response</w:t>
      </w:r>
      <w:r w:rsidR="13D1E75D" w:rsidRPr="73A03200">
        <w:rPr>
          <w:rFonts w:eastAsia="Calibri"/>
          <w:color w:val="000000" w:themeColor="text1"/>
          <w:kern w:val="2"/>
          <w14:ligatures w14:val="standardContextual"/>
        </w:rPr>
        <w:t xml:space="preserve"> (at least in part) in this case study</w:t>
      </w:r>
      <w:r w:rsidR="32893389" w:rsidRPr="73A03200">
        <w:rPr>
          <w:rFonts w:eastAsia="Calibri"/>
          <w:color w:val="000000" w:themeColor="text1"/>
          <w:kern w:val="2"/>
          <w14:ligatures w14:val="standardContextual"/>
        </w:rPr>
        <w:t xml:space="preserve">. </w:t>
      </w:r>
      <w:r w:rsidR="0D37E666" w:rsidRPr="73A03200">
        <w:rPr>
          <w:rFonts w:eastAsia="Calibri"/>
          <w:color w:val="000000" w:themeColor="text1"/>
          <w:kern w:val="2"/>
          <w14:ligatures w14:val="standardContextual"/>
        </w:rPr>
        <w:t>I</w:t>
      </w:r>
      <w:r w:rsidR="386B5A14" w:rsidRPr="73A03200">
        <w:rPr>
          <w:rFonts w:eastAsia="Calibri"/>
          <w:color w:val="000000" w:themeColor="text1"/>
          <w:kern w:val="2"/>
          <w14:ligatures w14:val="standardContextual"/>
        </w:rPr>
        <w:t>n January 2021</w:t>
      </w:r>
      <w:r w:rsidR="427D4BC0" w:rsidRPr="73A03200">
        <w:rPr>
          <w:rFonts w:eastAsia="Calibri"/>
          <w:color w:val="000000" w:themeColor="text1"/>
          <w:kern w:val="2"/>
          <w14:ligatures w14:val="standardContextual"/>
        </w:rPr>
        <w:t>,</w:t>
      </w:r>
      <w:r w:rsidR="386B5A14" w:rsidRPr="73A03200">
        <w:rPr>
          <w:rFonts w:eastAsia="Calibri"/>
          <w:color w:val="000000" w:themeColor="text1"/>
          <w:kern w:val="2"/>
          <w14:ligatures w14:val="standardContextual"/>
        </w:rPr>
        <w:t xml:space="preserve"> </w:t>
      </w:r>
      <w:r w:rsidR="10F9DF05" w:rsidRPr="73A03200">
        <w:rPr>
          <w:rFonts w:eastAsia="Calibri"/>
          <w:color w:val="000000" w:themeColor="text1"/>
          <w:kern w:val="2"/>
          <w14:ligatures w14:val="standardContextual"/>
        </w:rPr>
        <w:t xml:space="preserve">the </w:t>
      </w:r>
      <w:r w:rsidR="00D11F2F">
        <w:rPr>
          <w:rFonts w:eastAsia="Calibri"/>
          <w:color w:val="000000" w:themeColor="text1"/>
          <w:kern w:val="2"/>
          <w14:ligatures w14:val="standardContextual"/>
        </w:rPr>
        <w:t>ACMA</w:t>
      </w:r>
      <w:r w:rsidR="10F9DF05" w:rsidRPr="73A03200">
        <w:rPr>
          <w:rFonts w:eastAsia="Calibri"/>
          <w:color w:val="000000" w:themeColor="text1"/>
          <w:kern w:val="2"/>
          <w14:ligatures w14:val="standardContextual"/>
        </w:rPr>
        <w:t xml:space="preserve"> moved straight to issuing a remedial direction</w:t>
      </w:r>
      <w:r w:rsidR="10F9DF05" w:rsidRPr="73A03200">
        <w:rPr>
          <w:rFonts w:eastAsia="Calibri"/>
          <w:b/>
          <w:bCs/>
          <w:color w:val="000000" w:themeColor="text1"/>
          <w:kern w:val="2"/>
          <w14:ligatures w14:val="standardContextual"/>
        </w:rPr>
        <w:t xml:space="preserve"> </w:t>
      </w:r>
      <w:r w:rsidR="10F9DF05" w:rsidRPr="73A03200">
        <w:rPr>
          <w:rFonts w:eastAsia="Calibri"/>
          <w:color w:val="000000" w:themeColor="text1"/>
          <w:kern w:val="2"/>
          <w14:ligatures w14:val="standardContextual"/>
        </w:rPr>
        <w:t>(</w:t>
      </w:r>
      <w:r w:rsidR="07F6FA4A" w:rsidRPr="73A03200">
        <w:rPr>
          <w:rFonts w:eastAsia="Calibri"/>
          <w:color w:val="000000" w:themeColor="text1"/>
          <w:kern w:val="2"/>
          <w14:ligatures w14:val="standardContextual"/>
        </w:rPr>
        <w:t xml:space="preserve">its strongest </w:t>
      </w:r>
      <w:r w:rsidR="10F9DF05" w:rsidRPr="73A03200">
        <w:rPr>
          <w:rFonts w:eastAsia="Calibri"/>
          <w:color w:val="000000" w:themeColor="text1"/>
          <w:kern w:val="2"/>
          <w14:ligatures w14:val="standardContextual"/>
        </w:rPr>
        <w:t>administrative power)</w:t>
      </w:r>
      <w:r w:rsidR="10F9DF05" w:rsidRPr="73A03200">
        <w:rPr>
          <w:rFonts w:eastAsia="Calibri"/>
          <w:b/>
          <w:bCs/>
          <w:color w:val="000000" w:themeColor="text1"/>
          <w:kern w:val="2"/>
          <w14:ligatures w14:val="standardContextual"/>
        </w:rPr>
        <w:t xml:space="preserve"> </w:t>
      </w:r>
      <w:r w:rsidR="10F9DF05" w:rsidRPr="73A03200">
        <w:rPr>
          <w:rFonts w:eastAsia="Calibri"/>
          <w:color w:val="000000" w:themeColor="text1"/>
          <w:kern w:val="2"/>
          <w14:ligatures w14:val="standardContextual"/>
        </w:rPr>
        <w:t>alongside a direction to comply</w:t>
      </w:r>
      <w:r w:rsidR="10F9DF05" w:rsidRPr="73A03200">
        <w:rPr>
          <w:rFonts w:eastAsia="Calibri"/>
          <w:b/>
          <w:bCs/>
          <w:color w:val="000000" w:themeColor="text1"/>
          <w:kern w:val="2"/>
          <w14:ligatures w14:val="standardContextual"/>
        </w:rPr>
        <w:t xml:space="preserve"> </w:t>
      </w:r>
      <w:r w:rsidR="10F9DF05" w:rsidRPr="73A03200">
        <w:rPr>
          <w:rFonts w:eastAsia="Calibri"/>
          <w:color w:val="000000" w:themeColor="text1"/>
          <w:kern w:val="2"/>
          <w14:ligatures w14:val="standardContextual"/>
        </w:rPr>
        <w:t>and an infringement notice</w:t>
      </w:r>
      <w:r w:rsidR="23DDAD78" w:rsidRPr="73A03200">
        <w:rPr>
          <w:rFonts w:eastAsia="Calibri"/>
          <w:color w:val="000000" w:themeColor="text1"/>
          <w:kern w:val="2"/>
          <w14:ligatures w14:val="standardContextual"/>
        </w:rPr>
        <w:t xml:space="preserve"> for</w:t>
      </w:r>
      <w:r w:rsidR="10F9DF05" w:rsidRPr="73A03200">
        <w:rPr>
          <w:rFonts w:eastAsia="Calibri"/>
          <w:color w:val="000000" w:themeColor="text1"/>
          <w:kern w:val="2"/>
          <w14:ligatures w14:val="standardContextual"/>
        </w:rPr>
        <w:t xml:space="preserve"> </w:t>
      </w:r>
      <w:r w:rsidR="433D4488" w:rsidRPr="73A03200">
        <w:rPr>
          <w:rFonts w:eastAsia="Calibri"/>
          <w:color w:val="000000" w:themeColor="text1"/>
          <w:kern w:val="2"/>
          <w14:ligatures w14:val="standardContextual"/>
        </w:rPr>
        <w:t>$604</w:t>
      </w:r>
      <w:r w:rsidR="6DB51164" w:rsidRPr="73A03200">
        <w:rPr>
          <w:rFonts w:eastAsia="Calibri"/>
          <w:color w:val="000000" w:themeColor="text1"/>
          <w:kern w:val="2"/>
          <w14:ligatures w14:val="standardContextual"/>
        </w:rPr>
        <w:t>,</w:t>
      </w:r>
      <w:r w:rsidR="433D4488" w:rsidRPr="73A03200">
        <w:rPr>
          <w:rFonts w:eastAsia="Calibri"/>
          <w:color w:val="000000" w:themeColor="text1"/>
          <w:kern w:val="2"/>
          <w14:ligatures w14:val="standardContextual"/>
        </w:rPr>
        <w:t>800</w:t>
      </w:r>
      <w:r w:rsidR="10F9DF05" w:rsidRPr="73A03200">
        <w:rPr>
          <w:rFonts w:eastAsia="Calibri"/>
          <w:color w:val="000000" w:themeColor="text1"/>
          <w:kern w:val="2"/>
          <w14:ligatures w14:val="standardContextual"/>
        </w:rPr>
        <w:t xml:space="preserve">. </w:t>
      </w:r>
    </w:p>
    <w:p w14:paraId="17FE8FD3" w14:textId="6E4ABC41" w:rsidR="00AC352D" w:rsidRDefault="004F559F" w:rsidP="002B2F28">
      <w:pPr>
        <w:spacing w:before="120" w:after="120"/>
        <w:rPr>
          <w:rFonts w:eastAsia="Calibri"/>
          <w:color w:val="000000" w:themeColor="text1"/>
          <w:kern w:val="2"/>
          <w14:ligatures w14:val="standardContextual"/>
        </w:rPr>
      </w:pPr>
      <w:r w:rsidRPr="00313D8D">
        <w:rPr>
          <w:rFonts w:eastAsia="Calibri"/>
          <w:color w:val="000000" w:themeColor="text1"/>
          <w:kern w:val="2"/>
          <w14:ligatures w14:val="standardContextual"/>
        </w:rPr>
        <w:t xml:space="preserve">However, even though </w:t>
      </w:r>
      <w:r w:rsidR="000942DD" w:rsidRPr="00313D8D">
        <w:rPr>
          <w:rFonts w:eastAsia="Calibri"/>
          <w:color w:val="000000" w:themeColor="text1"/>
          <w:kern w:val="2"/>
          <w14:ligatures w14:val="standardContextual"/>
        </w:rPr>
        <w:t xml:space="preserve">Lycamobile again breached its IPND obligations in </w:t>
      </w:r>
      <w:r w:rsidR="00711E39" w:rsidRPr="00313D8D">
        <w:rPr>
          <w:rFonts w:eastAsia="Calibri"/>
          <w:color w:val="000000" w:themeColor="text1"/>
          <w:kern w:val="2"/>
          <w14:ligatures w14:val="standardContextual"/>
        </w:rPr>
        <w:t>2022</w:t>
      </w:r>
      <w:r w:rsidR="00A7692F">
        <w:rPr>
          <w:rFonts w:eastAsia="Calibri"/>
          <w:color w:val="000000" w:themeColor="text1"/>
          <w:kern w:val="2"/>
          <w14:ligatures w14:val="standardContextual"/>
        </w:rPr>
        <w:t xml:space="preserve"> and the remedial direction</w:t>
      </w:r>
      <w:r w:rsidR="00711E39" w:rsidRPr="00313D8D">
        <w:rPr>
          <w:rFonts w:eastAsia="Calibri"/>
          <w:color w:val="000000" w:themeColor="text1"/>
          <w:kern w:val="2"/>
          <w14:ligatures w14:val="standardContextual"/>
        </w:rPr>
        <w:t xml:space="preserve">, </w:t>
      </w:r>
      <w:r w:rsidR="006F6C23" w:rsidRPr="00313D8D">
        <w:rPr>
          <w:rFonts w:eastAsia="Calibri"/>
          <w:color w:val="000000" w:themeColor="text1"/>
          <w:kern w:val="2"/>
          <w14:ligatures w14:val="standardContextual"/>
        </w:rPr>
        <w:t xml:space="preserve">the </w:t>
      </w:r>
      <w:r w:rsidR="00D11F2F">
        <w:rPr>
          <w:rFonts w:eastAsia="Calibri"/>
          <w:color w:val="000000" w:themeColor="text1"/>
          <w:kern w:val="2"/>
          <w14:ligatures w14:val="standardContextual"/>
        </w:rPr>
        <w:t>ACMA</w:t>
      </w:r>
      <w:r w:rsidR="006F6C23" w:rsidRPr="00313D8D">
        <w:rPr>
          <w:rFonts w:eastAsia="Calibri"/>
          <w:color w:val="000000" w:themeColor="text1"/>
          <w:kern w:val="2"/>
          <w14:ligatures w14:val="standardContextual"/>
        </w:rPr>
        <w:t xml:space="preserve"> chose to issue two </w:t>
      </w:r>
      <w:r w:rsidR="009D2552" w:rsidRPr="00313D8D">
        <w:rPr>
          <w:rFonts w:eastAsia="Calibri"/>
          <w:color w:val="000000" w:themeColor="text1"/>
          <w:kern w:val="2"/>
          <w14:ligatures w14:val="standardContextual"/>
        </w:rPr>
        <w:t xml:space="preserve">additional </w:t>
      </w:r>
      <w:r w:rsidR="006F6C23" w:rsidRPr="00313D8D">
        <w:rPr>
          <w:rFonts w:eastAsia="Calibri"/>
          <w:color w:val="000000" w:themeColor="text1"/>
          <w:kern w:val="2"/>
          <w14:ligatures w14:val="standardContextual"/>
        </w:rPr>
        <w:t>infringement notices</w:t>
      </w:r>
      <w:r w:rsidR="00F80985" w:rsidRPr="00313D8D">
        <w:rPr>
          <w:rFonts w:eastAsia="Calibri"/>
          <w:color w:val="000000" w:themeColor="text1"/>
          <w:kern w:val="2"/>
          <w14:ligatures w14:val="standardContextual"/>
        </w:rPr>
        <w:t xml:space="preserve"> (May 2022)</w:t>
      </w:r>
      <w:r w:rsidR="00E45F8B">
        <w:rPr>
          <w:rFonts w:eastAsia="Calibri"/>
          <w:color w:val="000000" w:themeColor="text1"/>
          <w:kern w:val="2"/>
          <w14:ligatures w14:val="standardContextual"/>
        </w:rPr>
        <w:t>,</w:t>
      </w:r>
      <w:r w:rsidR="006F6C23" w:rsidRPr="00313D8D">
        <w:rPr>
          <w:rFonts w:eastAsia="Calibri"/>
          <w:color w:val="000000" w:themeColor="text1"/>
          <w:kern w:val="2"/>
          <w14:ligatures w14:val="standardContextual"/>
        </w:rPr>
        <w:t xml:space="preserve"> instead of moving up the enforcement pyramid and pursuing civil sanctions. </w:t>
      </w:r>
    </w:p>
    <w:p w14:paraId="7785D27C" w14:textId="4424FF07" w:rsidR="00AC352D" w:rsidRPr="00313D8D" w:rsidRDefault="00AC352D" w:rsidP="00AC352D">
      <w:pPr>
        <w:spacing w:before="120" w:after="120"/>
        <w:rPr>
          <w:rFonts w:eastAsia="Calibri"/>
          <w:color w:val="000000" w:themeColor="text1"/>
          <w:kern w:val="2"/>
          <w14:ligatures w14:val="standardContextual"/>
        </w:rPr>
      </w:pPr>
      <w:r w:rsidRPr="00313D8D">
        <w:rPr>
          <w:rFonts w:eastAsia="Calibri"/>
          <w:color w:val="000000" w:themeColor="text1"/>
          <w:kern w:val="2"/>
          <w14:ligatures w14:val="standardContextual"/>
        </w:rPr>
        <w:t xml:space="preserve">In this example, the </w:t>
      </w:r>
      <w:r w:rsidR="00D11F2F">
        <w:rPr>
          <w:rFonts w:eastAsia="Calibri"/>
          <w:color w:val="000000" w:themeColor="text1"/>
          <w:kern w:val="2"/>
          <w14:ligatures w14:val="standardContextual"/>
        </w:rPr>
        <w:t>ACMA</w:t>
      </w:r>
      <w:r w:rsidRPr="00313D8D">
        <w:rPr>
          <w:rFonts w:eastAsia="Calibri"/>
          <w:color w:val="000000" w:themeColor="text1"/>
          <w:kern w:val="2"/>
          <w14:ligatures w14:val="standardContextual"/>
        </w:rPr>
        <w:t xml:space="preserve"> </w:t>
      </w:r>
      <w:r w:rsidR="00D32315">
        <w:rPr>
          <w:rFonts w:eastAsia="Calibri" w:cstheme="minorHAnsi"/>
          <w:color w:val="000000" w:themeColor="text1"/>
          <w:kern w:val="2"/>
          <w14:ligatures w14:val="standardContextual"/>
        </w:rPr>
        <w:t>may have</w:t>
      </w:r>
      <w:r w:rsidR="00D32315" w:rsidRPr="00313D8D">
        <w:rPr>
          <w:rFonts w:eastAsia="Calibri" w:cstheme="minorHAnsi"/>
          <w:color w:val="000000" w:themeColor="text1"/>
          <w:kern w:val="2"/>
          <w14:ligatures w14:val="standardContextual"/>
        </w:rPr>
        <w:t xml:space="preserve"> </w:t>
      </w:r>
      <w:r w:rsidRPr="00313D8D">
        <w:rPr>
          <w:rFonts w:eastAsia="Calibri" w:cstheme="minorHAnsi"/>
          <w:color w:val="000000" w:themeColor="text1"/>
          <w:kern w:val="2"/>
          <w14:ligatures w14:val="standardContextual"/>
        </w:rPr>
        <w:t xml:space="preserve">considered: </w:t>
      </w:r>
    </w:p>
    <w:p w14:paraId="63E8DC40" w14:textId="7679D158" w:rsidR="00AC352D" w:rsidRPr="00313D8D" w:rsidRDefault="4A569FE6" w:rsidP="001019BA">
      <w:pPr>
        <w:pStyle w:val="ListParagraph"/>
        <w:numPr>
          <w:ilvl w:val="0"/>
          <w:numId w:val="51"/>
        </w:numPr>
        <w:spacing w:before="120" w:after="120"/>
        <w:rPr>
          <w:rFonts w:eastAsia="Calibri"/>
          <w:color w:val="000000" w:themeColor="text1"/>
          <w:kern w:val="2"/>
          <w14:ligatures w14:val="standardContextual"/>
        </w:rPr>
      </w:pPr>
      <w:r>
        <w:rPr>
          <w:rFonts w:eastAsia="Calibri"/>
          <w:color w:val="000000" w:themeColor="text1"/>
          <w:kern w:val="2"/>
          <w14:ligatures w14:val="standardContextual"/>
        </w:rPr>
        <w:t>t</w:t>
      </w:r>
      <w:r w:rsidR="07B032B0" w:rsidRPr="7EFE6C20">
        <w:rPr>
          <w:rFonts w:eastAsia="Calibri"/>
          <w:color w:val="000000" w:themeColor="text1"/>
          <w:kern w:val="2"/>
          <w14:ligatures w14:val="standardContextual"/>
        </w:rPr>
        <w:t>he relevant regulatory objective</w:t>
      </w:r>
    </w:p>
    <w:p w14:paraId="7756712B" w14:textId="11EDC158" w:rsidR="00AC352D" w:rsidRPr="00313D8D" w:rsidRDefault="4A569FE6" w:rsidP="001019BA">
      <w:pPr>
        <w:pStyle w:val="ListParagraph"/>
        <w:numPr>
          <w:ilvl w:val="0"/>
          <w:numId w:val="51"/>
        </w:numPr>
        <w:spacing w:before="120" w:after="120"/>
        <w:rPr>
          <w:rFonts w:eastAsia="Calibri"/>
          <w:color w:val="000000" w:themeColor="text1"/>
          <w:kern w:val="2"/>
          <w14:ligatures w14:val="standardContextual"/>
        </w:rPr>
      </w:pPr>
      <w:r>
        <w:rPr>
          <w:rFonts w:eastAsia="Calibri"/>
          <w:color w:val="000000" w:themeColor="text1"/>
          <w:kern w:val="2"/>
          <w14:ligatures w14:val="standardContextual"/>
        </w:rPr>
        <w:t>t</w:t>
      </w:r>
      <w:r w:rsidR="07B032B0" w:rsidRPr="7EFE6C20">
        <w:rPr>
          <w:rFonts w:eastAsia="Calibri"/>
          <w:color w:val="000000" w:themeColor="text1"/>
          <w:kern w:val="2"/>
          <w14:ligatures w14:val="standardContextual"/>
        </w:rPr>
        <w:t>he nature of the code and IPND-related obligations</w:t>
      </w:r>
    </w:p>
    <w:p w14:paraId="4A406A5E" w14:textId="0A1C62E4" w:rsidR="00AC352D" w:rsidRPr="00313D8D" w:rsidRDefault="4A569FE6" w:rsidP="001019BA">
      <w:pPr>
        <w:pStyle w:val="ListParagraph"/>
        <w:numPr>
          <w:ilvl w:val="0"/>
          <w:numId w:val="51"/>
        </w:numPr>
        <w:spacing w:before="120" w:after="120"/>
        <w:rPr>
          <w:rFonts w:eastAsia="Calibri"/>
          <w:color w:val="000000" w:themeColor="text1"/>
          <w:kern w:val="2"/>
          <w14:ligatures w14:val="standardContextual"/>
        </w:rPr>
      </w:pPr>
      <w:r>
        <w:rPr>
          <w:rFonts w:eastAsia="Calibri"/>
          <w:color w:val="000000" w:themeColor="text1"/>
          <w:kern w:val="2"/>
          <w14:ligatures w14:val="standardContextual"/>
        </w:rPr>
        <w:t>t</w:t>
      </w:r>
      <w:r w:rsidR="07B032B0" w:rsidRPr="7EFE6C20">
        <w:rPr>
          <w:rFonts w:eastAsia="Calibri"/>
          <w:color w:val="000000" w:themeColor="text1"/>
          <w:kern w:val="2"/>
          <w14:ligatures w14:val="standardContextual"/>
        </w:rPr>
        <w:t>he potential detriment caused by the conduct</w:t>
      </w:r>
    </w:p>
    <w:p w14:paraId="243D79C8" w14:textId="77777777" w:rsidR="00AC352D" w:rsidRPr="00313D8D" w:rsidRDefault="00AC352D" w:rsidP="001019BA">
      <w:pPr>
        <w:pStyle w:val="ListParagraph"/>
        <w:numPr>
          <w:ilvl w:val="0"/>
          <w:numId w:val="51"/>
        </w:numPr>
        <w:spacing w:before="120" w:after="120"/>
        <w:rPr>
          <w:rFonts w:eastAsia="Calibri"/>
          <w:color w:val="000000" w:themeColor="text1"/>
          <w:kern w:val="2"/>
          <w14:ligatures w14:val="standardContextual"/>
        </w:rPr>
      </w:pPr>
      <w:r w:rsidRPr="00313D8D">
        <w:rPr>
          <w:rFonts w:eastAsia="Calibri"/>
          <w:color w:val="000000" w:themeColor="text1"/>
          <w:kern w:val="2"/>
          <w14:ligatures w14:val="standardContextual"/>
        </w:rPr>
        <w:t>Lycamobile’s prior history of non-compliance</w:t>
      </w:r>
    </w:p>
    <w:p w14:paraId="6575BB21" w14:textId="5D3A0242" w:rsidR="00AC352D" w:rsidRPr="00AC352D" w:rsidRDefault="695FF248" w:rsidP="001019BA">
      <w:pPr>
        <w:pStyle w:val="ListParagraph"/>
        <w:numPr>
          <w:ilvl w:val="0"/>
          <w:numId w:val="51"/>
        </w:numPr>
        <w:spacing w:before="120" w:after="120"/>
        <w:rPr>
          <w:rFonts w:eastAsia="Calibri"/>
          <w:color w:val="000000" w:themeColor="text1"/>
          <w:kern w:val="2"/>
          <w14:ligatures w14:val="standardContextual"/>
        </w:rPr>
      </w:pPr>
      <w:r>
        <w:rPr>
          <w:rFonts w:eastAsia="Calibri"/>
          <w:color w:val="000000" w:themeColor="text1"/>
          <w:kern w:val="2"/>
          <w14:ligatures w14:val="standardContextual"/>
        </w:rPr>
        <w:t>i</w:t>
      </w:r>
      <w:r w:rsidR="07B032B0" w:rsidRPr="7EFE6C20">
        <w:rPr>
          <w:rFonts w:eastAsia="Calibri"/>
          <w:color w:val="000000" w:themeColor="text1"/>
          <w:kern w:val="2"/>
          <w14:ligatures w14:val="standardContextual"/>
        </w:rPr>
        <w:t>ts lack of action to remedy the issue</w:t>
      </w:r>
    </w:p>
    <w:p w14:paraId="391A1DCA" w14:textId="59343F8F" w:rsidR="00AC352D" w:rsidRPr="0061674D" w:rsidRDefault="695FF248" w:rsidP="001019BA">
      <w:pPr>
        <w:pStyle w:val="ListParagraph"/>
        <w:numPr>
          <w:ilvl w:val="0"/>
          <w:numId w:val="51"/>
        </w:numPr>
        <w:spacing w:before="120" w:after="120"/>
        <w:rPr>
          <w:rFonts w:eastAsia="Calibri"/>
          <w:color w:val="000000" w:themeColor="text1"/>
          <w:kern w:val="2"/>
          <w14:ligatures w14:val="standardContextual"/>
        </w:rPr>
      </w:pPr>
      <w:r>
        <w:rPr>
          <w:rFonts w:eastAsia="Calibri"/>
          <w:color w:val="000000" w:themeColor="text1"/>
          <w:kern w:val="2"/>
          <w14:ligatures w14:val="standardContextual"/>
        </w:rPr>
        <w:t>t</w:t>
      </w:r>
      <w:r w:rsidR="07B032B0">
        <w:rPr>
          <w:rFonts w:eastAsia="Calibri"/>
          <w:color w:val="000000" w:themeColor="text1"/>
          <w:kern w:val="2"/>
          <w14:ligatures w14:val="standardContextual"/>
        </w:rPr>
        <w:t>he ongoing effect of the remedial direction and enforceable undertaking</w:t>
      </w:r>
      <w:r w:rsidR="05FAF9E5">
        <w:rPr>
          <w:rFonts w:eastAsia="Calibri"/>
          <w:color w:val="000000" w:themeColor="text1"/>
          <w:kern w:val="2"/>
          <w14:ligatures w14:val="standardContextual"/>
        </w:rPr>
        <w:t>.</w:t>
      </w:r>
    </w:p>
    <w:p w14:paraId="752507A7" w14:textId="5A587B4B" w:rsidR="006F6C23" w:rsidRPr="00313D8D" w:rsidRDefault="01240D86" w:rsidP="002B2F28">
      <w:pPr>
        <w:spacing w:before="120" w:after="120"/>
        <w:rPr>
          <w:rFonts w:eastAsia="Calibri"/>
          <w:color w:val="000000" w:themeColor="text1"/>
          <w:kern w:val="2"/>
          <w14:ligatures w14:val="standardContextual"/>
        </w:rPr>
      </w:pPr>
      <w:r w:rsidRPr="00313D8D">
        <w:rPr>
          <w:rFonts w:eastAsia="Calibri"/>
          <w:color w:val="000000" w:themeColor="text1"/>
          <w:kern w:val="2"/>
          <w14:ligatures w14:val="standardContextual"/>
        </w:rPr>
        <w:t xml:space="preserve">In a </w:t>
      </w:r>
      <w:r w:rsidR="35D70EA1" w:rsidRPr="00313D8D">
        <w:rPr>
          <w:rFonts w:eastAsia="Calibri"/>
          <w:color w:val="000000" w:themeColor="text1"/>
          <w:kern w:val="2"/>
          <w14:ligatures w14:val="standardContextual"/>
        </w:rPr>
        <w:t xml:space="preserve">media </w:t>
      </w:r>
      <w:r w:rsidRPr="00313D8D">
        <w:rPr>
          <w:rFonts w:eastAsia="Calibri"/>
          <w:color w:val="000000" w:themeColor="text1"/>
          <w:kern w:val="2"/>
          <w14:ligatures w14:val="standardContextual"/>
        </w:rPr>
        <w:t xml:space="preserve">release provided alongside the infringement notices, </w:t>
      </w:r>
      <w:r w:rsidR="00D11F2F">
        <w:rPr>
          <w:rFonts w:eastAsia="Calibri"/>
          <w:color w:val="000000" w:themeColor="text1"/>
          <w:kern w:val="2"/>
          <w14:ligatures w14:val="standardContextual"/>
        </w:rPr>
        <w:t>the ACMA</w:t>
      </w:r>
      <w:r w:rsidR="76F9876F" w:rsidRPr="00313D8D">
        <w:rPr>
          <w:rFonts w:eastAsia="Calibri"/>
          <w:color w:val="000000" w:themeColor="text1"/>
          <w:kern w:val="2"/>
          <w14:ligatures w14:val="standardContextual"/>
        </w:rPr>
        <w:t xml:space="preserve"> stated </w:t>
      </w:r>
      <w:r w:rsidRPr="00313D8D">
        <w:rPr>
          <w:rFonts w:eastAsia="Calibri"/>
          <w:color w:val="000000" w:themeColor="text1"/>
          <w:kern w:val="2"/>
          <w14:ligatures w14:val="standardContextual"/>
        </w:rPr>
        <w:t>that the remedial direction and enforceable undertaking would remain in place for a further two years and</w:t>
      </w:r>
      <w:r w:rsidR="695FF248">
        <w:rPr>
          <w:rFonts w:eastAsia="Calibri"/>
          <w:color w:val="000000" w:themeColor="text1"/>
          <w:kern w:val="2"/>
          <w14:ligatures w14:val="standardContextual"/>
        </w:rPr>
        <w:t>,</w:t>
      </w:r>
      <w:r w:rsidRPr="00313D8D">
        <w:rPr>
          <w:rFonts w:eastAsia="Calibri"/>
          <w:color w:val="000000" w:themeColor="text1"/>
          <w:kern w:val="2"/>
          <w14:ligatures w14:val="standardContextual"/>
        </w:rPr>
        <w:t xml:space="preserve"> should Lycamobile </w:t>
      </w:r>
      <w:r w:rsidR="76F9876F" w:rsidRPr="00313D8D">
        <w:rPr>
          <w:rFonts w:eastAsia="Calibri"/>
          <w:color w:val="000000" w:themeColor="text1"/>
          <w:kern w:val="2"/>
          <w14:ligatures w14:val="standardContextual"/>
        </w:rPr>
        <w:t xml:space="preserve">breach </w:t>
      </w:r>
      <w:r w:rsidRPr="00313D8D">
        <w:rPr>
          <w:rFonts w:eastAsia="Calibri"/>
          <w:color w:val="000000" w:themeColor="text1"/>
          <w:kern w:val="2"/>
          <w14:ligatures w14:val="standardContextual"/>
        </w:rPr>
        <w:t xml:space="preserve">its obligations again, the </w:t>
      </w:r>
      <w:r w:rsidR="00D11F2F">
        <w:rPr>
          <w:rFonts w:eastAsia="Calibri"/>
          <w:color w:val="000000" w:themeColor="text1"/>
          <w:kern w:val="2"/>
          <w14:ligatures w14:val="standardContextual"/>
        </w:rPr>
        <w:t>ACMA</w:t>
      </w:r>
      <w:r w:rsidRPr="00313D8D">
        <w:rPr>
          <w:rFonts w:eastAsia="Calibri"/>
          <w:color w:val="000000" w:themeColor="text1"/>
          <w:kern w:val="2"/>
          <w14:ligatures w14:val="standardContextual"/>
        </w:rPr>
        <w:t xml:space="preserve"> could commence civil sanction proceedings.</w:t>
      </w:r>
      <w:bookmarkStart w:id="172" w:name="_Ref162002099"/>
      <w:r w:rsidR="00B85AED">
        <w:rPr>
          <w:rStyle w:val="FootnoteReference"/>
          <w:rFonts w:eastAsia="Calibri"/>
          <w:color w:val="000000" w:themeColor="text1"/>
          <w:kern w:val="2"/>
          <w14:ligatures w14:val="standardContextual"/>
        </w:rPr>
        <w:footnoteReference w:id="208"/>
      </w:r>
      <w:bookmarkEnd w:id="172"/>
    </w:p>
    <w:p w14:paraId="4E674742" w14:textId="0F7EDE97" w:rsidR="00553E07" w:rsidRPr="001A5D04" w:rsidRDefault="01240D86" w:rsidP="7EFE6C20">
      <w:pPr>
        <w:rPr>
          <w:rStyle w:val="eop"/>
          <w:rFonts w:eastAsia="Calibri"/>
          <w:color w:val="000000" w:themeColor="text1"/>
          <w:kern w:val="2"/>
          <w14:ligatures w14:val="standardContextual"/>
        </w:rPr>
      </w:pPr>
      <w:r w:rsidRPr="7EFE6C20">
        <w:rPr>
          <w:rFonts w:eastAsia="Calibri"/>
          <w:color w:val="000000" w:themeColor="text1"/>
          <w:kern w:val="2"/>
          <w14:ligatures w14:val="standardContextual"/>
        </w:rPr>
        <w:t>As note</w:t>
      </w:r>
      <w:r w:rsidR="74CFB2B5" w:rsidRPr="7EFE6C20">
        <w:rPr>
          <w:rFonts w:eastAsia="Calibri"/>
          <w:color w:val="000000" w:themeColor="text1"/>
          <w:kern w:val="2"/>
          <w14:ligatures w14:val="standardContextual"/>
        </w:rPr>
        <w:t xml:space="preserve">d </w:t>
      </w:r>
      <w:r w:rsidR="35D354AA" w:rsidRPr="7EFE6C20">
        <w:rPr>
          <w:rFonts w:eastAsia="Calibri"/>
          <w:color w:val="000000" w:themeColor="text1"/>
          <w:kern w:val="2"/>
          <w14:ligatures w14:val="standardContextual"/>
        </w:rPr>
        <w:t>in</w:t>
      </w:r>
      <w:r w:rsidR="00107882">
        <w:rPr>
          <w:rFonts w:eastAsia="Calibri"/>
          <w:color w:val="000000" w:themeColor="text1"/>
          <w:kern w:val="2"/>
          <w14:ligatures w14:val="standardContextual"/>
        </w:rPr>
        <w:t xml:space="preserve"> section A of </w:t>
      </w:r>
      <w:r w:rsidR="003F3450">
        <w:rPr>
          <w:rFonts w:eastAsia="Calibri"/>
          <w:color w:val="000000" w:themeColor="text1"/>
          <w:kern w:val="2"/>
          <w14:ligatures w14:val="standardContextual"/>
        </w:rPr>
        <w:t>Chapter</w:t>
      </w:r>
      <w:r w:rsidR="35D354AA" w:rsidRPr="7EFE6C20">
        <w:rPr>
          <w:rFonts w:eastAsia="Calibri"/>
          <w:color w:val="000000" w:themeColor="text1"/>
          <w:kern w:val="2"/>
          <w14:ligatures w14:val="standardContextual"/>
        </w:rPr>
        <w:t xml:space="preserve"> </w:t>
      </w:r>
      <w:r w:rsidR="74CFB2B5" w:rsidRPr="7EFE6C20">
        <w:rPr>
          <w:rFonts w:eastAsia="Calibri"/>
          <w:color w:val="000000" w:themeColor="text1"/>
          <w:kern w:val="2"/>
          <w14:ligatures w14:val="standardContextual"/>
        </w:rPr>
        <w:t>3</w:t>
      </w:r>
      <w:r w:rsidR="00107882">
        <w:rPr>
          <w:rFonts w:eastAsia="Calibri"/>
          <w:color w:val="000000" w:themeColor="text1"/>
          <w:kern w:val="2"/>
          <w14:ligatures w14:val="standardContextual"/>
        </w:rPr>
        <w:t xml:space="preserve"> </w:t>
      </w:r>
      <w:r w:rsidR="74CFB2B5" w:rsidRPr="7EFE6C20">
        <w:rPr>
          <w:rFonts w:eastAsia="Calibri"/>
          <w:color w:val="000000" w:themeColor="text1"/>
          <w:kern w:val="2"/>
          <w14:ligatures w14:val="standardContextual"/>
        </w:rPr>
        <w:t xml:space="preserve">above, </w:t>
      </w:r>
      <w:r w:rsidRPr="7EFE6C20">
        <w:rPr>
          <w:rFonts w:eastAsia="Calibri"/>
          <w:color w:val="000000" w:themeColor="text1"/>
          <w:kern w:val="2"/>
          <w14:ligatures w14:val="standardContextual"/>
        </w:rPr>
        <w:t xml:space="preserve">the </w:t>
      </w:r>
      <w:r w:rsidR="00D11F2F">
        <w:rPr>
          <w:rFonts w:eastAsia="Calibri"/>
          <w:color w:val="000000" w:themeColor="text1"/>
          <w:kern w:val="2"/>
          <w14:ligatures w14:val="standardContextual"/>
        </w:rPr>
        <w:t>ACMA</w:t>
      </w:r>
      <w:r w:rsidRPr="7EFE6C20">
        <w:rPr>
          <w:rFonts w:eastAsia="Calibri"/>
          <w:color w:val="000000" w:themeColor="text1"/>
          <w:kern w:val="2"/>
          <w14:ligatures w14:val="standardContextual"/>
        </w:rPr>
        <w:t xml:space="preserve"> has stated that it will ‘generally use the minimum power or intervention necessary to achieve the desired result’</w:t>
      </w:r>
      <w:r w:rsidR="1A5DB0DA" w:rsidRPr="7EFE6C20">
        <w:rPr>
          <w:rFonts w:eastAsia="Calibri"/>
          <w:color w:val="000000" w:themeColor="text1"/>
          <w:kern w:val="2"/>
          <w14:ligatures w14:val="standardContextual"/>
        </w:rPr>
        <w:t>.</w:t>
      </w:r>
      <w:r w:rsidR="000B1139" w:rsidRPr="7EFE6C20">
        <w:rPr>
          <w:rStyle w:val="FootnoteReference"/>
          <w:rFonts w:eastAsia="Calibri"/>
          <w:color w:val="000000" w:themeColor="text1"/>
          <w:kern w:val="2"/>
          <w14:ligatures w14:val="standardContextual"/>
        </w:rPr>
        <w:footnoteReference w:id="209"/>
      </w:r>
      <w:r w:rsidRPr="7EFE6C20">
        <w:rPr>
          <w:rFonts w:eastAsia="Calibri"/>
          <w:color w:val="000000" w:themeColor="text1"/>
          <w:kern w:val="2"/>
          <w14:ligatures w14:val="standardContextual"/>
        </w:rPr>
        <w:t xml:space="preserve"> </w:t>
      </w:r>
      <w:r w:rsidR="6A5735A3" w:rsidRPr="7EFE6C20">
        <w:rPr>
          <w:rFonts w:eastAsia="Calibri"/>
          <w:color w:val="000000" w:themeColor="text1"/>
          <w:kern w:val="2"/>
          <w14:ligatures w14:val="standardContextual"/>
        </w:rPr>
        <w:t xml:space="preserve">That approach may have informed </w:t>
      </w:r>
      <w:r w:rsidR="00D11F2F">
        <w:rPr>
          <w:rFonts w:eastAsia="Calibri"/>
          <w:color w:val="000000" w:themeColor="text1"/>
          <w:kern w:val="2"/>
          <w14:ligatures w14:val="standardContextual"/>
        </w:rPr>
        <w:t>the ACMA</w:t>
      </w:r>
      <w:r w:rsidR="6A5735A3" w:rsidRPr="7EFE6C20">
        <w:rPr>
          <w:rFonts w:eastAsia="Calibri"/>
          <w:color w:val="000000" w:themeColor="text1"/>
          <w:kern w:val="2"/>
          <w14:ligatures w14:val="standardContextual"/>
        </w:rPr>
        <w:t xml:space="preserve">’s decision in this instance, with </w:t>
      </w:r>
      <w:r w:rsidR="00D11F2F">
        <w:rPr>
          <w:rFonts w:eastAsia="Calibri"/>
          <w:color w:val="000000" w:themeColor="text1"/>
          <w:kern w:val="2"/>
          <w14:ligatures w14:val="standardContextual"/>
        </w:rPr>
        <w:t>the ACMA</w:t>
      </w:r>
      <w:r w:rsidR="6A5735A3" w:rsidRPr="7EFE6C20">
        <w:rPr>
          <w:rFonts w:eastAsia="Calibri"/>
          <w:color w:val="000000" w:themeColor="text1"/>
          <w:kern w:val="2"/>
          <w14:ligatures w14:val="standardContextual"/>
        </w:rPr>
        <w:t xml:space="preserve"> signalling in its associated media release that it ‘will continue to watch Lycamobile closely’</w:t>
      </w:r>
      <w:r w:rsidR="192FCF9D" w:rsidRPr="7EFE6C20">
        <w:rPr>
          <w:rFonts w:eastAsia="Calibri"/>
          <w:color w:val="000000" w:themeColor="text1"/>
          <w:kern w:val="2"/>
          <w14:ligatures w14:val="standardContextual"/>
        </w:rPr>
        <w:t xml:space="preserve"> and flagging the prospect of court action in the case of further contraventions.</w:t>
      </w:r>
      <w:r w:rsidR="00D249C8">
        <w:rPr>
          <w:rStyle w:val="FootnoteReference"/>
          <w:rFonts w:eastAsia="Calibri"/>
          <w:color w:val="000000" w:themeColor="text1"/>
          <w:kern w:val="2"/>
          <w14:ligatures w14:val="standardContextual"/>
        </w:rPr>
        <w:footnoteReference w:id="210"/>
      </w:r>
      <w:r w:rsidR="192FCF9D" w:rsidRPr="7EFE6C20">
        <w:rPr>
          <w:rFonts w:eastAsia="Calibri"/>
          <w:color w:val="000000" w:themeColor="text1"/>
          <w:kern w:val="2"/>
          <w14:ligatures w14:val="standardContextual"/>
        </w:rPr>
        <w:t xml:space="preserve"> </w:t>
      </w:r>
    </w:p>
    <w:p w14:paraId="6B2597B9" w14:textId="77777777" w:rsidR="00211926" w:rsidRDefault="00211926">
      <w:pPr>
        <w:rPr>
          <w:rFonts w:asciiTheme="majorHAnsi" w:eastAsiaTheme="majorEastAsia" w:hAnsiTheme="majorHAnsi" w:cstheme="majorBidi"/>
          <w:color w:val="0F4BEB"/>
          <w:sz w:val="24"/>
          <w:szCs w:val="24"/>
        </w:rPr>
      </w:pPr>
      <w:bookmarkStart w:id="173" w:name="_Toc146201048"/>
      <w:r>
        <w:br w:type="page"/>
      </w:r>
    </w:p>
    <w:p w14:paraId="0DFA964B" w14:textId="4B2D2884" w:rsidR="00822105" w:rsidRDefault="00986145" w:rsidP="0061674D">
      <w:pPr>
        <w:pStyle w:val="Heading3"/>
      </w:pPr>
      <w:bookmarkStart w:id="174" w:name="_Toc161836179"/>
      <w:r w:rsidRPr="002B2F28">
        <w:rPr>
          <w:noProof/>
        </w:rPr>
        <w:lastRenderedPageBreak/>
        <mc:AlternateContent>
          <mc:Choice Requires="wps">
            <w:drawing>
              <wp:anchor distT="0" distB="0" distL="114300" distR="114300" simplePos="0" relativeHeight="251658242" behindDoc="1" locked="0" layoutInCell="1" allowOverlap="1" wp14:anchorId="21F3E312" wp14:editId="179C595D">
                <wp:simplePos x="0" y="0"/>
                <wp:positionH relativeFrom="margin">
                  <wp:posOffset>-53975</wp:posOffset>
                </wp:positionH>
                <wp:positionV relativeFrom="paragraph">
                  <wp:posOffset>336550</wp:posOffset>
                </wp:positionV>
                <wp:extent cx="5875352" cy="3540125"/>
                <wp:effectExtent l="12700" t="12700" r="17780" b="15875"/>
                <wp:wrapNone/>
                <wp:docPr id="8" name="Rounded 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75352" cy="3540125"/>
                        </a:xfrm>
                        <a:prstGeom prst="roundRect">
                          <a:avLst>
                            <a:gd name="adj" fmla="val 10831"/>
                          </a:avLst>
                        </a:prstGeom>
                        <a:noFill/>
                        <a:ln>
                          <a:solidFill>
                            <a:srgbClr val="0D41D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ECE9CC" w14:textId="77777777" w:rsidR="00712508" w:rsidRPr="00A323EB" w:rsidRDefault="00712508" w:rsidP="00E11790">
                            <w:pPr>
                              <w:spacing w:after="160" w:line="240" w:lineRule="auto"/>
                              <w:rPr>
                                <w:rFonts w:cs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F3E312" id="Rounded Rectangle 8" o:spid="_x0000_s1030" style="position:absolute;left:0;text-align:left;margin-left:-4.25pt;margin-top:26.5pt;width:462.65pt;height:278.7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0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" filled="f" strokecolor="#0d41d1" strokeweight="2pt">
                <v:textbox>
                  <w:txbxContent>
                    <w:p w14:paraId="77ECE9CC" w14:textId="77777777" w:rsidR="00712508" w:rsidRPr="00A323EB" w:rsidRDefault="00712508" w:rsidP="00E11790">
                      <w:pPr>
                        <w:spacing w:after="160" w:line="240" w:lineRule="auto"/>
                        <w:rPr>
                          <w:rFonts w:cstheme="minorHAnsi"/>
                          <w:color w:val="000000" w:themeColor="text1"/>
                          <w:sz w:val="20"/>
                          <w:szCs w:val="20"/>
                        </w:rPr>
                      </w:pPr>
                    </w:p>
                  </w:txbxContent>
                </v:textbox>
                <w10:wrap anchorx="margin"/>
              </v:roundrect>
            </w:pict>
          </mc:Fallback>
        </mc:AlternateContent>
      </w:r>
      <w:r w:rsidR="00553E07">
        <w:t>2</w:t>
      </w:r>
      <w:r w:rsidR="00553E07" w:rsidRPr="00553E07">
        <w:tab/>
      </w:r>
      <w:r w:rsidR="00553E07">
        <w:t xml:space="preserve">Civil </w:t>
      </w:r>
      <w:r w:rsidR="00B575EC">
        <w:t>P</w:t>
      </w:r>
      <w:r w:rsidR="00553E07">
        <w:t xml:space="preserve">enalty </w:t>
      </w:r>
      <w:r w:rsidR="00B575EC">
        <w:t>E</w:t>
      </w:r>
      <w:r w:rsidR="00553E07" w:rsidRPr="00553E07">
        <w:t xml:space="preserve">nforcement </w:t>
      </w:r>
      <w:r w:rsidR="00B575EC">
        <w:t>A</w:t>
      </w:r>
      <w:r w:rsidR="00553E07" w:rsidRPr="00553E07">
        <w:t>ctions</w:t>
      </w:r>
      <w:bookmarkEnd w:id="173"/>
      <w:bookmarkEnd w:id="174"/>
    </w:p>
    <w:p w14:paraId="616467E7" w14:textId="641D0EAA" w:rsidR="00E11790" w:rsidRPr="00E11790" w:rsidRDefault="00363F6E" w:rsidP="00E11790">
      <w:pPr>
        <w:spacing w:line="240" w:lineRule="auto"/>
        <w:ind w:left="284"/>
        <w:rPr>
          <w:rFonts w:cstheme="minorHAnsi"/>
          <w:i/>
          <w:iCs/>
          <w:color w:val="000000" w:themeColor="text1"/>
          <w:sz w:val="20"/>
          <w:szCs w:val="20"/>
        </w:rPr>
      </w:pPr>
      <w:r>
        <w:br/>
      </w:r>
      <w:hyperlink r:id="rId35" w:history="1">
        <w:r w:rsidR="139089F7" w:rsidRPr="12EC14AA">
          <w:rPr>
            <w:rStyle w:val="Hyperlink"/>
            <w:i/>
            <w:iCs/>
            <w:color w:val="0000FF"/>
            <w:sz w:val="20"/>
            <w:szCs w:val="20"/>
          </w:rPr>
          <w:t>Civil Penalty Case Study 1: Australian Communications and Media Authority v Bytecard Pty Ltd</w:t>
        </w:r>
      </w:hyperlink>
      <w:r w:rsidR="001C226E" w:rsidRPr="47ACCDB0">
        <w:rPr>
          <w:rStyle w:val="FootnoteReference"/>
          <w:sz w:val="20"/>
          <w:szCs w:val="20"/>
        </w:rPr>
        <w:footnoteReference w:id="211"/>
      </w:r>
    </w:p>
    <w:p w14:paraId="63F2ECA5" w14:textId="1DA5AF5A" w:rsidR="00E11790" w:rsidRPr="00E11790" w:rsidRDefault="00DF73CA" w:rsidP="47ACCDB0">
      <w:pPr>
        <w:spacing w:line="240" w:lineRule="auto"/>
        <w:ind w:left="284" w:right="403"/>
        <w:rPr>
          <w:color w:val="000000" w:themeColor="text1"/>
          <w:sz w:val="20"/>
          <w:szCs w:val="20"/>
        </w:rPr>
      </w:pPr>
      <w:r>
        <w:rPr>
          <w:b/>
          <w:bCs/>
          <w:color w:val="000000" w:themeColor="text1"/>
          <w:sz w:val="20"/>
          <w:szCs w:val="20"/>
        </w:rPr>
        <w:t>T</w:t>
      </w:r>
      <w:r w:rsidR="00D11F2F">
        <w:rPr>
          <w:b/>
          <w:bCs/>
          <w:color w:val="000000" w:themeColor="text1"/>
          <w:sz w:val="20"/>
          <w:szCs w:val="20"/>
        </w:rPr>
        <w:t>he ACMA</w:t>
      </w:r>
      <w:r w:rsidR="553B04D6" w:rsidRPr="47ACCDB0">
        <w:rPr>
          <w:b/>
          <w:bCs/>
          <w:color w:val="000000" w:themeColor="text1"/>
          <w:sz w:val="20"/>
          <w:szCs w:val="20"/>
        </w:rPr>
        <w:t xml:space="preserve">’s claims against Bytecard and </w:t>
      </w:r>
      <w:r w:rsidR="0493FA29" w:rsidRPr="47ACCDB0">
        <w:rPr>
          <w:b/>
          <w:bCs/>
          <w:color w:val="000000" w:themeColor="text1"/>
          <w:sz w:val="20"/>
          <w:szCs w:val="20"/>
        </w:rPr>
        <w:t xml:space="preserve">Brian </w:t>
      </w:r>
      <w:r w:rsidR="553B04D6" w:rsidRPr="47ACCDB0">
        <w:rPr>
          <w:b/>
          <w:bCs/>
          <w:color w:val="000000" w:themeColor="text1"/>
          <w:sz w:val="20"/>
          <w:szCs w:val="20"/>
        </w:rPr>
        <w:t>Morris</w:t>
      </w:r>
      <w:r w:rsidR="553B04D6" w:rsidRPr="47ACCDB0">
        <w:rPr>
          <w:color w:val="000000" w:themeColor="text1"/>
          <w:sz w:val="20"/>
          <w:szCs w:val="20"/>
        </w:rPr>
        <w:t xml:space="preserve">: </w:t>
      </w:r>
    </w:p>
    <w:p w14:paraId="796D6D13" w14:textId="0BF84696" w:rsidR="009F214E" w:rsidRDefault="00DF73CA" w:rsidP="001019BA">
      <w:pPr>
        <w:numPr>
          <w:ilvl w:val="0"/>
          <w:numId w:val="42"/>
        </w:numPr>
        <w:spacing w:line="240" w:lineRule="auto"/>
        <w:ind w:right="403"/>
        <w:rPr>
          <w:color w:val="000000" w:themeColor="text1"/>
          <w:sz w:val="20"/>
          <w:szCs w:val="20"/>
        </w:rPr>
      </w:pPr>
      <w:r>
        <w:rPr>
          <w:color w:val="000000" w:themeColor="text1"/>
          <w:sz w:val="20"/>
          <w:szCs w:val="20"/>
        </w:rPr>
        <w:t>T</w:t>
      </w:r>
      <w:r w:rsidR="00D11F2F">
        <w:rPr>
          <w:color w:val="000000" w:themeColor="text1"/>
          <w:sz w:val="20"/>
          <w:szCs w:val="20"/>
        </w:rPr>
        <w:t>he ACMA</w:t>
      </w:r>
      <w:r w:rsidR="553B04D6" w:rsidRPr="2433C7D0">
        <w:rPr>
          <w:color w:val="000000" w:themeColor="text1"/>
          <w:sz w:val="20"/>
          <w:szCs w:val="20"/>
        </w:rPr>
        <w:t xml:space="preserve"> alleged that Bytecard and </w:t>
      </w:r>
      <w:r w:rsidR="78F01834" w:rsidRPr="2433C7D0">
        <w:rPr>
          <w:color w:val="000000" w:themeColor="text1"/>
          <w:sz w:val="20"/>
          <w:szCs w:val="20"/>
        </w:rPr>
        <w:t>its director</w:t>
      </w:r>
      <w:r w:rsidR="0245C33C" w:rsidRPr="2433C7D0">
        <w:rPr>
          <w:color w:val="000000" w:themeColor="text1"/>
          <w:sz w:val="20"/>
          <w:szCs w:val="20"/>
        </w:rPr>
        <w:t>,</w:t>
      </w:r>
      <w:r w:rsidR="78F01834" w:rsidRPr="2433C7D0">
        <w:rPr>
          <w:color w:val="000000" w:themeColor="text1"/>
          <w:sz w:val="20"/>
          <w:szCs w:val="20"/>
        </w:rPr>
        <w:t xml:space="preserve"> </w:t>
      </w:r>
      <w:r w:rsidR="0245C33C" w:rsidRPr="2433C7D0">
        <w:rPr>
          <w:color w:val="000000" w:themeColor="text1"/>
          <w:sz w:val="20"/>
          <w:szCs w:val="20"/>
        </w:rPr>
        <w:t>Brian</w:t>
      </w:r>
      <w:r w:rsidR="553B04D6" w:rsidRPr="2433C7D0">
        <w:rPr>
          <w:color w:val="000000" w:themeColor="text1"/>
          <w:sz w:val="20"/>
          <w:szCs w:val="20"/>
        </w:rPr>
        <w:t xml:space="preserve"> Morris, </w:t>
      </w:r>
      <w:r w:rsidR="2C339E46" w:rsidRPr="2433C7D0">
        <w:rPr>
          <w:color w:val="000000" w:themeColor="text1"/>
          <w:sz w:val="20"/>
          <w:szCs w:val="20"/>
        </w:rPr>
        <w:t>breached</w:t>
      </w:r>
      <w:r w:rsidR="553B04D6" w:rsidRPr="2433C7D0">
        <w:rPr>
          <w:color w:val="000000" w:themeColor="text1"/>
          <w:sz w:val="20"/>
          <w:szCs w:val="20"/>
        </w:rPr>
        <w:t xml:space="preserve"> the </w:t>
      </w:r>
      <w:r w:rsidR="00AA7AED" w:rsidRPr="00DF73CA">
        <w:rPr>
          <w:color w:val="000000" w:themeColor="text1"/>
          <w:sz w:val="20"/>
          <w:szCs w:val="20"/>
        </w:rPr>
        <w:t>Tel Act</w:t>
      </w:r>
      <w:r w:rsidR="553B04D6" w:rsidRPr="2433C7D0">
        <w:rPr>
          <w:color w:val="000000" w:themeColor="text1"/>
          <w:sz w:val="20"/>
          <w:szCs w:val="20"/>
        </w:rPr>
        <w:t xml:space="preserve"> by failing to comply with the </w:t>
      </w:r>
      <w:r w:rsidR="553B04D6" w:rsidRPr="2433C7D0">
        <w:rPr>
          <w:b/>
          <w:bCs/>
          <w:color w:val="000000" w:themeColor="text1"/>
          <w:sz w:val="20"/>
          <w:szCs w:val="20"/>
        </w:rPr>
        <w:t>TIO</w:t>
      </w:r>
      <w:r w:rsidR="553B04D6" w:rsidRPr="2433C7D0">
        <w:rPr>
          <w:color w:val="000000" w:themeColor="text1"/>
          <w:sz w:val="20"/>
          <w:szCs w:val="20"/>
        </w:rPr>
        <w:t xml:space="preserve"> </w:t>
      </w:r>
      <w:r w:rsidR="553B04D6" w:rsidRPr="2433C7D0">
        <w:rPr>
          <w:b/>
          <w:bCs/>
          <w:color w:val="000000" w:themeColor="text1"/>
          <w:sz w:val="20"/>
          <w:szCs w:val="20"/>
        </w:rPr>
        <w:t>Scheme</w:t>
      </w:r>
      <w:r w:rsidR="553B04D6" w:rsidRPr="2433C7D0">
        <w:rPr>
          <w:color w:val="000000" w:themeColor="text1"/>
          <w:sz w:val="20"/>
          <w:szCs w:val="20"/>
        </w:rPr>
        <w:t>, a</w:t>
      </w:r>
      <w:r w:rsidR="553B04D6" w:rsidRPr="2433C7D0">
        <w:rPr>
          <w:b/>
          <w:bCs/>
          <w:color w:val="000000" w:themeColor="text1"/>
          <w:sz w:val="20"/>
          <w:szCs w:val="20"/>
        </w:rPr>
        <w:t xml:space="preserve"> service</w:t>
      </w:r>
      <w:r w:rsidR="553B04D6" w:rsidRPr="2433C7D0">
        <w:rPr>
          <w:color w:val="000000" w:themeColor="text1"/>
          <w:sz w:val="20"/>
          <w:szCs w:val="20"/>
        </w:rPr>
        <w:t xml:space="preserve"> </w:t>
      </w:r>
      <w:r w:rsidR="553B04D6" w:rsidRPr="2433C7D0">
        <w:rPr>
          <w:b/>
          <w:bCs/>
          <w:color w:val="000000" w:themeColor="text1"/>
          <w:sz w:val="20"/>
          <w:szCs w:val="20"/>
        </w:rPr>
        <w:t>provider rule</w:t>
      </w:r>
      <w:r w:rsidR="553B04D6" w:rsidRPr="2433C7D0">
        <w:rPr>
          <w:color w:val="000000" w:themeColor="text1"/>
          <w:sz w:val="20"/>
          <w:szCs w:val="20"/>
        </w:rPr>
        <w:t xml:space="preserve"> </w:t>
      </w:r>
      <w:r w:rsidR="17131296" w:rsidRPr="2433C7D0">
        <w:rPr>
          <w:color w:val="000000" w:themeColor="text1"/>
          <w:sz w:val="20"/>
          <w:szCs w:val="20"/>
        </w:rPr>
        <w:t xml:space="preserve">of </w:t>
      </w:r>
      <w:r w:rsidR="28198724" w:rsidRPr="2433C7D0">
        <w:rPr>
          <w:color w:val="000000" w:themeColor="text1"/>
          <w:sz w:val="20"/>
          <w:szCs w:val="20"/>
        </w:rPr>
        <w:t>t</w:t>
      </w:r>
      <w:r w:rsidR="553B04D6" w:rsidRPr="2433C7D0">
        <w:rPr>
          <w:color w:val="000000" w:themeColor="text1"/>
          <w:sz w:val="20"/>
          <w:szCs w:val="20"/>
        </w:rPr>
        <w:t xml:space="preserve">he </w:t>
      </w:r>
      <w:r w:rsidR="00AA7AED" w:rsidRPr="00DF73CA">
        <w:rPr>
          <w:color w:val="000000" w:themeColor="text1"/>
          <w:sz w:val="20"/>
          <w:szCs w:val="20"/>
        </w:rPr>
        <w:t>Tel Act</w:t>
      </w:r>
      <w:r w:rsidR="553B04D6" w:rsidRPr="2433C7D0">
        <w:rPr>
          <w:color w:val="000000" w:themeColor="text1"/>
          <w:sz w:val="20"/>
          <w:szCs w:val="20"/>
        </w:rPr>
        <w:t xml:space="preserve">, </w:t>
      </w:r>
      <w:r w:rsidR="553B04D6" w:rsidRPr="2433C7D0">
        <w:rPr>
          <w:b/>
          <w:bCs/>
          <w:color w:val="000000" w:themeColor="text1"/>
          <w:sz w:val="20"/>
          <w:szCs w:val="20"/>
        </w:rPr>
        <w:t>clause 6.1 of the TIO Constitution</w:t>
      </w:r>
      <w:r w:rsidR="17131296" w:rsidRPr="2433C7D0">
        <w:rPr>
          <w:b/>
          <w:bCs/>
          <w:color w:val="000000" w:themeColor="text1"/>
          <w:sz w:val="20"/>
          <w:szCs w:val="20"/>
        </w:rPr>
        <w:t>,</w:t>
      </w:r>
      <w:r w:rsidR="553B04D6" w:rsidRPr="2433C7D0">
        <w:rPr>
          <w:color w:val="000000" w:themeColor="text1"/>
          <w:sz w:val="20"/>
          <w:szCs w:val="20"/>
        </w:rPr>
        <w:t xml:space="preserve"> and </w:t>
      </w:r>
      <w:r w:rsidR="5B8A588F" w:rsidRPr="2433C7D0">
        <w:rPr>
          <w:b/>
          <w:bCs/>
          <w:color w:val="000000" w:themeColor="text1"/>
          <w:sz w:val="20"/>
          <w:szCs w:val="20"/>
        </w:rPr>
        <w:t xml:space="preserve">two remedial directions from </w:t>
      </w:r>
      <w:r w:rsidR="00D11F2F">
        <w:rPr>
          <w:b/>
          <w:bCs/>
          <w:color w:val="000000" w:themeColor="text1"/>
          <w:sz w:val="20"/>
          <w:szCs w:val="20"/>
        </w:rPr>
        <w:t>the ACMA</w:t>
      </w:r>
      <w:r w:rsidR="553B04D6" w:rsidRPr="2433C7D0">
        <w:rPr>
          <w:color w:val="000000" w:themeColor="text1"/>
          <w:sz w:val="20"/>
          <w:szCs w:val="20"/>
        </w:rPr>
        <w:t>.</w:t>
      </w:r>
    </w:p>
    <w:p w14:paraId="75FE6AC2" w14:textId="272BE799" w:rsidR="00E11790" w:rsidRPr="00E11790" w:rsidRDefault="001066FC" w:rsidP="001019BA">
      <w:pPr>
        <w:numPr>
          <w:ilvl w:val="0"/>
          <w:numId w:val="42"/>
        </w:numPr>
        <w:spacing w:line="240" w:lineRule="auto"/>
        <w:ind w:right="403"/>
        <w:rPr>
          <w:color w:val="000000" w:themeColor="text1"/>
          <w:sz w:val="20"/>
          <w:szCs w:val="20"/>
        </w:rPr>
      </w:pPr>
      <w:r>
        <w:rPr>
          <w:color w:val="000000" w:themeColor="text1"/>
          <w:sz w:val="20"/>
          <w:szCs w:val="20"/>
        </w:rPr>
        <w:t>T</w:t>
      </w:r>
      <w:r w:rsidR="00D11F2F">
        <w:rPr>
          <w:color w:val="000000" w:themeColor="text1"/>
          <w:sz w:val="20"/>
          <w:szCs w:val="20"/>
        </w:rPr>
        <w:t>he ACMA</w:t>
      </w:r>
      <w:r w:rsidR="553B04D6" w:rsidRPr="47ACCDB0">
        <w:rPr>
          <w:color w:val="000000" w:themeColor="text1"/>
          <w:sz w:val="20"/>
          <w:szCs w:val="20"/>
        </w:rPr>
        <w:t xml:space="preserve"> sought a </w:t>
      </w:r>
      <w:r w:rsidR="7801EEE9" w:rsidRPr="47ACCDB0">
        <w:rPr>
          <w:b/>
          <w:bCs/>
          <w:color w:val="000000" w:themeColor="text1"/>
          <w:sz w:val="20"/>
          <w:szCs w:val="20"/>
        </w:rPr>
        <w:t>civil</w:t>
      </w:r>
      <w:r w:rsidR="7801EEE9" w:rsidRPr="47ACCDB0">
        <w:rPr>
          <w:color w:val="000000" w:themeColor="text1"/>
          <w:sz w:val="20"/>
          <w:szCs w:val="20"/>
        </w:rPr>
        <w:t xml:space="preserve"> </w:t>
      </w:r>
      <w:r w:rsidR="553B04D6" w:rsidRPr="47ACCDB0">
        <w:rPr>
          <w:b/>
          <w:bCs/>
          <w:color w:val="000000" w:themeColor="text1"/>
          <w:sz w:val="20"/>
          <w:szCs w:val="20"/>
        </w:rPr>
        <w:t>penalty</w:t>
      </w:r>
      <w:r w:rsidR="553B04D6" w:rsidRPr="47ACCDB0">
        <w:rPr>
          <w:color w:val="000000" w:themeColor="text1"/>
          <w:sz w:val="20"/>
          <w:szCs w:val="20"/>
        </w:rPr>
        <w:t xml:space="preserve"> against Bytecard of $90,000 and against Mr Morris of $45,000.</w:t>
      </w:r>
    </w:p>
    <w:p w14:paraId="3C52943B" w14:textId="3E6F7C8E" w:rsidR="00E11790" w:rsidRPr="00E11790" w:rsidRDefault="06546E9A" w:rsidP="47ACCDB0">
      <w:pPr>
        <w:spacing w:line="240" w:lineRule="auto"/>
        <w:ind w:left="284" w:right="403"/>
        <w:rPr>
          <w:color w:val="000000" w:themeColor="text1"/>
          <w:sz w:val="20"/>
          <w:szCs w:val="20"/>
        </w:rPr>
      </w:pPr>
      <w:r w:rsidRPr="7DF6521C">
        <w:rPr>
          <w:color w:val="000000" w:themeColor="text1"/>
          <w:sz w:val="20"/>
          <w:szCs w:val="20"/>
        </w:rPr>
        <w:t>On 1 February 2013, t</w:t>
      </w:r>
      <w:r w:rsidR="0520E2B2" w:rsidRPr="7DF6521C">
        <w:rPr>
          <w:color w:val="000000" w:themeColor="text1"/>
          <w:sz w:val="20"/>
          <w:szCs w:val="20"/>
        </w:rPr>
        <w:t xml:space="preserve">he court imposed a </w:t>
      </w:r>
      <w:r w:rsidR="4025DBE9" w:rsidRPr="7DF6521C">
        <w:rPr>
          <w:b/>
          <w:bCs/>
          <w:color w:val="000000" w:themeColor="text1"/>
          <w:sz w:val="20"/>
          <w:szCs w:val="20"/>
        </w:rPr>
        <w:t xml:space="preserve">civil </w:t>
      </w:r>
      <w:r w:rsidR="0520E2B2" w:rsidRPr="7DF6521C">
        <w:rPr>
          <w:b/>
          <w:bCs/>
          <w:color w:val="000000" w:themeColor="text1"/>
          <w:sz w:val="20"/>
          <w:szCs w:val="20"/>
        </w:rPr>
        <w:t>penalty of $75,000 against Bytecard and $37,500 against Mr Morris</w:t>
      </w:r>
      <w:r w:rsidR="0520E2B2" w:rsidRPr="7DF6521C">
        <w:rPr>
          <w:color w:val="000000" w:themeColor="text1"/>
          <w:sz w:val="20"/>
          <w:szCs w:val="20"/>
        </w:rPr>
        <w:t>.</w:t>
      </w:r>
      <w:r w:rsidR="2A943492" w:rsidRPr="7DF6521C">
        <w:rPr>
          <w:color w:val="000000" w:themeColor="text1"/>
          <w:sz w:val="20"/>
          <w:szCs w:val="20"/>
        </w:rPr>
        <w:t xml:space="preserve"> </w:t>
      </w:r>
      <w:r w:rsidR="2A943492" w:rsidRPr="003C6515">
        <w:rPr>
          <w:color w:val="000000" w:themeColor="text1"/>
          <w:sz w:val="20"/>
          <w:szCs w:val="20"/>
        </w:rPr>
        <w:t xml:space="preserve">It also granted a mandatory injunction imposing a compliance program on Bytecard and Mr Morris. </w:t>
      </w:r>
      <w:r w:rsidR="003C6515">
        <w:rPr>
          <w:color w:val="000000" w:themeColor="text1"/>
          <w:sz w:val="20"/>
          <w:szCs w:val="20"/>
        </w:rPr>
        <w:t>(</w:t>
      </w:r>
      <w:r w:rsidR="2A943492" w:rsidRPr="003C6515">
        <w:rPr>
          <w:color w:val="000000" w:themeColor="text1"/>
          <w:sz w:val="20"/>
          <w:szCs w:val="20"/>
        </w:rPr>
        <w:t>See further chapter 4, section F</w:t>
      </w:r>
      <w:r w:rsidR="003C6515">
        <w:rPr>
          <w:color w:val="000000" w:themeColor="text1"/>
          <w:sz w:val="20"/>
          <w:szCs w:val="20"/>
        </w:rPr>
        <w:t>)</w:t>
      </w:r>
      <w:r w:rsidR="2A943492" w:rsidRPr="003C6515">
        <w:rPr>
          <w:color w:val="000000" w:themeColor="text1"/>
          <w:sz w:val="20"/>
          <w:szCs w:val="20"/>
        </w:rPr>
        <w:t>.</w:t>
      </w:r>
    </w:p>
    <w:p w14:paraId="470D69BC" w14:textId="48708483" w:rsidR="00E11790" w:rsidRPr="00E11790" w:rsidRDefault="001066FC" w:rsidP="47ACCDB0">
      <w:pPr>
        <w:spacing w:line="240" w:lineRule="auto"/>
        <w:ind w:left="284" w:right="403"/>
        <w:rPr>
          <w:b/>
          <w:bCs/>
          <w:color w:val="000000" w:themeColor="text1"/>
          <w:sz w:val="20"/>
          <w:szCs w:val="20"/>
        </w:rPr>
      </w:pPr>
      <w:r>
        <w:rPr>
          <w:b/>
          <w:bCs/>
          <w:color w:val="000000" w:themeColor="text1"/>
          <w:sz w:val="20"/>
          <w:szCs w:val="20"/>
        </w:rPr>
        <w:t>T</w:t>
      </w:r>
      <w:r w:rsidR="00D11F2F">
        <w:rPr>
          <w:b/>
          <w:bCs/>
          <w:color w:val="000000" w:themeColor="text1"/>
          <w:sz w:val="20"/>
          <w:szCs w:val="20"/>
        </w:rPr>
        <w:t>he ACMA</w:t>
      </w:r>
      <w:r w:rsidR="78E0A863" w:rsidRPr="47ACCDB0">
        <w:rPr>
          <w:b/>
          <w:bCs/>
          <w:color w:val="000000" w:themeColor="text1"/>
          <w:sz w:val="20"/>
          <w:szCs w:val="20"/>
        </w:rPr>
        <w:t>’s actions</w:t>
      </w:r>
      <w:r w:rsidR="553B04D6" w:rsidRPr="47ACCDB0">
        <w:rPr>
          <w:b/>
          <w:bCs/>
          <w:color w:val="000000" w:themeColor="text1"/>
          <w:sz w:val="20"/>
          <w:szCs w:val="20"/>
        </w:rPr>
        <w:t xml:space="preserve"> before going to court:</w:t>
      </w:r>
    </w:p>
    <w:p w14:paraId="689E2404" w14:textId="52C4719C" w:rsidR="004B24FD" w:rsidRPr="00E11790" w:rsidRDefault="204BA388" w:rsidP="001019BA">
      <w:pPr>
        <w:numPr>
          <w:ilvl w:val="0"/>
          <w:numId w:val="43"/>
        </w:numPr>
        <w:spacing w:line="240" w:lineRule="auto"/>
        <w:ind w:right="403"/>
        <w:rPr>
          <w:color w:val="000000" w:themeColor="text1"/>
          <w:sz w:val="20"/>
          <w:szCs w:val="20"/>
        </w:rPr>
      </w:pPr>
      <w:r w:rsidRPr="47ACCDB0">
        <w:rPr>
          <w:color w:val="000000" w:themeColor="text1"/>
          <w:sz w:val="20"/>
          <w:szCs w:val="20"/>
        </w:rPr>
        <w:t>c</w:t>
      </w:r>
      <w:r w:rsidR="71B0E166" w:rsidRPr="47ACCDB0">
        <w:rPr>
          <w:color w:val="000000" w:themeColor="text1"/>
          <w:sz w:val="20"/>
          <w:szCs w:val="20"/>
        </w:rPr>
        <w:t>onducting investigations into Bytecard’s conduct and obtaining information from the TIO and the complainants</w:t>
      </w:r>
      <w:r w:rsidRPr="47ACCDB0">
        <w:rPr>
          <w:color w:val="000000" w:themeColor="text1"/>
          <w:sz w:val="20"/>
          <w:szCs w:val="20"/>
        </w:rPr>
        <w:t>;</w:t>
      </w:r>
    </w:p>
    <w:p w14:paraId="15D89BAD" w14:textId="4647B11B" w:rsidR="00E11790" w:rsidRPr="00E11790" w:rsidRDefault="204BA388" w:rsidP="001019BA">
      <w:pPr>
        <w:numPr>
          <w:ilvl w:val="0"/>
          <w:numId w:val="43"/>
        </w:numPr>
        <w:spacing w:line="240" w:lineRule="auto"/>
        <w:ind w:right="403"/>
        <w:rPr>
          <w:color w:val="000000" w:themeColor="text1"/>
          <w:sz w:val="20"/>
          <w:szCs w:val="20"/>
        </w:rPr>
      </w:pPr>
      <w:r w:rsidRPr="47ACCDB0">
        <w:rPr>
          <w:color w:val="000000" w:themeColor="text1"/>
          <w:sz w:val="20"/>
          <w:szCs w:val="20"/>
        </w:rPr>
        <w:t>i</w:t>
      </w:r>
      <w:r w:rsidR="553B04D6" w:rsidRPr="47ACCDB0">
        <w:rPr>
          <w:color w:val="000000" w:themeColor="text1"/>
          <w:sz w:val="20"/>
          <w:szCs w:val="20"/>
        </w:rPr>
        <w:t xml:space="preserve">ssuing </w:t>
      </w:r>
      <w:r w:rsidR="553B04D6" w:rsidRPr="47ACCDB0">
        <w:rPr>
          <w:b/>
          <w:bCs/>
          <w:color w:val="000000" w:themeColor="text1"/>
          <w:sz w:val="20"/>
          <w:szCs w:val="20"/>
        </w:rPr>
        <w:t xml:space="preserve">two </w:t>
      </w:r>
      <w:r w:rsidR="53218031" w:rsidRPr="47ACCDB0">
        <w:rPr>
          <w:b/>
          <w:bCs/>
          <w:color w:val="000000" w:themeColor="text1"/>
          <w:sz w:val="20"/>
          <w:szCs w:val="20"/>
        </w:rPr>
        <w:t>remedial</w:t>
      </w:r>
      <w:r w:rsidR="553B04D6" w:rsidRPr="47ACCDB0">
        <w:rPr>
          <w:b/>
          <w:bCs/>
          <w:color w:val="000000" w:themeColor="text1"/>
          <w:sz w:val="20"/>
          <w:szCs w:val="20"/>
        </w:rPr>
        <w:t xml:space="preserve"> directions</w:t>
      </w:r>
      <w:r w:rsidR="742A34B7" w:rsidRPr="47ACCDB0">
        <w:rPr>
          <w:color w:val="000000" w:themeColor="text1"/>
          <w:sz w:val="20"/>
          <w:szCs w:val="20"/>
        </w:rPr>
        <w:t xml:space="preserve"> </w:t>
      </w:r>
      <w:r w:rsidR="553B04D6" w:rsidRPr="47ACCDB0">
        <w:rPr>
          <w:color w:val="000000" w:themeColor="text1"/>
          <w:sz w:val="20"/>
          <w:szCs w:val="20"/>
        </w:rPr>
        <w:t xml:space="preserve">to Bytecard under </w:t>
      </w:r>
      <w:r w:rsidR="553B04D6" w:rsidRPr="47ACCDB0">
        <w:rPr>
          <w:b/>
          <w:bCs/>
          <w:color w:val="000000" w:themeColor="text1"/>
          <w:sz w:val="20"/>
          <w:szCs w:val="20"/>
        </w:rPr>
        <w:t>s 102(2) of</w:t>
      </w:r>
      <w:r w:rsidR="553B04D6" w:rsidRPr="47ACCDB0">
        <w:rPr>
          <w:color w:val="000000" w:themeColor="text1"/>
          <w:sz w:val="20"/>
          <w:szCs w:val="20"/>
        </w:rPr>
        <w:t xml:space="preserve"> </w:t>
      </w:r>
      <w:r w:rsidR="686394FE" w:rsidRPr="47ACCDB0">
        <w:rPr>
          <w:color w:val="000000" w:themeColor="text1"/>
          <w:sz w:val="20"/>
          <w:szCs w:val="20"/>
        </w:rPr>
        <w:t>t</w:t>
      </w:r>
      <w:r w:rsidR="553B04D6" w:rsidRPr="47ACCDB0">
        <w:rPr>
          <w:color w:val="000000" w:themeColor="text1"/>
          <w:sz w:val="20"/>
          <w:szCs w:val="20"/>
        </w:rPr>
        <w:t>he</w:t>
      </w:r>
      <w:r w:rsidR="553B04D6" w:rsidRPr="47ACCDB0">
        <w:rPr>
          <w:b/>
          <w:bCs/>
          <w:color w:val="000000" w:themeColor="text1"/>
          <w:sz w:val="20"/>
          <w:szCs w:val="20"/>
        </w:rPr>
        <w:t xml:space="preserve"> </w:t>
      </w:r>
      <w:r w:rsidR="00AA7AED">
        <w:rPr>
          <w:b/>
          <w:bCs/>
          <w:color w:val="000000" w:themeColor="text1"/>
          <w:sz w:val="20"/>
          <w:szCs w:val="20"/>
        </w:rPr>
        <w:t>Tel Act</w:t>
      </w:r>
      <w:r w:rsidR="553B04D6" w:rsidRPr="47ACCDB0">
        <w:rPr>
          <w:color w:val="000000" w:themeColor="text1"/>
          <w:sz w:val="20"/>
          <w:szCs w:val="20"/>
        </w:rPr>
        <w:t>, dated 29 August 2007 and 13 September 2011, requiring Bytecard to take specified action to ensure that it did not contravene the service provider rules in the future</w:t>
      </w:r>
      <w:r w:rsidR="0B6218C2" w:rsidRPr="47ACCDB0">
        <w:rPr>
          <w:color w:val="000000" w:themeColor="text1"/>
          <w:sz w:val="20"/>
          <w:szCs w:val="20"/>
        </w:rPr>
        <w:t>.</w:t>
      </w:r>
    </w:p>
    <w:p w14:paraId="7500AF37" w14:textId="24D4DA21" w:rsidR="008407F2" w:rsidRPr="00E11790" w:rsidRDefault="00631033" w:rsidP="00AB3C48">
      <w:pPr>
        <w:spacing w:line="240" w:lineRule="auto"/>
        <w:ind w:right="403"/>
        <w:rPr>
          <w:color w:val="000000" w:themeColor="text1"/>
        </w:rPr>
      </w:pPr>
      <w:r>
        <w:br/>
      </w:r>
      <w:r w:rsidR="772D4BCD" w:rsidRPr="47ACCDB0">
        <w:rPr>
          <w:color w:val="000000" w:themeColor="text1"/>
        </w:rPr>
        <w:t>S</w:t>
      </w:r>
      <w:r w:rsidR="151A84C1" w:rsidRPr="47ACCDB0">
        <w:rPr>
          <w:color w:val="000000" w:themeColor="text1"/>
        </w:rPr>
        <w:t xml:space="preserve">ome factors that </w:t>
      </w:r>
      <w:r w:rsidR="1C75C184" w:rsidRPr="47ACCDB0">
        <w:rPr>
          <w:color w:val="000000" w:themeColor="text1"/>
        </w:rPr>
        <w:t xml:space="preserve">may have </w:t>
      </w:r>
      <w:r w:rsidR="22F1AD2D" w:rsidRPr="47ACCDB0">
        <w:rPr>
          <w:color w:val="000000" w:themeColor="text1"/>
        </w:rPr>
        <w:t xml:space="preserve">led to </w:t>
      </w:r>
      <w:r w:rsidR="00D11F2F">
        <w:rPr>
          <w:color w:val="000000" w:themeColor="text1"/>
        </w:rPr>
        <w:t>the ACMA</w:t>
      </w:r>
      <w:r w:rsidR="22F1AD2D" w:rsidRPr="47ACCDB0">
        <w:rPr>
          <w:color w:val="000000" w:themeColor="text1"/>
        </w:rPr>
        <w:t xml:space="preserve"> pursuing a civil penalty</w:t>
      </w:r>
      <w:r w:rsidR="59E9BAD9" w:rsidRPr="47ACCDB0">
        <w:rPr>
          <w:color w:val="000000" w:themeColor="text1"/>
        </w:rPr>
        <w:t xml:space="preserve"> in this case</w:t>
      </w:r>
      <w:r w:rsidR="0E452F00" w:rsidRPr="47ACCDB0">
        <w:rPr>
          <w:color w:val="000000" w:themeColor="text1"/>
        </w:rPr>
        <w:t xml:space="preserve"> </w:t>
      </w:r>
      <w:r w:rsidR="1C75C184" w:rsidRPr="47ACCDB0">
        <w:rPr>
          <w:color w:val="000000" w:themeColor="text1"/>
        </w:rPr>
        <w:t>include</w:t>
      </w:r>
      <w:r w:rsidR="151A84C1" w:rsidRPr="47ACCDB0">
        <w:rPr>
          <w:color w:val="000000" w:themeColor="text1"/>
        </w:rPr>
        <w:t>:</w:t>
      </w:r>
    </w:p>
    <w:p w14:paraId="06CD6012" w14:textId="112E0161" w:rsidR="008407F2" w:rsidRPr="00E11790" w:rsidRDefault="22F1AD2D" w:rsidP="001019BA">
      <w:pPr>
        <w:numPr>
          <w:ilvl w:val="0"/>
          <w:numId w:val="43"/>
        </w:numPr>
        <w:spacing w:after="160" w:line="240" w:lineRule="auto"/>
        <w:rPr>
          <w:color w:val="000000" w:themeColor="text1"/>
        </w:rPr>
      </w:pPr>
      <w:r w:rsidRPr="47ACCDB0">
        <w:rPr>
          <w:color w:val="000000" w:themeColor="text1"/>
        </w:rPr>
        <w:t>Bytecard’s p</w:t>
      </w:r>
      <w:r w:rsidR="151A84C1" w:rsidRPr="47ACCDB0">
        <w:rPr>
          <w:color w:val="000000" w:themeColor="text1"/>
        </w:rPr>
        <w:t xml:space="preserve">ersistent failure to comply with TIO determinations and the </w:t>
      </w:r>
      <w:r w:rsidR="72F29DDD" w:rsidRPr="47ACCDB0">
        <w:rPr>
          <w:color w:val="000000" w:themeColor="text1"/>
        </w:rPr>
        <w:t xml:space="preserve">two </w:t>
      </w:r>
      <w:r w:rsidR="00D11F2F">
        <w:rPr>
          <w:color w:val="000000" w:themeColor="text1"/>
        </w:rPr>
        <w:t>the ACMA</w:t>
      </w:r>
      <w:r w:rsidR="151A84C1" w:rsidRPr="47ACCDB0">
        <w:rPr>
          <w:color w:val="000000" w:themeColor="text1"/>
        </w:rPr>
        <w:t xml:space="preserve"> </w:t>
      </w:r>
      <w:r w:rsidR="647DE43B" w:rsidRPr="47ACCDB0">
        <w:rPr>
          <w:color w:val="000000" w:themeColor="text1"/>
        </w:rPr>
        <w:t xml:space="preserve">remedial </w:t>
      </w:r>
      <w:r w:rsidR="00C331D8" w:rsidRPr="47ACCDB0">
        <w:rPr>
          <w:color w:val="000000" w:themeColor="text1"/>
        </w:rPr>
        <w:t>directions</w:t>
      </w:r>
      <w:r w:rsidR="00CC71A3">
        <w:rPr>
          <w:color w:val="000000" w:themeColor="text1"/>
        </w:rPr>
        <w:t>;</w:t>
      </w:r>
      <w:r w:rsidR="00C331D8" w:rsidRPr="47ACCDB0">
        <w:rPr>
          <w:color w:val="000000" w:themeColor="text1"/>
        </w:rPr>
        <w:t xml:space="preserve"> the</w:t>
      </w:r>
      <w:r w:rsidR="10BA8751" w:rsidRPr="47ACCDB0">
        <w:rPr>
          <w:color w:val="000000" w:themeColor="text1"/>
        </w:rPr>
        <w:t xml:space="preserve"> l</w:t>
      </w:r>
      <w:r w:rsidR="151A84C1" w:rsidRPr="47ACCDB0">
        <w:rPr>
          <w:color w:val="000000" w:themeColor="text1"/>
        </w:rPr>
        <w:t xml:space="preserve">ack of cooperation and communication with the </w:t>
      </w:r>
      <w:r w:rsidR="00D11F2F">
        <w:rPr>
          <w:color w:val="000000" w:themeColor="text1"/>
        </w:rPr>
        <w:t>ACMA</w:t>
      </w:r>
      <w:r w:rsidR="151A84C1" w:rsidRPr="47ACCDB0">
        <w:rPr>
          <w:color w:val="000000" w:themeColor="text1"/>
        </w:rPr>
        <w:t xml:space="preserve"> and the TIO</w:t>
      </w:r>
      <w:r w:rsidR="006018F4">
        <w:rPr>
          <w:color w:val="000000" w:themeColor="text1"/>
        </w:rPr>
        <w:t>;</w:t>
      </w:r>
      <w:r w:rsidR="151A84C1" w:rsidRPr="47ACCDB0">
        <w:rPr>
          <w:color w:val="000000" w:themeColor="text1"/>
        </w:rPr>
        <w:t xml:space="preserve"> and </w:t>
      </w:r>
      <w:r w:rsidR="10BA8751" w:rsidRPr="47ACCDB0">
        <w:rPr>
          <w:color w:val="000000" w:themeColor="text1"/>
        </w:rPr>
        <w:t xml:space="preserve">Bytecard’s </w:t>
      </w:r>
      <w:r w:rsidR="151A84C1" w:rsidRPr="47ACCDB0">
        <w:rPr>
          <w:color w:val="000000" w:themeColor="text1"/>
        </w:rPr>
        <w:t>refusal to provide any satisfactory explanation or justification for its non-compliance</w:t>
      </w:r>
    </w:p>
    <w:p w14:paraId="0FEB3875" w14:textId="2D483C7E" w:rsidR="00C63CD2" w:rsidRDefault="7865CD52" w:rsidP="001019BA">
      <w:pPr>
        <w:numPr>
          <w:ilvl w:val="0"/>
          <w:numId w:val="43"/>
        </w:numPr>
        <w:spacing w:after="160" w:line="240" w:lineRule="auto"/>
        <w:rPr>
          <w:color w:val="000000" w:themeColor="text1"/>
        </w:rPr>
      </w:pPr>
      <w:r w:rsidRPr="47ACCDB0">
        <w:rPr>
          <w:color w:val="000000" w:themeColor="text1"/>
        </w:rPr>
        <w:t>t</w:t>
      </w:r>
      <w:r w:rsidR="613C86F5" w:rsidRPr="47ACCDB0">
        <w:rPr>
          <w:color w:val="000000" w:themeColor="text1"/>
        </w:rPr>
        <w:t xml:space="preserve">he </w:t>
      </w:r>
      <w:r w:rsidR="006018F4">
        <w:rPr>
          <w:color w:val="000000" w:themeColor="text1"/>
        </w:rPr>
        <w:t xml:space="preserve">important </w:t>
      </w:r>
      <w:r w:rsidR="02E2075A" w:rsidRPr="47ACCDB0">
        <w:rPr>
          <w:color w:val="000000" w:themeColor="text1"/>
        </w:rPr>
        <w:t xml:space="preserve">function </w:t>
      </w:r>
      <w:r w:rsidR="613C86F5" w:rsidRPr="47ACCDB0">
        <w:rPr>
          <w:color w:val="000000" w:themeColor="text1"/>
        </w:rPr>
        <w:t>of the TIO scheme</w:t>
      </w:r>
    </w:p>
    <w:p w14:paraId="4DE19088" w14:textId="2CF79465" w:rsidR="008407F2" w:rsidRDefault="151A84C1" w:rsidP="001019BA">
      <w:pPr>
        <w:numPr>
          <w:ilvl w:val="0"/>
          <w:numId w:val="43"/>
        </w:numPr>
        <w:spacing w:after="160" w:line="240" w:lineRule="auto"/>
        <w:rPr>
          <w:color w:val="000000" w:themeColor="text1"/>
        </w:rPr>
      </w:pPr>
      <w:r w:rsidRPr="47ACCDB0">
        <w:rPr>
          <w:color w:val="000000" w:themeColor="text1"/>
        </w:rPr>
        <w:t xml:space="preserve">Bytecard’s unprofessional and inappropriate behaviour towards its customers, the TIO and the </w:t>
      </w:r>
      <w:r w:rsidR="00D11F2F">
        <w:rPr>
          <w:color w:val="000000" w:themeColor="text1"/>
        </w:rPr>
        <w:t>ACMA</w:t>
      </w:r>
      <w:r w:rsidRPr="47ACCDB0">
        <w:rPr>
          <w:color w:val="000000" w:themeColor="text1"/>
        </w:rPr>
        <w:t>, as evidenced by its rude, insulting and offensive remarks, and its use of foul language.</w:t>
      </w:r>
    </w:p>
    <w:p w14:paraId="0E819699" w14:textId="1DE1B49B" w:rsidR="000C01E1" w:rsidRDefault="66E961FA" w:rsidP="47ACCDB0">
      <w:pPr>
        <w:spacing w:after="160"/>
        <w:rPr>
          <w:color w:val="000000" w:themeColor="text1"/>
        </w:rPr>
      </w:pPr>
      <w:r w:rsidRPr="47ACCDB0">
        <w:rPr>
          <w:color w:val="000000" w:themeColor="text1"/>
        </w:rPr>
        <w:t xml:space="preserve">This </w:t>
      </w:r>
      <w:r w:rsidR="259BEB0E" w:rsidRPr="47ACCDB0">
        <w:rPr>
          <w:color w:val="000000" w:themeColor="text1"/>
        </w:rPr>
        <w:t xml:space="preserve">first </w:t>
      </w:r>
      <w:r w:rsidRPr="47ACCDB0">
        <w:rPr>
          <w:color w:val="000000" w:themeColor="text1"/>
        </w:rPr>
        <w:t>example provides a</w:t>
      </w:r>
      <w:r w:rsidR="76870558" w:rsidRPr="47ACCDB0">
        <w:rPr>
          <w:color w:val="000000" w:themeColor="text1"/>
        </w:rPr>
        <w:t>n</w:t>
      </w:r>
      <w:r w:rsidRPr="47ACCDB0">
        <w:rPr>
          <w:color w:val="000000" w:themeColor="text1"/>
        </w:rPr>
        <w:t xml:space="preserve"> illustration of </w:t>
      </w:r>
      <w:r w:rsidR="00D11F2F">
        <w:rPr>
          <w:color w:val="000000" w:themeColor="text1"/>
        </w:rPr>
        <w:t>the ACMA</w:t>
      </w:r>
      <w:r w:rsidRPr="47ACCDB0">
        <w:rPr>
          <w:color w:val="000000" w:themeColor="text1"/>
        </w:rPr>
        <w:t xml:space="preserve"> escalat</w:t>
      </w:r>
      <w:r w:rsidR="52193437" w:rsidRPr="47ACCDB0">
        <w:rPr>
          <w:color w:val="000000" w:themeColor="text1"/>
        </w:rPr>
        <w:t xml:space="preserve">ing its </w:t>
      </w:r>
      <w:r w:rsidRPr="47ACCDB0">
        <w:rPr>
          <w:color w:val="000000" w:themeColor="text1"/>
        </w:rPr>
        <w:t>enforcement actions</w:t>
      </w:r>
      <w:r w:rsidR="52193437" w:rsidRPr="47ACCDB0">
        <w:rPr>
          <w:color w:val="000000" w:themeColor="text1"/>
        </w:rPr>
        <w:t xml:space="preserve"> up the pyramid</w:t>
      </w:r>
      <w:r w:rsidR="3D68FD2E" w:rsidRPr="47ACCDB0">
        <w:rPr>
          <w:color w:val="000000" w:themeColor="text1"/>
        </w:rPr>
        <w:t>.</w:t>
      </w:r>
      <w:r w:rsidRPr="47ACCDB0">
        <w:rPr>
          <w:color w:val="000000" w:themeColor="text1"/>
        </w:rPr>
        <w:t xml:space="preserve"> </w:t>
      </w:r>
      <w:r w:rsidR="27BD6993" w:rsidRPr="47ACCDB0">
        <w:rPr>
          <w:color w:val="000000" w:themeColor="text1"/>
        </w:rPr>
        <w:t>In 2011</w:t>
      </w:r>
      <w:r w:rsidR="7EE2C28F" w:rsidRPr="47ACCDB0">
        <w:rPr>
          <w:color w:val="000000" w:themeColor="text1"/>
        </w:rPr>
        <w:t xml:space="preserve">, </w:t>
      </w:r>
      <w:r w:rsidR="00D11F2F">
        <w:rPr>
          <w:color w:val="000000" w:themeColor="text1"/>
        </w:rPr>
        <w:t>the ACMA</w:t>
      </w:r>
      <w:r w:rsidR="7EE2C28F" w:rsidRPr="47ACCDB0">
        <w:rPr>
          <w:color w:val="000000" w:themeColor="text1"/>
        </w:rPr>
        <w:t xml:space="preserve"> </w:t>
      </w:r>
      <w:r w:rsidR="1D15F07C" w:rsidRPr="47ACCDB0">
        <w:rPr>
          <w:color w:val="000000" w:themeColor="text1"/>
        </w:rPr>
        <w:t>used</w:t>
      </w:r>
      <w:r w:rsidR="60D16A5B" w:rsidRPr="47ACCDB0">
        <w:rPr>
          <w:color w:val="000000" w:themeColor="text1"/>
        </w:rPr>
        <w:t xml:space="preserve"> </w:t>
      </w:r>
      <w:r w:rsidR="35BEAA43" w:rsidRPr="47ACCDB0">
        <w:rPr>
          <w:color w:val="000000" w:themeColor="text1"/>
        </w:rPr>
        <w:t xml:space="preserve">its </w:t>
      </w:r>
      <w:r w:rsidR="1D15F07C" w:rsidRPr="47ACCDB0">
        <w:rPr>
          <w:color w:val="000000" w:themeColor="text1"/>
        </w:rPr>
        <w:t xml:space="preserve">strongest </w:t>
      </w:r>
      <w:r w:rsidR="60D16A5B" w:rsidRPr="47ACCDB0">
        <w:rPr>
          <w:color w:val="000000" w:themeColor="text1"/>
        </w:rPr>
        <w:t>administrative power</w:t>
      </w:r>
      <w:r w:rsidR="1D15F07C" w:rsidRPr="47ACCDB0">
        <w:rPr>
          <w:color w:val="000000" w:themeColor="text1"/>
        </w:rPr>
        <w:t>s</w:t>
      </w:r>
      <w:r w:rsidR="60D16A5B" w:rsidRPr="47ACCDB0">
        <w:rPr>
          <w:color w:val="000000" w:themeColor="text1"/>
        </w:rPr>
        <w:t xml:space="preserve"> </w:t>
      </w:r>
      <w:r w:rsidR="1D15F07C" w:rsidRPr="47ACCDB0">
        <w:rPr>
          <w:color w:val="000000" w:themeColor="text1"/>
        </w:rPr>
        <w:t xml:space="preserve">and </w:t>
      </w:r>
      <w:r w:rsidR="60D16A5B" w:rsidRPr="47ACCDB0">
        <w:rPr>
          <w:color w:val="000000" w:themeColor="text1"/>
        </w:rPr>
        <w:t>issue</w:t>
      </w:r>
      <w:r w:rsidR="1D15F07C" w:rsidRPr="47ACCDB0">
        <w:rPr>
          <w:color w:val="000000" w:themeColor="text1"/>
        </w:rPr>
        <w:t xml:space="preserve">d </w:t>
      </w:r>
      <w:r w:rsidR="7126A1D0" w:rsidRPr="47ACCDB0">
        <w:rPr>
          <w:color w:val="000000" w:themeColor="text1"/>
        </w:rPr>
        <w:t xml:space="preserve">the </w:t>
      </w:r>
      <w:r w:rsidR="60D16A5B" w:rsidRPr="47ACCDB0">
        <w:rPr>
          <w:color w:val="000000" w:themeColor="text1"/>
        </w:rPr>
        <w:t xml:space="preserve">remedial </w:t>
      </w:r>
      <w:r w:rsidR="51A9B920" w:rsidRPr="47ACCDB0">
        <w:rPr>
          <w:color w:val="000000" w:themeColor="text1"/>
        </w:rPr>
        <w:t>direction</w:t>
      </w:r>
      <w:r w:rsidR="4875086C" w:rsidRPr="47ACCDB0">
        <w:rPr>
          <w:color w:val="000000" w:themeColor="text1"/>
        </w:rPr>
        <w:t>s</w:t>
      </w:r>
      <w:r w:rsidR="51A9B920" w:rsidRPr="47ACCDB0">
        <w:rPr>
          <w:color w:val="000000" w:themeColor="text1"/>
        </w:rPr>
        <w:t xml:space="preserve"> </w:t>
      </w:r>
      <w:r w:rsidR="58FBA50B" w:rsidRPr="47ACCDB0">
        <w:rPr>
          <w:color w:val="000000" w:themeColor="text1"/>
        </w:rPr>
        <w:t xml:space="preserve">under s 102(2) of </w:t>
      </w:r>
      <w:r w:rsidR="3CE16FB1" w:rsidRPr="47ACCDB0">
        <w:rPr>
          <w:color w:val="000000" w:themeColor="text1"/>
        </w:rPr>
        <w:t>t</w:t>
      </w:r>
      <w:r w:rsidR="58FBA50B" w:rsidRPr="47ACCDB0">
        <w:rPr>
          <w:color w:val="000000" w:themeColor="text1"/>
        </w:rPr>
        <w:t xml:space="preserve">he </w:t>
      </w:r>
      <w:r w:rsidR="00AA7AED">
        <w:rPr>
          <w:color w:val="000000" w:themeColor="text1"/>
        </w:rPr>
        <w:t>Tel Act</w:t>
      </w:r>
      <w:r w:rsidR="7EE2C28F" w:rsidRPr="47ACCDB0">
        <w:rPr>
          <w:color w:val="000000" w:themeColor="text1"/>
        </w:rPr>
        <w:t xml:space="preserve">. </w:t>
      </w:r>
      <w:r w:rsidR="7126A1D0" w:rsidRPr="47ACCDB0">
        <w:rPr>
          <w:color w:val="000000" w:themeColor="text1"/>
        </w:rPr>
        <w:t>When th</w:t>
      </w:r>
      <w:r w:rsidR="71B17533" w:rsidRPr="47ACCDB0">
        <w:rPr>
          <w:color w:val="000000" w:themeColor="text1"/>
        </w:rPr>
        <w:t xml:space="preserve">ese were </w:t>
      </w:r>
      <w:r w:rsidR="7126A1D0" w:rsidRPr="47ACCDB0">
        <w:rPr>
          <w:color w:val="000000" w:themeColor="text1"/>
        </w:rPr>
        <w:t xml:space="preserve">not complied with, </w:t>
      </w:r>
      <w:r w:rsidR="00D11F2F">
        <w:rPr>
          <w:color w:val="000000" w:themeColor="text1"/>
        </w:rPr>
        <w:t>the ACMA</w:t>
      </w:r>
      <w:r w:rsidR="08C0EF04" w:rsidRPr="47ACCDB0">
        <w:rPr>
          <w:color w:val="000000" w:themeColor="text1"/>
        </w:rPr>
        <w:t xml:space="preserve"> appl</w:t>
      </w:r>
      <w:r w:rsidR="3240FC98" w:rsidRPr="47ACCDB0">
        <w:rPr>
          <w:color w:val="000000" w:themeColor="text1"/>
        </w:rPr>
        <w:t>ied</w:t>
      </w:r>
      <w:r w:rsidR="08C0EF04" w:rsidRPr="47ACCDB0">
        <w:rPr>
          <w:color w:val="000000" w:themeColor="text1"/>
        </w:rPr>
        <w:t xml:space="preserve"> to the Federal Court </w:t>
      </w:r>
      <w:r w:rsidR="4980002F" w:rsidRPr="47ACCDB0">
        <w:rPr>
          <w:color w:val="000000" w:themeColor="text1"/>
        </w:rPr>
        <w:t>for civil penalties.</w:t>
      </w:r>
      <w:r w:rsidR="070873DF" w:rsidRPr="47ACCDB0">
        <w:rPr>
          <w:color w:val="000000" w:themeColor="text1"/>
        </w:rPr>
        <w:t xml:space="preserve"> </w:t>
      </w:r>
    </w:p>
    <w:p w14:paraId="5712AA03" w14:textId="77777777" w:rsidR="00986145" w:rsidRDefault="00986145">
      <w:pPr>
        <w:rPr>
          <w:rFonts w:cstheme="minorHAnsi"/>
          <w:color w:val="0000FF"/>
          <w:sz w:val="20"/>
          <w:szCs w:val="20"/>
          <w:u w:val="single"/>
        </w:rPr>
      </w:pPr>
      <w:r>
        <w:rPr>
          <w:rFonts w:cstheme="minorHAnsi"/>
          <w:color w:val="0000FF"/>
          <w:sz w:val="20"/>
          <w:szCs w:val="20"/>
          <w:u w:val="single"/>
        </w:rPr>
        <w:br w:type="page"/>
      </w:r>
    </w:p>
    <w:p w14:paraId="21F46BEB" w14:textId="77777777" w:rsidR="00363F6E" w:rsidRDefault="00363F6E" w:rsidP="00986145">
      <w:pPr>
        <w:spacing w:before="100" w:beforeAutospacing="1" w:after="160" w:afterAutospacing="1" w:line="240" w:lineRule="auto"/>
        <w:ind w:left="284"/>
        <w:rPr>
          <w:color w:val="0000FF"/>
          <w:sz w:val="20"/>
          <w:szCs w:val="20"/>
          <w:u w:val="single"/>
        </w:rPr>
      </w:pPr>
    </w:p>
    <w:p w14:paraId="31A8CEE5" w14:textId="31F5135C" w:rsidR="00986145" w:rsidRPr="00AE4CB6" w:rsidRDefault="00986145" w:rsidP="00986145">
      <w:pPr>
        <w:spacing w:before="100" w:beforeAutospacing="1" w:after="160" w:afterAutospacing="1" w:line="240" w:lineRule="auto"/>
        <w:ind w:left="284"/>
        <w:rPr>
          <w:rFonts w:cstheme="minorHAnsi"/>
          <w:color w:val="0000FF"/>
          <w:sz w:val="20"/>
          <w:szCs w:val="20"/>
        </w:rPr>
      </w:pPr>
      <w:r w:rsidRPr="00F921CD">
        <w:rPr>
          <w:noProof/>
          <w:color w:val="0000FF"/>
          <w:u w:val="single"/>
        </w:rPr>
        <mc:AlternateContent>
          <mc:Choice Requires="wps">
            <w:drawing>
              <wp:anchor distT="0" distB="0" distL="114300" distR="114300" simplePos="0" relativeHeight="251658248" behindDoc="1" locked="0" layoutInCell="1" allowOverlap="1" wp14:anchorId="66FC181D" wp14:editId="11493F87">
                <wp:simplePos x="0" y="0"/>
                <wp:positionH relativeFrom="page">
                  <wp:posOffset>955675</wp:posOffset>
                </wp:positionH>
                <wp:positionV relativeFrom="paragraph">
                  <wp:posOffset>-254000</wp:posOffset>
                </wp:positionV>
                <wp:extent cx="5664530" cy="3892550"/>
                <wp:effectExtent l="12700" t="12700" r="12700" b="19050"/>
                <wp:wrapNone/>
                <wp:docPr id="10" name="Rounded 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64530" cy="3892550"/>
                        </a:xfrm>
                        <a:prstGeom prst="roundRect">
                          <a:avLst>
                            <a:gd name="adj" fmla="val 8367"/>
                          </a:avLst>
                        </a:prstGeom>
                        <a:noFill/>
                        <a:ln>
                          <a:solidFill>
                            <a:srgbClr val="0D41D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23AD5D2" w14:textId="77777777" w:rsidR="00712508" w:rsidRPr="00A323EB" w:rsidRDefault="00712508" w:rsidP="003E7A39">
                            <w:pPr>
                              <w:spacing w:after="160" w:line="240" w:lineRule="auto"/>
                              <w:rPr>
                                <w:rFonts w:cs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FC181D" id="Rounded Rectangle 10" o:spid="_x0000_s1031" style="position:absolute;left:0;text-align:left;margin-left:75.25pt;margin-top:-20pt;width:446.05pt;height:306.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54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" filled="f" strokecolor="#0d41d1" strokeweight="2pt">
                <v:textbox>
                  <w:txbxContent>
                    <w:p w14:paraId="723AD5D2" w14:textId="77777777" w:rsidR="00712508" w:rsidRPr="00A323EB" w:rsidRDefault="00712508" w:rsidP="003E7A39">
                      <w:pPr>
                        <w:spacing w:after="160" w:line="240" w:lineRule="auto"/>
                        <w:rPr>
                          <w:rFonts w:cstheme="minorHAnsi"/>
                          <w:color w:val="000000" w:themeColor="text1"/>
                          <w:sz w:val="20"/>
                          <w:szCs w:val="20"/>
                        </w:rPr>
                      </w:pPr>
                    </w:p>
                  </w:txbxContent>
                </v:textbox>
                <w10:wrap anchorx="page"/>
              </v:roundrect>
            </w:pict>
          </mc:Fallback>
        </mc:AlternateContent>
      </w:r>
      <w:r w:rsidR="4A5CE21F" w:rsidRPr="47ACCDB0">
        <w:rPr>
          <w:color w:val="0000FF"/>
          <w:sz w:val="20"/>
          <w:szCs w:val="20"/>
          <w:u w:val="single"/>
        </w:rPr>
        <w:t>Civil Penalty Case Study 2:</w:t>
      </w:r>
      <w:r w:rsidR="4A5CE21F" w:rsidRPr="47ACCDB0">
        <w:rPr>
          <w:color w:val="0000FF"/>
          <w:sz w:val="20"/>
          <w:szCs w:val="20"/>
        </w:rPr>
        <w:t xml:space="preserve"> </w:t>
      </w:r>
      <w:hyperlink r:id="rId36" w:history="1">
        <w:r w:rsidR="4A5CE21F" w:rsidRPr="12EC14AA">
          <w:rPr>
            <w:rStyle w:val="Hyperlink"/>
            <w:i/>
            <w:iCs/>
            <w:color w:val="0000FF"/>
            <w:sz w:val="20"/>
            <w:szCs w:val="20"/>
          </w:rPr>
          <w:t>Australian Communications and Media Authority v TPG Internet Pty Ltd</w:t>
        </w:r>
        <w:r w:rsidRPr="47ACCDB0">
          <w:rPr>
            <w:rStyle w:val="FootnoteReference"/>
            <w:color w:val="0000FF"/>
            <w:sz w:val="20"/>
            <w:szCs w:val="20"/>
            <w:u w:val="single"/>
          </w:rPr>
          <w:footnoteReference w:id="212"/>
        </w:r>
        <w:r w:rsidR="4A5CE21F" w:rsidRPr="12EC14AA">
          <w:rPr>
            <w:rStyle w:val="Hyperlink"/>
            <w:i/>
            <w:iCs/>
            <w:color w:val="0000FF"/>
            <w:sz w:val="20"/>
            <w:szCs w:val="20"/>
          </w:rPr>
          <w:t xml:space="preserve"> </w:t>
        </w:r>
      </w:hyperlink>
    </w:p>
    <w:p w14:paraId="3416066D" w14:textId="37730F90" w:rsidR="00986145" w:rsidRPr="00AE4CB6" w:rsidRDefault="001066FC" w:rsidP="47ACCDB0">
      <w:pPr>
        <w:spacing w:before="100" w:beforeAutospacing="1" w:after="160" w:afterAutospacing="1" w:line="240" w:lineRule="auto"/>
        <w:ind w:left="284" w:right="119"/>
        <w:rPr>
          <w:b/>
          <w:bCs/>
          <w:color w:val="000000" w:themeColor="text1"/>
          <w:sz w:val="20"/>
          <w:szCs w:val="20"/>
        </w:rPr>
      </w:pPr>
      <w:r>
        <w:rPr>
          <w:b/>
          <w:bCs/>
          <w:color w:val="000000" w:themeColor="text1"/>
          <w:sz w:val="20"/>
          <w:szCs w:val="20"/>
        </w:rPr>
        <w:t>T</w:t>
      </w:r>
      <w:r w:rsidR="00D11F2F">
        <w:rPr>
          <w:b/>
          <w:bCs/>
          <w:color w:val="000000" w:themeColor="text1"/>
          <w:sz w:val="20"/>
          <w:szCs w:val="20"/>
        </w:rPr>
        <w:t>he ACMA</w:t>
      </w:r>
      <w:r w:rsidR="4A5CE21F" w:rsidRPr="47ACCDB0">
        <w:rPr>
          <w:b/>
          <w:bCs/>
          <w:color w:val="000000" w:themeColor="text1"/>
          <w:sz w:val="20"/>
          <w:szCs w:val="20"/>
        </w:rPr>
        <w:t>’s claims against TPG Internet:</w:t>
      </w:r>
    </w:p>
    <w:p w14:paraId="4C015844" w14:textId="17A42BA4" w:rsidR="00986145" w:rsidRPr="00AE4CB6" w:rsidRDefault="00FE67BC" w:rsidP="001019BA">
      <w:pPr>
        <w:numPr>
          <w:ilvl w:val="0"/>
          <w:numId w:val="43"/>
        </w:numPr>
        <w:tabs>
          <w:tab w:val="clear" w:pos="720"/>
          <w:tab w:val="num" w:pos="851"/>
        </w:tabs>
        <w:spacing w:before="100" w:beforeAutospacing="1" w:after="160" w:afterAutospacing="1" w:line="240" w:lineRule="auto"/>
        <w:ind w:left="851" w:right="402"/>
        <w:rPr>
          <w:color w:val="000000" w:themeColor="text1"/>
          <w:sz w:val="20"/>
          <w:szCs w:val="20"/>
        </w:rPr>
      </w:pPr>
      <w:r>
        <w:rPr>
          <w:color w:val="000000" w:themeColor="text1"/>
          <w:sz w:val="20"/>
          <w:szCs w:val="20"/>
        </w:rPr>
        <w:t>T</w:t>
      </w:r>
      <w:r w:rsidR="00D11F2F">
        <w:rPr>
          <w:color w:val="000000" w:themeColor="text1"/>
          <w:sz w:val="20"/>
          <w:szCs w:val="20"/>
        </w:rPr>
        <w:t>he ACMA</w:t>
      </w:r>
      <w:r w:rsidR="4A5CE21F" w:rsidRPr="47ACCDB0">
        <w:rPr>
          <w:color w:val="000000" w:themeColor="text1"/>
          <w:sz w:val="20"/>
          <w:szCs w:val="20"/>
        </w:rPr>
        <w:t xml:space="preserve"> sought a civil penalty against TPG Internet Pty Ltd (TPG) for failing to provide access to emergency services for some of its customers.</w:t>
      </w:r>
    </w:p>
    <w:p w14:paraId="6AA40C48" w14:textId="52532FFD" w:rsidR="00986145" w:rsidRPr="00AE4CB6" w:rsidRDefault="00986145" w:rsidP="001019BA">
      <w:pPr>
        <w:numPr>
          <w:ilvl w:val="0"/>
          <w:numId w:val="43"/>
        </w:numPr>
        <w:tabs>
          <w:tab w:val="clear" w:pos="720"/>
          <w:tab w:val="num" w:pos="851"/>
        </w:tabs>
        <w:spacing w:before="100" w:beforeAutospacing="1" w:after="160" w:afterAutospacing="1" w:line="240" w:lineRule="auto"/>
        <w:ind w:left="851" w:right="402"/>
        <w:rPr>
          <w:rFonts w:cstheme="minorHAnsi"/>
          <w:color w:val="000000" w:themeColor="text1"/>
          <w:sz w:val="20"/>
          <w:szCs w:val="20"/>
        </w:rPr>
      </w:pPr>
      <w:r w:rsidRPr="00AE4CB6">
        <w:rPr>
          <w:rFonts w:cstheme="minorHAnsi"/>
          <w:color w:val="000000" w:themeColor="text1"/>
          <w:sz w:val="20"/>
          <w:szCs w:val="20"/>
        </w:rPr>
        <w:t xml:space="preserve">TPG admitted that it breached the </w:t>
      </w:r>
      <w:r w:rsidRPr="00AE4CB6">
        <w:rPr>
          <w:rFonts w:cstheme="minorHAnsi"/>
          <w:b/>
          <w:bCs/>
          <w:color w:val="000000" w:themeColor="text1"/>
          <w:sz w:val="20"/>
          <w:szCs w:val="20"/>
        </w:rPr>
        <w:t>Telecommunications (Emergency Call Service) Determination 2009 (the</w:t>
      </w:r>
      <w:r>
        <w:rPr>
          <w:rFonts w:cstheme="minorHAnsi"/>
          <w:b/>
          <w:bCs/>
          <w:color w:val="000000" w:themeColor="text1"/>
          <w:sz w:val="20"/>
          <w:szCs w:val="20"/>
        </w:rPr>
        <w:t xml:space="preserve"> ECS</w:t>
      </w:r>
      <w:r w:rsidRPr="00AE4CB6">
        <w:rPr>
          <w:rFonts w:cstheme="minorHAnsi"/>
          <w:b/>
          <w:bCs/>
          <w:color w:val="000000" w:themeColor="text1"/>
          <w:sz w:val="20"/>
          <w:szCs w:val="20"/>
        </w:rPr>
        <w:t xml:space="preserve"> Determination)</w:t>
      </w:r>
      <w:r w:rsidRPr="00AE4CB6">
        <w:rPr>
          <w:rFonts w:cstheme="minorHAnsi"/>
          <w:color w:val="000000" w:themeColor="text1"/>
          <w:sz w:val="20"/>
          <w:szCs w:val="20"/>
        </w:rPr>
        <w:t xml:space="preserve"> by not ensuring that its systems and networks enabled end users of its home phone service to access the </w:t>
      </w:r>
      <w:r>
        <w:rPr>
          <w:rFonts w:cstheme="minorHAnsi"/>
          <w:color w:val="000000" w:themeColor="text1"/>
          <w:sz w:val="20"/>
          <w:szCs w:val="20"/>
        </w:rPr>
        <w:t>‘</w:t>
      </w:r>
      <w:r w:rsidRPr="00AE4CB6">
        <w:rPr>
          <w:rFonts w:cstheme="minorHAnsi"/>
          <w:color w:val="000000" w:themeColor="text1"/>
          <w:sz w:val="20"/>
          <w:szCs w:val="20"/>
        </w:rPr>
        <w:t>000</w:t>
      </w:r>
      <w:r>
        <w:rPr>
          <w:rFonts w:cstheme="minorHAnsi"/>
          <w:color w:val="000000" w:themeColor="text1"/>
          <w:sz w:val="20"/>
          <w:szCs w:val="20"/>
        </w:rPr>
        <w:t>’</w:t>
      </w:r>
      <w:r w:rsidRPr="00AE4CB6">
        <w:rPr>
          <w:rFonts w:cstheme="minorHAnsi"/>
          <w:color w:val="000000" w:themeColor="text1"/>
          <w:sz w:val="20"/>
          <w:szCs w:val="20"/>
        </w:rPr>
        <w:t xml:space="preserve"> emergency call service. </w:t>
      </w:r>
    </w:p>
    <w:p w14:paraId="32780F5B" w14:textId="3F84A0EC" w:rsidR="00986145" w:rsidRPr="00AE4CB6" w:rsidRDefault="4A5CE21F" w:rsidP="47ACCDB0">
      <w:pPr>
        <w:spacing w:before="100" w:beforeAutospacing="1" w:after="160" w:afterAutospacing="1" w:line="240" w:lineRule="auto"/>
        <w:ind w:left="284" w:right="402"/>
        <w:rPr>
          <w:color w:val="000000" w:themeColor="text1"/>
          <w:sz w:val="20"/>
          <w:szCs w:val="20"/>
        </w:rPr>
      </w:pPr>
      <w:r w:rsidRPr="47ACCDB0">
        <w:rPr>
          <w:color w:val="000000" w:themeColor="text1"/>
          <w:sz w:val="20"/>
          <w:szCs w:val="20"/>
        </w:rPr>
        <w:t xml:space="preserve">On 16 April 2014, the Federal Court found that TPG contravened both </w:t>
      </w:r>
      <w:r w:rsidRPr="47ACCDB0">
        <w:rPr>
          <w:b/>
          <w:bCs/>
          <w:color w:val="000000" w:themeColor="text1"/>
          <w:sz w:val="20"/>
          <w:szCs w:val="20"/>
        </w:rPr>
        <w:t>sections 13 and 19 of the ECS Determination</w:t>
      </w:r>
      <w:r w:rsidR="40597051" w:rsidRPr="47ACCDB0">
        <w:rPr>
          <w:b/>
          <w:bCs/>
          <w:color w:val="000000" w:themeColor="text1"/>
          <w:sz w:val="20"/>
          <w:szCs w:val="20"/>
        </w:rPr>
        <w:t xml:space="preserve"> </w:t>
      </w:r>
      <w:r w:rsidR="40597051" w:rsidRPr="47ACCDB0">
        <w:rPr>
          <w:color w:val="000000" w:themeColor="text1"/>
          <w:sz w:val="20"/>
          <w:szCs w:val="20"/>
        </w:rPr>
        <w:t>and</w:t>
      </w:r>
      <w:r w:rsidRPr="47ACCDB0">
        <w:rPr>
          <w:color w:val="000000" w:themeColor="text1"/>
          <w:sz w:val="20"/>
          <w:szCs w:val="20"/>
        </w:rPr>
        <w:t xml:space="preserve"> </w:t>
      </w:r>
      <w:r w:rsidR="40597051" w:rsidRPr="47ACCDB0">
        <w:rPr>
          <w:color w:val="000000" w:themeColor="text1"/>
          <w:sz w:val="20"/>
          <w:szCs w:val="20"/>
        </w:rPr>
        <w:t xml:space="preserve">s 148(1) of the </w:t>
      </w:r>
      <w:r w:rsidR="007D3A83" w:rsidRPr="00EB31F6">
        <w:rPr>
          <w:b/>
          <w:bCs/>
          <w:color w:val="000000" w:themeColor="text1"/>
          <w:sz w:val="20"/>
          <w:szCs w:val="20"/>
        </w:rPr>
        <w:t>TCPSS Act</w:t>
      </w:r>
      <w:r w:rsidR="0E702B96" w:rsidRPr="47ACCDB0">
        <w:rPr>
          <w:color w:val="000000" w:themeColor="text1"/>
          <w:sz w:val="20"/>
          <w:szCs w:val="20"/>
        </w:rPr>
        <w:t xml:space="preserve"> </w:t>
      </w:r>
      <w:r w:rsidRPr="47ACCDB0">
        <w:rPr>
          <w:color w:val="000000" w:themeColor="text1"/>
          <w:sz w:val="20"/>
          <w:szCs w:val="20"/>
        </w:rPr>
        <w:t xml:space="preserve">and ordered TPG to pay a total of </w:t>
      </w:r>
      <w:r w:rsidRPr="47ACCDB0">
        <w:rPr>
          <w:b/>
          <w:bCs/>
          <w:color w:val="000000" w:themeColor="text1"/>
          <w:sz w:val="20"/>
          <w:szCs w:val="20"/>
        </w:rPr>
        <w:t>$400,000 in civil penalties</w:t>
      </w:r>
      <w:r w:rsidRPr="47ACCDB0">
        <w:rPr>
          <w:color w:val="000000" w:themeColor="text1"/>
          <w:sz w:val="20"/>
          <w:szCs w:val="20"/>
        </w:rPr>
        <w:t>.</w:t>
      </w:r>
      <w:r w:rsidR="00156E71">
        <w:rPr>
          <w:rStyle w:val="FootnoteReference"/>
          <w:color w:val="000000" w:themeColor="text1"/>
          <w:sz w:val="20"/>
          <w:szCs w:val="20"/>
        </w:rPr>
        <w:footnoteReference w:id="213"/>
      </w:r>
      <w:r w:rsidRPr="47ACCDB0">
        <w:rPr>
          <w:color w:val="000000" w:themeColor="text1"/>
          <w:sz w:val="20"/>
          <w:szCs w:val="20"/>
        </w:rPr>
        <w:t xml:space="preserve"> The Court considered the nature and extent of the contraventions, the loss or damage suffered, the circumstances of the contraventions, and TPG’s previous conduct.</w:t>
      </w:r>
    </w:p>
    <w:p w14:paraId="42F1F0CC" w14:textId="580221AE" w:rsidR="00986145" w:rsidRDefault="00FE67BC" w:rsidP="47ACCDB0">
      <w:pPr>
        <w:spacing w:before="100" w:beforeAutospacing="1" w:after="160" w:afterAutospacing="1" w:line="240" w:lineRule="auto"/>
        <w:ind w:left="284" w:right="119"/>
        <w:rPr>
          <w:b/>
          <w:bCs/>
          <w:color w:val="000000" w:themeColor="text1"/>
          <w:sz w:val="20"/>
          <w:szCs w:val="20"/>
        </w:rPr>
      </w:pPr>
      <w:r>
        <w:rPr>
          <w:b/>
          <w:bCs/>
          <w:color w:val="000000" w:themeColor="text1"/>
          <w:sz w:val="20"/>
          <w:szCs w:val="20"/>
        </w:rPr>
        <w:t>T</w:t>
      </w:r>
      <w:r w:rsidR="00D11F2F">
        <w:rPr>
          <w:b/>
          <w:bCs/>
          <w:color w:val="000000" w:themeColor="text1"/>
          <w:sz w:val="20"/>
          <w:szCs w:val="20"/>
        </w:rPr>
        <w:t>he ACMA</w:t>
      </w:r>
      <w:r w:rsidR="4A5CE21F" w:rsidRPr="47ACCDB0">
        <w:rPr>
          <w:b/>
          <w:bCs/>
          <w:color w:val="000000" w:themeColor="text1"/>
          <w:sz w:val="20"/>
          <w:szCs w:val="20"/>
        </w:rPr>
        <w:t>’s actions before going to court:</w:t>
      </w:r>
    </w:p>
    <w:p w14:paraId="56AF9AAC" w14:textId="0CB70BE3" w:rsidR="00986145" w:rsidRPr="00EB7601" w:rsidRDefault="00FE67BC" w:rsidP="001019BA">
      <w:pPr>
        <w:pStyle w:val="ListParagraph"/>
        <w:numPr>
          <w:ilvl w:val="0"/>
          <w:numId w:val="43"/>
        </w:numPr>
        <w:tabs>
          <w:tab w:val="clear" w:pos="720"/>
          <w:tab w:val="num" w:pos="851"/>
          <w:tab w:val="left" w:pos="8080"/>
        </w:tabs>
        <w:spacing w:before="100" w:beforeAutospacing="1" w:after="160" w:afterAutospacing="1" w:line="240" w:lineRule="auto"/>
        <w:ind w:left="851" w:right="402"/>
        <w:rPr>
          <w:b/>
          <w:bCs/>
          <w:color w:val="000000" w:themeColor="text1"/>
          <w:sz w:val="20"/>
          <w:szCs w:val="20"/>
        </w:rPr>
      </w:pPr>
      <w:r>
        <w:rPr>
          <w:color w:val="000000" w:themeColor="text1"/>
          <w:sz w:val="20"/>
          <w:szCs w:val="20"/>
        </w:rPr>
        <w:t>T</w:t>
      </w:r>
      <w:r w:rsidR="00D11F2F">
        <w:rPr>
          <w:color w:val="000000" w:themeColor="text1"/>
          <w:sz w:val="20"/>
          <w:szCs w:val="20"/>
        </w:rPr>
        <w:t>he ACMA</w:t>
      </w:r>
      <w:r w:rsidR="4A5CE21F" w:rsidRPr="47ACCDB0">
        <w:rPr>
          <w:color w:val="000000" w:themeColor="text1"/>
          <w:sz w:val="20"/>
          <w:szCs w:val="20"/>
        </w:rPr>
        <w:t xml:space="preserve"> investigated TPG’s compliance with </w:t>
      </w:r>
      <w:r w:rsidR="00743D46" w:rsidRPr="00EB31F6">
        <w:rPr>
          <w:color w:val="000000" w:themeColor="text1"/>
          <w:sz w:val="20"/>
          <w:szCs w:val="20"/>
        </w:rPr>
        <w:t>t</w:t>
      </w:r>
      <w:r w:rsidR="4A5CE21F" w:rsidRPr="00EB31F6">
        <w:rPr>
          <w:color w:val="000000" w:themeColor="text1"/>
          <w:sz w:val="20"/>
          <w:szCs w:val="20"/>
        </w:rPr>
        <w:t>he</w:t>
      </w:r>
      <w:r w:rsidR="4A5CE21F" w:rsidRPr="47ACCDB0">
        <w:rPr>
          <w:b/>
          <w:bCs/>
          <w:color w:val="000000" w:themeColor="text1"/>
          <w:sz w:val="20"/>
          <w:szCs w:val="20"/>
        </w:rPr>
        <w:t xml:space="preserve"> ECS Determination</w:t>
      </w:r>
      <w:r w:rsidR="4A5CE21F" w:rsidRPr="47ACCDB0">
        <w:rPr>
          <w:color w:val="000000" w:themeColor="text1"/>
          <w:sz w:val="20"/>
          <w:szCs w:val="20"/>
        </w:rPr>
        <w:t xml:space="preserve"> after receiving a complaint from a customer who was unable to connect with emergency services. As a result of its investigation, the</w:t>
      </w:r>
      <w:r w:rsidR="00D11F2F">
        <w:rPr>
          <w:color w:val="000000" w:themeColor="text1"/>
          <w:sz w:val="20"/>
          <w:szCs w:val="20"/>
        </w:rPr>
        <w:t xml:space="preserve"> ACMA</w:t>
      </w:r>
      <w:r w:rsidR="4A5CE21F" w:rsidRPr="47ACCDB0">
        <w:rPr>
          <w:color w:val="000000" w:themeColor="text1"/>
          <w:sz w:val="20"/>
          <w:szCs w:val="20"/>
        </w:rPr>
        <w:t xml:space="preserve"> initiated court proceedings.</w:t>
      </w:r>
    </w:p>
    <w:p w14:paraId="6A4D48F7" w14:textId="77777777" w:rsidR="00363F6E" w:rsidRDefault="00363F6E" w:rsidP="00986145">
      <w:pPr>
        <w:tabs>
          <w:tab w:val="left" w:pos="3450"/>
        </w:tabs>
        <w:rPr>
          <w:rFonts w:cstheme="minorHAnsi"/>
          <w:color w:val="000000" w:themeColor="text1"/>
        </w:rPr>
      </w:pPr>
    </w:p>
    <w:p w14:paraId="29CDAD26" w14:textId="3DF92F6C" w:rsidR="00986145" w:rsidRDefault="00986145" w:rsidP="00986145">
      <w:pPr>
        <w:tabs>
          <w:tab w:val="left" w:pos="3450"/>
        </w:tabs>
        <w:rPr>
          <w:rFonts w:cstheme="minorHAnsi"/>
          <w:color w:val="000000" w:themeColor="text1"/>
        </w:rPr>
      </w:pPr>
      <w:r w:rsidRPr="00D51C51">
        <w:rPr>
          <w:rFonts w:cstheme="minorHAnsi"/>
          <w:color w:val="000000" w:themeColor="text1"/>
        </w:rPr>
        <w:t xml:space="preserve">This case was the first time the </w:t>
      </w:r>
      <w:r w:rsidR="00D11F2F">
        <w:rPr>
          <w:rFonts w:cstheme="minorHAnsi"/>
          <w:color w:val="000000" w:themeColor="text1"/>
        </w:rPr>
        <w:t>ACMA</w:t>
      </w:r>
      <w:r w:rsidRPr="00D51C51">
        <w:rPr>
          <w:rFonts w:cstheme="minorHAnsi"/>
          <w:color w:val="000000" w:themeColor="text1"/>
        </w:rPr>
        <w:t xml:space="preserve"> had initiated court proceedings for breaches of the </w:t>
      </w:r>
      <w:r w:rsidRPr="00581B0F">
        <w:rPr>
          <w:rFonts w:cstheme="minorHAnsi"/>
          <w:color w:val="000000" w:themeColor="text1"/>
        </w:rPr>
        <w:t>ECS Determination</w:t>
      </w:r>
      <w:r w:rsidRPr="00D51C51">
        <w:rPr>
          <w:rFonts w:cstheme="minorHAnsi"/>
          <w:color w:val="000000" w:themeColor="text1"/>
        </w:rPr>
        <w:t xml:space="preserve">. </w:t>
      </w:r>
      <w:r w:rsidR="00FE67BC">
        <w:rPr>
          <w:rFonts w:cstheme="minorHAnsi"/>
          <w:color w:val="000000" w:themeColor="text1"/>
        </w:rPr>
        <w:t>T</w:t>
      </w:r>
      <w:r w:rsidR="00D11F2F">
        <w:rPr>
          <w:rFonts w:cstheme="minorHAnsi"/>
          <w:color w:val="000000" w:themeColor="text1"/>
        </w:rPr>
        <w:t>he ACMA</w:t>
      </w:r>
      <w:r>
        <w:rPr>
          <w:rFonts w:cstheme="minorHAnsi"/>
          <w:color w:val="000000" w:themeColor="text1"/>
        </w:rPr>
        <w:t xml:space="preserve"> most likely decided to pursue civil penalties in the first instance because of the following factors:</w:t>
      </w:r>
    </w:p>
    <w:p w14:paraId="52785D86" w14:textId="04986E7E" w:rsidR="00986145" w:rsidRDefault="440F67E1" w:rsidP="001019BA">
      <w:pPr>
        <w:pStyle w:val="ListParagraph"/>
        <w:numPr>
          <w:ilvl w:val="0"/>
          <w:numId w:val="43"/>
        </w:numPr>
        <w:tabs>
          <w:tab w:val="left" w:pos="3450"/>
        </w:tabs>
        <w:rPr>
          <w:color w:val="000000" w:themeColor="text1"/>
        </w:rPr>
      </w:pPr>
      <w:r w:rsidRPr="47ACCDB0">
        <w:rPr>
          <w:color w:val="000000" w:themeColor="text1"/>
        </w:rPr>
        <w:t>t</w:t>
      </w:r>
      <w:r w:rsidR="4A5CE21F" w:rsidRPr="47ACCDB0">
        <w:rPr>
          <w:color w:val="000000" w:themeColor="text1"/>
        </w:rPr>
        <w:t xml:space="preserve">he harm and detriment </w:t>
      </w:r>
      <w:r w:rsidR="00743D46">
        <w:rPr>
          <w:color w:val="000000" w:themeColor="text1"/>
        </w:rPr>
        <w:t xml:space="preserve">that was or could have been caused by </w:t>
      </w:r>
      <w:r w:rsidR="4A5CE21F" w:rsidRPr="47ACCDB0">
        <w:rPr>
          <w:color w:val="000000" w:themeColor="text1"/>
        </w:rPr>
        <w:t xml:space="preserve">non-compliance with the ECS Determination </w:t>
      </w:r>
    </w:p>
    <w:p w14:paraId="6EA8CBE6" w14:textId="739388E5" w:rsidR="00986145" w:rsidRDefault="440F67E1" w:rsidP="001019BA">
      <w:pPr>
        <w:pStyle w:val="ListParagraph"/>
        <w:numPr>
          <w:ilvl w:val="0"/>
          <w:numId w:val="43"/>
        </w:numPr>
        <w:tabs>
          <w:tab w:val="left" w:pos="3450"/>
        </w:tabs>
        <w:rPr>
          <w:color w:val="000000" w:themeColor="text1"/>
        </w:rPr>
      </w:pPr>
      <w:r w:rsidRPr="47ACCDB0">
        <w:rPr>
          <w:color w:val="000000" w:themeColor="text1"/>
        </w:rPr>
        <w:t>t</w:t>
      </w:r>
      <w:r w:rsidR="4A5CE21F" w:rsidRPr="47ACCDB0">
        <w:rPr>
          <w:color w:val="000000" w:themeColor="text1"/>
        </w:rPr>
        <w:t>he regulatory objective of ensuring end users have access to emergency services</w:t>
      </w:r>
    </w:p>
    <w:p w14:paraId="5CA317CF" w14:textId="14BE028C" w:rsidR="00986145" w:rsidRDefault="4A5CE21F" w:rsidP="001019BA">
      <w:pPr>
        <w:pStyle w:val="ListParagraph"/>
        <w:numPr>
          <w:ilvl w:val="0"/>
          <w:numId w:val="43"/>
        </w:numPr>
        <w:tabs>
          <w:tab w:val="left" w:pos="3450"/>
        </w:tabs>
        <w:rPr>
          <w:color w:val="000000" w:themeColor="text1"/>
        </w:rPr>
      </w:pPr>
      <w:r w:rsidRPr="47ACCDB0">
        <w:rPr>
          <w:color w:val="000000" w:themeColor="text1"/>
        </w:rPr>
        <w:t>TPG’s systems issues that gave rise to the breaches</w:t>
      </w:r>
    </w:p>
    <w:p w14:paraId="77D557B5" w14:textId="0F40B2BE" w:rsidR="00986145" w:rsidRPr="00A90D4C" w:rsidRDefault="440F67E1" w:rsidP="001019BA">
      <w:pPr>
        <w:pStyle w:val="ListParagraph"/>
        <w:numPr>
          <w:ilvl w:val="0"/>
          <w:numId w:val="43"/>
        </w:numPr>
        <w:tabs>
          <w:tab w:val="left" w:pos="3450"/>
        </w:tabs>
        <w:rPr>
          <w:color w:val="000000" w:themeColor="text1"/>
        </w:rPr>
      </w:pPr>
      <w:r w:rsidRPr="47ACCDB0">
        <w:rPr>
          <w:color w:val="000000" w:themeColor="text1"/>
        </w:rPr>
        <w:t>t</w:t>
      </w:r>
      <w:r w:rsidR="4A5CE21F" w:rsidRPr="47ACCDB0">
        <w:rPr>
          <w:color w:val="000000" w:themeColor="text1"/>
        </w:rPr>
        <w:t>he deterrent effect of seeking a civil penalty.</w:t>
      </w:r>
    </w:p>
    <w:p w14:paraId="04D004FB" w14:textId="69C6A4D7" w:rsidR="00195067" w:rsidRDefault="4A5CE21F">
      <w:pPr>
        <w:rPr>
          <w:rFonts w:cstheme="minorHAnsi"/>
          <w:color w:val="000000" w:themeColor="text1"/>
        </w:rPr>
      </w:pPr>
      <w:r w:rsidRPr="47ACCDB0">
        <w:rPr>
          <w:color w:val="000000" w:themeColor="text1"/>
        </w:rPr>
        <w:t xml:space="preserve">TPG did cooperate with the </w:t>
      </w:r>
      <w:r w:rsidR="00D11F2F">
        <w:rPr>
          <w:color w:val="000000" w:themeColor="text1"/>
        </w:rPr>
        <w:t>ACMA</w:t>
      </w:r>
      <w:r w:rsidRPr="47ACCDB0">
        <w:rPr>
          <w:color w:val="000000" w:themeColor="text1"/>
        </w:rPr>
        <w:t xml:space="preserve">, and the breaches were not deliberate. However, in deciding to initiate court proceedings for this breach, </w:t>
      </w:r>
      <w:r w:rsidR="00D11F2F">
        <w:rPr>
          <w:color w:val="000000" w:themeColor="text1"/>
        </w:rPr>
        <w:t>the ACMA</w:t>
      </w:r>
      <w:r w:rsidRPr="47ACCDB0">
        <w:rPr>
          <w:color w:val="000000" w:themeColor="text1"/>
        </w:rPr>
        <w:t xml:space="preserve"> presumably gave greater weight to ‘the seriousness of the breach and the level of harm’.</w:t>
      </w:r>
      <w:r w:rsidR="00986145" w:rsidRPr="47ACCDB0">
        <w:rPr>
          <w:color w:val="000000" w:themeColor="text1"/>
          <w:vertAlign w:val="superscript"/>
        </w:rPr>
        <w:footnoteReference w:id="214"/>
      </w:r>
      <w:r w:rsidRPr="47ACCDB0">
        <w:rPr>
          <w:color w:val="000000" w:themeColor="text1"/>
        </w:rPr>
        <w:t xml:space="preserve"> </w:t>
      </w:r>
      <w:r w:rsidR="00195067" w:rsidRPr="47ACCDB0">
        <w:rPr>
          <w:color w:val="000000" w:themeColor="text1"/>
        </w:rPr>
        <w:br w:type="page"/>
      </w:r>
    </w:p>
    <w:p w14:paraId="3B5BCE2D" w14:textId="16240A99" w:rsidR="001B25F8" w:rsidRDefault="00AA35F7" w:rsidP="006C4ABD">
      <w:pPr>
        <w:spacing w:after="160" w:line="240" w:lineRule="auto"/>
        <w:rPr>
          <w:rFonts w:cstheme="minorHAnsi"/>
          <w:color w:val="000000" w:themeColor="text1"/>
        </w:rPr>
      </w:pPr>
      <w:r w:rsidRPr="00F921CD">
        <w:rPr>
          <w:noProof/>
          <w:color w:val="0000FF"/>
          <w:u w:val="single"/>
        </w:rPr>
        <w:lastRenderedPageBreak/>
        <mc:AlternateContent>
          <mc:Choice Requires="wps">
            <w:drawing>
              <wp:anchor distT="0" distB="0" distL="114300" distR="114300" simplePos="0" relativeHeight="251658243" behindDoc="1" locked="0" layoutInCell="1" allowOverlap="1" wp14:anchorId="4FB66357" wp14:editId="10D95385">
                <wp:simplePos x="0" y="0"/>
                <wp:positionH relativeFrom="margin">
                  <wp:align>right</wp:align>
                </wp:positionH>
                <wp:positionV relativeFrom="paragraph">
                  <wp:posOffset>15875</wp:posOffset>
                </wp:positionV>
                <wp:extent cx="5546785" cy="3740150"/>
                <wp:effectExtent l="0" t="0" r="15875" b="12700"/>
                <wp:wrapNone/>
                <wp:docPr id="9" name="Rounded 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46785" cy="3740150"/>
                        </a:xfrm>
                        <a:prstGeom prst="roundRect">
                          <a:avLst>
                            <a:gd name="adj" fmla="val 12217"/>
                          </a:avLst>
                        </a:prstGeom>
                        <a:noFill/>
                        <a:ln>
                          <a:solidFill>
                            <a:srgbClr val="0D41D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0E3054" w14:textId="77777777" w:rsidR="00712508" w:rsidRPr="00A323EB" w:rsidRDefault="00712508" w:rsidP="00F6618A">
                            <w:pPr>
                              <w:spacing w:after="160" w:line="240" w:lineRule="auto"/>
                              <w:rPr>
                                <w:rFonts w:cstheme="minorHAnsi"/>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B66357" id="Rounded Rectangle 9" o:spid="_x0000_s1032" style="position:absolute;left:0;text-align:left;margin-left:385.55pt;margin-top:1.25pt;width:436.75pt;height:294.5pt;z-index:-25165823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80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" filled="f" strokecolor="#0d41d1" strokeweight="2pt">
                <v:textbox>
                  <w:txbxContent>
                    <w:p w14:paraId="590E3054" w14:textId="77777777" w:rsidR="00712508" w:rsidRPr="00A323EB" w:rsidRDefault="00712508" w:rsidP="00F6618A">
                      <w:pPr>
                        <w:spacing w:after="160" w:line="240" w:lineRule="auto"/>
                        <w:rPr>
                          <w:rFonts w:cstheme="minorHAnsi"/>
                          <w:color w:val="000000" w:themeColor="text1"/>
                          <w:sz w:val="20"/>
                          <w:szCs w:val="20"/>
                        </w:rPr>
                      </w:pPr>
                    </w:p>
                  </w:txbxContent>
                </v:textbox>
                <w10:wrap anchorx="margin"/>
              </v:roundrect>
            </w:pict>
          </mc:Fallback>
        </mc:AlternateContent>
      </w:r>
    </w:p>
    <w:p w14:paraId="4C0168A4" w14:textId="7EE4B526" w:rsidR="001B25F8" w:rsidRPr="001B25F8" w:rsidRDefault="55C31043" w:rsidP="00AA35F7">
      <w:pPr>
        <w:spacing w:after="160" w:line="240" w:lineRule="auto"/>
        <w:ind w:left="284" w:right="379"/>
        <w:rPr>
          <w:rFonts w:cstheme="minorHAnsi"/>
          <w:color w:val="000000" w:themeColor="text1"/>
          <w:sz w:val="20"/>
          <w:szCs w:val="20"/>
        </w:rPr>
      </w:pPr>
      <w:r w:rsidRPr="47ACCDB0">
        <w:rPr>
          <w:color w:val="0000FF"/>
          <w:sz w:val="20"/>
          <w:szCs w:val="20"/>
          <w:u w:val="single"/>
        </w:rPr>
        <w:t xml:space="preserve">Civil Penalty Case Study </w:t>
      </w:r>
      <w:r w:rsidR="18738DC9" w:rsidRPr="47ACCDB0">
        <w:rPr>
          <w:color w:val="0000FF"/>
          <w:sz w:val="20"/>
          <w:szCs w:val="20"/>
          <w:u w:val="single"/>
        </w:rPr>
        <w:t>3</w:t>
      </w:r>
      <w:r w:rsidRPr="47ACCDB0">
        <w:rPr>
          <w:color w:val="0000FF"/>
          <w:sz w:val="20"/>
          <w:szCs w:val="20"/>
          <w:u w:val="single"/>
        </w:rPr>
        <w:t>:</w:t>
      </w:r>
      <w:r w:rsidRPr="12EC14AA">
        <w:rPr>
          <w:i/>
          <w:iCs/>
          <w:color w:val="0000FF"/>
          <w:sz w:val="20"/>
          <w:szCs w:val="20"/>
          <w:u w:val="single"/>
        </w:rPr>
        <w:t xml:space="preserve"> </w:t>
      </w:r>
      <w:hyperlink r:id="rId37" w:history="1">
        <w:r w:rsidRPr="12EC14AA">
          <w:rPr>
            <w:rStyle w:val="Hyperlink"/>
            <w:i/>
            <w:iCs/>
            <w:sz w:val="20"/>
            <w:szCs w:val="20"/>
          </w:rPr>
          <w:t>Australian Communications and Media Authority v Limni Enterprises Pty Ltd (formerly known as Red Telecom Pty Ltd)</w:t>
        </w:r>
      </w:hyperlink>
      <w:r w:rsidR="00F6618A" w:rsidRPr="47ACCDB0">
        <w:rPr>
          <w:rStyle w:val="FootnoteReference"/>
          <w:color w:val="000000" w:themeColor="text1"/>
          <w:sz w:val="20"/>
          <w:szCs w:val="20"/>
        </w:rPr>
        <w:footnoteReference w:id="215"/>
      </w:r>
      <w:r w:rsidR="5FDAAC28" w:rsidRPr="47ACCDB0">
        <w:rPr>
          <w:color w:val="000000" w:themeColor="text1"/>
          <w:sz w:val="20"/>
          <w:szCs w:val="20"/>
        </w:rPr>
        <w:t xml:space="preserve"> </w:t>
      </w:r>
    </w:p>
    <w:p w14:paraId="6D1842AD" w14:textId="7439C2DB" w:rsidR="001B25F8" w:rsidRPr="001B25F8" w:rsidRDefault="00FE67BC" w:rsidP="47ACCDB0">
      <w:pPr>
        <w:spacing w:after="160" w:line="240" w:lineRule="auto"/>
        <w:ind w:left="284" w:right="379"/>
        <w:rPr>
          <w:color w:val="000000" w:themeColor="text1"/>
          <w:sz w:val="20"/>
          <w:szCs w:val="20"/>
        </w:rPr>
      </w:pPr>
      <w:r>
        <w:rPr>
          <w:b/>
          <w:bCs/>
          <w:color w:val="000000" w:themeColor="text1"/>
          <w:sz w:val="20"/>
          <w:szCs w:val="20"/>
        </w:rPr>
        <w:t>T</w:t>
      </w:r>
      <w:r w:rsidR="00D11F2F">
        <w:rPr>
          <w:b/>
          <w:bCs/>
          <w:color w:val="000000" w:themeColor="text1"/>
          <w:sz w:val="20"/>
          <w:szCs w:val="20"/>
        </w:rPr>
        <w:t>he ACMA</w:t>
      </w:r>
      <w:r w:rsidR="7C7F278F" w:rsidRPr="47ACCDB0">
        <w:rPr>
          <w:b/>
          <w:bCs/>
          <w:color w:val="000000" w:themeColor="text1"/>
          <w:sz w:val="20"/>
          <w:szCs w:val="20"/>
        </w:rPr>
        <w:t xml:space="preserve">’s claims against </w:t>
      </w:r>
      <w:r w:rsidR="55C31043" w:rsidRPr="47ACCDB0">
        <w:rPr>
          <w:b/>
          <w:bCs/>
          <w:color w:val="000000" w:themeColor="text1"/>
          <w:sz w:val="20"/>
          <w:szCs w:val="20"/>
        </w:rPr>
        <w:t>Red Telecom</w:t>
      </w:r>
      <w:r w:rsidR="7C7F278F" w:rsidRPr="47ACCDB0">
        <w:rPr>
          <w:b/>
          <w:bCs/>
          <w:color w:val="000000" w:themeColor="text1"/>
          <w:sz w:val="20"/>
          <w:szCs w:val="20"/>
        </w:rPr>
        <w:t xml:space="preserve"> and Nicholas Kon</w:t>
      </w:r>
      <w:r w:rsidR="78E0A863" w:rsidRPr="47ACCDB0">
        <w:rPr>
          <w:b/>
          <w:bCs/>
          <w:color w:val="000000" w:themeColor="text1"/>
          <w:sz w:val="20"/>
          <w:szCs w:val="20"/>
        </w:rPr>
        <w:t>taxis</w:t>
      </w:r>
      <w:r w:rsidR="55C31043" w:rsidRPr="47ACCDB0">
        <w:rPr>
          <w:color w:val="000000" w:themeColor="text1"/>
          <w:sz w:val="20"/>
          <w:szCs w:val="20"/>
        </w:rPr>
        <w:t xml:space="preserve">: </w:t>
      </w:r>
    </w:p>
    <w:p w14:paraId="56C2E4A7" w14:textId="6C84DCB5" w:rsidR="001B25F8" w:rsidRPr="001B25F8" w:rsidRDefault="00FE67BC" w:rsidP="001019BA">
      <w:pPr>
        <w:numPr>
          <w:ilvl w:val="0"/>
          <w:numId w:val="44"/>
        </w:numPr>
        <w:spacing w:after="160" w:line="240" w:lineRule="auto"/>
        <w:ind w:left="709" w:right="379" w:hanging="283"/>
        <w:rPr>
          <w:b/>
          <w:bCs/>
          <w:color w:val="000000" w:themeColor="text1"/>
          <w:sz w:val="20"/>
          <w:szCs w:val="20"/>
        </w:rPr>
      </w:pPr>
      <w:r>
        <w:rPr>
          <w:color w:val="000000" w:themeColor="text1"/>
          <w:sz w:val="20"/>
          <w:szCs w:val="20"/>
        </w:rPr>
        <w:t>T</w:t>
      </w:r>
      <w:r w:rsidR="00D11F2F">
        <w:rPr>
          <w:color w:val="000000" w:themeColor="text1"/>
          <w:sz w:val="20"/>
          <w:szCs w:val="20"/>
        </w:rPr>
        <w:t>he ACMA</w:t>
      </w:r>
      <w:r w:rsidR="55C31043" w:rsidRPr="47ACCDB0">
        <w:rPr>
          <w:color w:val="000000" w:themeColor="text1"/>
          <w:sz w:val="20"/>
          <w:szCs w:val="20"/>
        </w:rPr>
        <w:t xml:space="preserve"> </w:t>
      </w:r>
      <w:r w:rsidR="090926C4" w:rsidRPr="47ACCDB0">
        <w:rPr>
          <w:color w:val="000000" w:themeColor="text1"/>
          <w:sz w:val="20"/>
          <w:szCs w:val="20"/>
        </w:rPr>
        <w:t xml:space="preserve">took action against </w:t>
      </w:r>
      <w:r w:rsidR="55C31043" w:rsidRPr="47ACCDB0">
        <w:rPr>
          <w:color w:val="000000" w:themeColor="text1"/>
          <w:sz w:val="20"/>
          <w:szCs w:val="20"/>
        </w:rPr>
        <w:t>Limni Enterprises Pty Ltd (formerly Red Telecom Pty Ltd) and its sole director Nicholas Kontaxis for breaching</w:t>
      </w:r>
      <w:r w:rsidR="01FB4F54" w:rsidRPr="47ACCDB0">
        <w:rPr>
          <w:color w:val="000000" w:themeColor="text1"/>
          <w:sz w:val="20"/>
          <w:szCs w:val="20"/>
        </w:rPr>
        <w:t xml:space="preserve"> the </w:t>
      </w:r>
      <w:r w:rsidR="006B0DB2" w:rsidRPr="00EB31F6">
        <w:rPr>
          <w:b/>
          <w:bCs/>
          <w:color w:val="000000" w:themeColor="text1"/>
          <w:sz w:val="20"/>
          <w:szCs w:val="20"/>
        </w:rPr>
        <w:t>TCPSS Act</w:t>
      </w:r>
      <w:r w:rsidR="55C31043" w:rsidRPr="47ACCDB0">
        <w:rPr>
          <w:color w:val="000000" w:themeColor="text1"/>
          <w:sz w:val="20"/>
          <w:szCs w:val="20"/>
        </w:rPr>
        <w:t xml:space="preserve"> </w:t>
      </w:r>
      <w:r w:rsidR="0C7455D2" w:rsidRPr="47ACCDB0">
        <w:rPr>
          <w:color w:val="000000" w:themeColor="text1"/>
          <w:sz w:val="20"/>
          <w:szCs w:val="20"/>
        </w:rPr>
        <w:t xml:space="preserve">and </w:t>
      </w:r>
      <w:r w:rsidR="55C31043" w:rsidRPr="47ACCDB0">
        <w:rPr>
          <w:color w:val="000000" w:themeColor="text1"/>
          <w:sz w:val="20"/>
          <w:szCs w:val="20"/>
        </w:rPr>
        <w:t xml:space="preserve">the </w:t>
      </w:r>
      <w:r w:rsidR="00AA7AED">
        <w:rPr>
          <w:b/>
          <w:bCs/>
          <w:color w:val="000000" w:themeColor="text1"/>
          <w:sz w:val="20"/>
          <w:szCs w:val="20"/>
        </w:rPr>
        <w:t>Tel Act</w:t>
      </w:r>
      <w:r w:rsidR="006B0DB2">
        <w:rPr>
          <w:color w:val="000000" w:themeColor="text1"/>
          <w:sz w:val="20"/>
          <w:szCs w:val="20"/>
        </w:rPr>
        <w:t xml:space="preserve"> </w:t>
      </w:r>
      <w:r w:rsidR="55C31043" w:rsidRPr="47ACCDB0">
        <w:rPr>
          <w:color w:val="000000" w:themeColor="text1"/>
          <w:sz w:val="20"/>
          <w:szCs w:val="20"/>
        </w:rPr>
        <w:t xml:space="preserve">by failing to comply with seven determinations made by the </w:t>
      </w:r>
      <w:r w:rsidR="55C31043" w:rsidRPr="47ACCDB0">
        <w:rPr>
          <w:b/>
          <w:bCs/>
          <w:color w:val="000000" w:themeColor="text1"/>
          <w:sz w:val="20"/>
          <w:szCs w:val="20"/>
        </w:rPr>
        <w:t>TIO.</w:t>
      </w:r>
    </w:p>
    <w:p w14:paraId="0DCAB39C" w14:textId="5864127B" w:rsidR="001B25F8" w:rsidRPr="001B25F8" w:rsidRDefault="00FE67BC" w:rsidP="001019BA">
      <w:pPr>
        <w:numPr>
          <w:ilvl w:val="0"/>
          <w:numId w:val="44"/>
        </w:numPr>
        <w:spacing w:after="160" w:line="240" w:lineRule="auto"/>
        <w:ind w:left="709" w:right="379" w:hanging="283"/>
        <w:rPr>
          <w:color w:val="000000" w:themeColor="text1"/>
          <w:sz w:val="20"/>
          <w:szCs w:val="20"/>
        </w:rPr>
      </w:pPr>
      <w:r>
        <w:rPr>
          <w:color w:val="000000" w:themeColor="text1"/>
          <w:sz w:val="20"/>
          <w:szCs w:val="20"/>
        </w:rPr>
        <w:t>T</w:t>
      </w:r>
      <w:r w:rsidR="00D11F2F">
        <w:rPr>
          <w:color w:val="000000" w:themeColor="text1"/>
          <w:sz w:val="20"/>
          <w:szCs w:val="20"/>
        </w:rPr>
        <w:t>he ACMA</w:t>
      </w:r>
      <w:r w:rsidR="55C31043" w:rsidRPr="47ACCDB0">
        <w:rPr>
          <w:color w:val="000000" w:themeColor="text1"/>
          <w:sz w:val="20"/>
          <w:szCs w:val="20"/>
        </w:rPr>
        <w:t xml:space="preserve"> sought civil penalties against both </w:t>
      </w:r>
      <w:r w:rsidR="5EA023FA" w:rsidRPr="47ACCDB0">
        <w:rPr>
          <w:color w:val="000000" w:themeColor="text1"/>
          <w:sz w:val="20"/>
          <w:szCs w:val="20"/>
        </w:rPr>
        <w:t>defendants</w:t>
      </w:r>
      <w:r w:rsidR="55C31043" w:rsidRPr="47ACCDB0">
        <w:rPr>
          <w:color w:val="000000" w:themeColor="text1"/>
          <w:sz w:val="20"/>
          <w:szCs w:val="20"/>
        </w:rPr>
        <w:t>, as well as leave to continue the proceedings against Red Telecom in liquidation.</w:t>
      </w:r>
    </w:p>
    <w:p w14:paraId="34593274" w14:textId="60408B67" w:rsidR="001B25F8" w:rsidRPr="001B25F8" w:rsidRDefault="001B25F8" w:rsidP="00AA35F7">
      <w:pPr>
        <w:spacing w:after="160" w:line="240" w:lineRule="auto"/>
        <w:ind w:left="284" w:right="379"/>
        <w:rPr>
          <w:rFonts w:cstheme="minorHAnsi"/>
          <w:color w:val="000000" w:themeColor="text1"/>
          <w:sz w:val="20"/>
          <w:szCs w:val="20"/>
        </w:rPr>
      </w:pPr>
      <w:r w:rsidRPr="001B25F8">
        <w:rPr>
          <w:rFonts w:cstheme="minorHAnsi"/>
          <w:color w:val="000000" w:themeColor="text1"/>
          <w:sz w:val="20"/>
          <w:szCs w:val="20"/>
        </w:rPr>
        <w:t xml:space="preserve">The </w:t>
      </w:r>
      <w:r w:rsidR="00F42C5D">
        <w:rPr>
          <w:rFonts w:cstheme="minorHAnsi"/>
          <w:color w:val="000000" w:themeColor="text1"/>
          <w:sz w:val="20"/>
          <w:szCs w:val="20"/>
        </w:rPr>
        <w:t xml:space="preserve">Federal </w:t>
      </w:r>
      <w:r w:rsidRPr="001B25F8">
        <w:rPr>
          <w:rFonts w:cstheme="minorHAnsi"/>
          <w:color w:val="000000" w:themeColor="text1"/>
          <w:sz w:val="20"/>
          <w:szCs w:val="20"/>
        </w:rPr>
        <w:t xml:space="preserve">Court considered the nature, extent and duration of the conduct, the circumstances in which the contraventions took place, the loss or damage caused by the conduct, the size and financial position of the respondents, their prior conduct, </w:t>
      </w:r>
      <w:r w:rsidR="00584558">
        <w:rPr>
          <w:rFonts w:cstheme="minorHAnsi"/>
          <w:color w:val="000000" w:themeColor="text1"/>
          <w:sz w:val="20"/>
          <w:szCs w:val="20"/>
        </w:rPr>
        <w:t xml:space="preserve">any </w:t>
      </w:r>
      <w:r w:rsidRPr="001B25F8">
        <w:rPr>
          <w:rFonts w:cstheme="minorHAnsi"/>
          <w:color w:val="000000" w:themeColor="text1"/>
          <w:sz w:val="20"/>
          <w:szCs w:val="20"/>
        </w:rPr>
        <w:t>cooperation and corrective action, and the need for deterrence.</w:t>
      </w:r>
    </w:p>
    <w:p w14:paraId="5CF14A41" w14:textId="2706630D" w:rsidR="001B25F8" w:rsidRPr="001B25F8" w:rsidRDefault="000C01E1" w:rsidP="00AA35F7">
      <w:pPr>
        <w:spacing w:after="160" w:line="240" w:lineRule="auto"/>
        <w:ind w:left="284" w:right="379"/>
        <w:rPr>
          <w:rFonts w:cstheme="minorHAnsi"/>
          <w:b/>
          <w:bCs/>
          <w:color w:val="000000" w:themeColor="text1"/>
          <w:sz w:val="20"/>
          <w:szCs w:val="20"/>
        </w:rPr>
      </w:pPr>
      <w:r>
        <w:rPr>
          <w:rFonts w:cstheme="minorHAnsi"/>
          <w:color w:val="000000" w:themeColor="text1"/>
          <w:sz w:val="20"/>
          <w:szCs w:val="20"/>
        </w:rPr>
        <w:t>On 11 July 2022, t</w:t>
      </w:r>
      <w:r w:rsidR="001B25F8" w:rsidRPr="001B25F8">
        <w:rPr>
          <w:rFonts w:cstheme="minorHAnsi"/>
          <w:color w:val="000000" w:themeColor="text1"/>
          <w:sz w:val="20"/>
          <w:szCs w:val="20"/>
        </w:rPr>
        <w:t xml:space="preserve">he </w:t>
      </w:r>
      <w:r w:rsidR="008E3338">
        <w:rPr>
          <w:rFonts w:cstheme="minorHAnsi"/>
          <w:color w:val="000000" w:themeColor="text1"/>
          <w:sz w:val="20"/>
          <w:szCs w:val="20"/>
        </w:rPr>
        <w:t xml:space="preserve">Federal </w:t>
      </w:r>
      <w:r w:rsidR="001B25F8" w:rsidRPr="001B25F8">
        <w:rPr>
          <w:rFonts w:cstheme="minorHAnsi"/>
          <w:color w:val="000000" w:themeColor="text1"/>
          <w:sz w:val="20"/>
          <w:szCs w:val="20"/>
        </w:rPr>
        <w:t xml:space="preserve">Court decided to impose total </w:t>
      </w:r>
      <w:r w:rsidR="001B25F8" w:rsidRPr="001B25F8">
        <w:rPr>
          <w:rFonts w:cstheme="minorHAnsi"/>
          <w:b/>
          <w:bCs/>
          <w:color w:val="000000" w:themeColor="text1"/>
          <w:sz w:val="20"/>
          <w:szCs w:val="20"/>
        </w:rPr>
        <w:t xml:space="preserve">penalties of $450,000 on Red Telecom and $115,125 on Mr Kontaxis. </w:t>
      </w:r>
    </w:p>
    <w:p w14:paraId="2FBA8FB5" w14:textId="532C2C45" w:rsidR="001B25F8" w:rsidRPr="001B25F8" w:rsidRDefault="00FE67BC" w:rsidP="47ACCDB0">
      <w:pPr>
        <w:spacing w:after="160" w:line="240" w:lineRule="auto"/>
        <w:ind w:left="284" w:right="379"/>
        <w:rPr>
          <w:b/>
          <w:bCs/>
          <w:color w:val="000000" w:themeColor="text1"/>
          <w:sz w:val="20"/>
          <w:szCs w:val="20"/>
        </w:rPr>
      </w:pPr>
      <w:r>
        <w:rPr>
          <w:b/>
          <w:bCs/>
          <w:color w:val="000000" w:themeColor="text1"/>
          <w:sz w:val="20"/>
          <w:szCs w:val="20"/>
        </w:rPr>
        <w:t>T</w:t>
      </w:r>
      <w:r w:rsidR="00D11F2F">
        <w:rPr>
          <w:b/>
          <w:bCs/>
          <w:color w:val="000000" w:themeColor="text1"/>
          <w:sz w:val="20"/>
          <w:szCs w:val="20"/>
        </w:rPr>
        <w:t>he ACMA</w:t>
      </w:r>
      <w:r w:rsidR="78E0A863" w:rsidRPr="47ACCDB0">
        <w:rPr>
          <w:b/>
          <w:bCs/>
          <w:color w:val="000000" w:themeColor="text1"/>
          <w:sz w:val="20"/>
          <w:szCs w:val="20"/>
        </w:rPr>
        <w:t>’s actions before going to court</w:t>
      </w:r>
      <w:r w:rsidR="55C31043" w:rsidRPr="47ACCDB0">
        <w:rPr>
          <w:b/>
          <w:bCs/>
          <w:color w:val="000000" w:themeColor="text1"/>
          <w:sz w:val="20"/>
          <w:szCs w:val="20"/>
        </w:rPr>
        <w:t>:</w:t>
      </w:r>
    </w:p>
    <w:p w14:paraId="2327E268" w14:textId="04AEB10A" w:rsidR="001B25F8" w:rsidRPr="008445A8" w:rsidRDefault="55C31043" w:rsidP="001019BA">
      <w:pPr>
        <w:pStyle w:val="ListParagraph"/>
        <w:numPr>
          <w:ilvl w:val="0"/>
          <w:numId w:val="44"/>
        </w:numPr>
        <w:spacing w:after="160" w:line="240" w:lineRule="auto"/>
        <w:ind w:right="379"/>
        <w:rPr>
          <w:color w:val="000000" w:themeColor="text1"/>
          <w:sz w:val="20"/>
          <w:szCs w:val="20"/>
        </w:rPr>
      </w:pPr>
      <w:r w:rsidRPr="47ACCDB0">
        <w:rPr>
          <w:color w:val="000000" w:themeColor="text1"/>
          <w:sz w:val="20"/>
          <w:szCs w:val="20"/>
        </w:rPr>
        <w:t xml:space="preserve">After a referral from the TIO, the </w:t>
      </w:r>
      <w:r w:rsidR="00D11F2F">
        <w:rPr>
          <w:color w:val="000000" w:themeColor="text1"/>
          <w:sz w:val="20"/>
          <w:szCs w:val="20"/>
        </w:rPr>
        <w:t>ACMA</w:t>
      </w:r>
      <w:r w:rsidRPr="47ACCDB0">
        <w:rPr>
          <w:color w:val="000000" w:themeColor="text1"/>
          <w:sz w:val="20"/>
          <w:szCs w:val="20"/>
        </w:rPr>
        <w:t xml:space="preserve"> conducted an investigation into Red Telecom’s compliance with the TIO scheme. This investigation led to </w:t>
      </w:r>
      <w:r w:rsidR="00D11F2F">
        <w:rPr>
          <w:color w:val="000000" w:themeColor="text1"/>
          <w:sz w:val="20"/>
          <w:szCs w:val="20"/>
        </w:rPr>
        <w:t>the ACMA</w:t>
      </w:r>
      <w:r w:rsidRPr="47ACCDB0">
        <w:rPr>
          <w:color w:val="000000" w:themeColor="text1"/>
          <w:sz w:val="20"/>
          <w:szCs w:val="20"/>
        </w:rPr>
        <w:t xml:space="preserve"> directly initiating the court proceedings.</w:t>
      </w:r>
    </w:p>
    <w:p w14:paraId="4C25667A" w14:textId="77777777" w:rsidR="008407F2" w:rsidRDefault="008407F2" w:rsidP="008407F2">
      <w:pPr>
        <w:pStyle w:val="paragraph"/>
        <w:spacing w:before="0" w:beforeAutospacing="0" w:after="0" w:afterAutospacing="0"/>
        <w:textAlignment w:val="baseline"/>
        <w:rPr>
          <w:rStyle w:val="eop"/>
          <w:rFonts w:asciiTheme="minorHAnsi" w:hAnsiTheme="minorHAnsi" w:cstheme="minorHAnsi"/>
          <w:sz w:val="22"/>
          <w:szCs w:val="22"/>
        </w:rPr>
      </w:pPr>
    </w:p>
    <w:p w14:paraId="0A800CC4" w14:textId="77777777" w:rsidR="00363F6E" w:rsidRDefault="00363F6E" w:rsidP="00F310F9">
      <w:pPr>
        <w:spacing w:after="160"/>
        <w:rPr>
          <w:rFonts w:eastAsia="Times New Roman" w:cstheme="minorHAnsi"/>
          <w:color w:val="000000" w:themeColor="text1"/>
          <w:lang w:eastAsia="en-AU"/>
        </w:rPr>
      </w:pPr>
    </w:p>
    <w:p w14:paraId="51D94716" w14:textId="38DCD264" w:rsidR="008407F2" w:rsidRPr="002B2F28" w:rsidRDefault="00D115E2" w:rsidP="00F310F9">
      <w:pPr>
        <w:spacing w:after="160"/>
        <w:rPr>
          <w:rFonts w:eastAsia="Times New Roman" w:cstheme="minorHAnsi"/>
          <w:color w:val="000000" w:themeColor="text1"/>
          <w:lang w:eastAsia="en-AU"/>
        </w:rPr>
      </w:pPr>
      <w:r>
        <w:rPr>
          <w:rFonts w:eastAsia="Times New Roman" w:cstheme="minorHAnsi"/>
          <w:color w:val="000000" w:themeColor="text1"/>
          <w:lang w:eastAsia="en-AU"/>
        </w:rPr>
        <w:t>P</w:t>
      </w:r>
      <w:r w:rsidR="008407F2" w:rsidRPr="002B2F28">
        <w:rPr>
          <w:rFonts w:eastAsia="Times New Roman" w:cstheme="minorHAnsi"/>
          <w:color w:val="000000" w:themeColor="text1"/>
          <w:lang w:eastAsia="en-AU"/>
        </w:rPr>
        <w:t xml:space="preserve">ossible factors that may have </w:t>
      </w:r>
      <w:r w:rsidR="00C526B5">
        <w:rPr>
          <w:rFonts w:eastAsia="Times New Roman" w:cstheme="minorHAnsi"/>
          <w:color w:val="000000" w:themeColor="text1"/>
          <w:lang w:eastAsia="en-AU"/>
        </w:rPr>
        <w:t xml:space="preserve">influenced </w:t>
      </w:r>
      <w:r w:rsidR="008407F2" w:rsidRPr="002B2F28">
        <w:rPr>
          <w:rFonts w:eastAsia="Times New Roman" w:cstheme="minorHAnsi"/>
          <w:color w:val="000000" w:themeColor="text1"/>
          <w:lang w:eastAsia="en-AU"/>
        </w:rPr>
        <w:t xml:space="preserve">the </w:t>
      </w:r>
      <w:r w:rsidR="00D11F2F">
        <w:rPr>
          <w:rFonts w:eastAsia="Times New Roman" w:cstheme="minorHAnsi"/>
          <w:color w:val="000000" w:themeColor="text1"/>
          <w:lang w:eastAsia="en-AU"/>
        </w:rPr>
        <w:t>ACMA</w:t>
      </w:r>
      <w:r w:rsidR="00C526B5">
        <w:rPr>
          <w:rFonts w:eastAsia="Times New Roman" w:cstheme="minorHAnsi"/>
          <w:color w:val="000000" w:themeColor="text1"/>
          <w:lang w:eastAsia="en-AU"/>
        </w:rPr>
        <w:t>’s decision</w:t>
      </w:r>
      <w:r w:rsidR="008407F2" w:rsidRPr="002B2F28">
        <w:rPr>
          <w:rFonts w:eastAsia="Times New Roman" w:cstheme="minorHAnsi"/>
          <w:color w:val="000000" w:themeColor="text1"/>
          <w:lang w:eastAsia="en-AU"/>
        </w:rPr>
        <w:t xml:space="preserve"> to pursue </w:t>
      </w:r>
      <w:r w:rsidR="008407F2" w:rsidRPr="00DE5A65">
        <w:rPr>
          <w:rFonts w:eastAsia="Times New Roman" w:cstheme="minorHAnsi"/>
          <w:color w:val="000000" w:themeColor="text1"/>
          <w:lang w:eastAsia="en-AU"/>
        </w:rPr>
        <w:t>civil penalties</w:t>
      </w:r>
      <w:r w:rsidR="00C526B5">
        <w:rPr>
          <w:rFonts w:eastAsia="Times New Roman" w:cstheme="minorHAnsi"/>
          <w:color w:val="000000" w:themeColor="text1"/>
          <w:lang w:eastAsia="en-AU"/>
        </w:rPr>
        <w:t xml:space="preserve"> in the first instance after </w:t>
      </w:r>
      <w:r w:rsidR="00041E19">
        <w:rPr>
          <w:rFonts w:eastAsia="Times New Roman" w:cstheme="minorHAnsi"/>
          <w:color w:val="000000" w:themeColor="text1"/>
          <w:lang w:eastAsia="en-AU"/>
        </w:rPr>
        <w:t xml:space="preserve">its </w:t>
      </w:r>
      <w:r>
        <w:rPr>
          <w:rFonts w:eastAsia="Times New Roman" w:cstheme="minorHAnsi"/>
          <w:color w:val="000000" w:themeColor="text1"/>
          <w:lang w:eastAsia="en-AU"/>
        </w:rPr>
        <w:t xml:space="preserve">initial </w:t>
      </w:r>
      <w:r w:rsidR="00C526B5">
        <w:rPr>
          <w:rFonts w:eastAsia="Times New Roman" w:cstheme="minorHAnsi"/>
          <w:color w:val="000000" w:themeColor="text1"/>
          <w:lang w:eastAsia="en-AU"/>
        </w:rPr>
        <w:t>investigation</w:t>
      </w:r>
      <w:r w:rsidR="00015622">
        <w:rPr>
          <w:rFonts w:eastAsia="Times New Roman" w:cstheme="minorHAnsi"/>
          <w:color w:val="000000" w:themeColor="text1"/>
          <w:lang w:eastAsia="en-AU"/>
        </w:rPr>
        <w:t xml:space="preserve"> include:</w:t>
      </w:r>
    </w:p>
    <w:p w14:paraId="1788FEFF" w14:textId="6D4CEEEC" w:rsidR="008407F2" w:rsidRPr="002B2F28" w:rsidRDefault="483633B6" w:rsidP="001019BA">
      <w:pPr>
        <w:pStyle w:val="ListParagraph"/>
        <w:numPr>
          <w:ilvl w:val="0"/>
          <w:numId w:val="45"/>
        </w:numPr>
        <w:spacing w:after="160"/>
        <w:rPr>
          <w:rFonts w:eastAsia="Times New Roman"/>
          <w:color w:val="000000" w:themeColor="text1"/>
          <w:lang w:eastAsia="en-AU"/>
        </w:rPr>
      </w:pPr>
      <w:r w:rsidRPr="47ACCDB0">
        <w:rPr>
          <w:rFonts w:eastAsia="Times New Roman"/>
          <w:color w:val="000000" w:themeColor="text1"/>
          <w:lang w:eastAsia="en-AU"/>
        </w:rPr>
        <w:t>t</w:t>
      </w:r>
      <w:r w:rsidR="151A84C1" w:rsidRPr="47ACCDB0">
        <w:rPr>
          <w:rFonts w:eastAsia="Times New Roman"/>
          <w:color w:val="000000" w:themeColor="text1"/>
          <w:lang w:eastAsia="en-AU"/>
        </w:rPr>
        <w:t>he nature, extent and duration of Red Telecom’s conduct, which involved failing to comply with seven TIO determinations over a period of 12 to 23 months, causing loss or damage to the affected customers and undermining the integrity of the TIO scheme</w:t>
      </w:r>
      <w:r w:rsidRPr="47ACCDB0">
        <w:rPr>
          <w:rFonts w:eastAsia="Times New Roman"/>
          <w:color w:val="000000" w:themeColor="text1"/>
          <w:lang w:eastAsia="en-AU"/>
        </w:rPr>
        <w:t>;</w:t>
      </w:r>
    </w:p>
    <w:p w14:paraId="7DAB349B" w14:textId="42128639" w:rsidR="008407F2" w:rsidRPr="002B2F28" w:rsidRDefault="483633B6" w:rsidP="001019BA">
      <w:pPr>
        <w:pStyle w:val="ListParagraph"/>
        <w:numPr>
          <w:ilvl w:val="0"/>
          <w:numId w:val="45"/>
        </w:numPr>
        <w:spacing w:before="100" w:beforeAutospacing="1" w:after="100" w:afterAutospacing="1"/>
        <w:rPr>
          <w:rFonts w:eastAsia="Times New Roman"/>
          <w:color w:val="000000" w:themeColor="text1"/>
          <w:lang w:eastAsia="en-AU"/>
        </w:rPr>
      </w:pPr>
      <w:r w:rsidRPr="47ACCDB0">
        <w:rPr>
          <w:rFonts w:eastAsia="Times New Roman"/>
          <w:color w:val="000000" w:themeColor="text1"/>
          <w:lang w:eastAsia="en-AU"/>
        </w:rPr>
        <w:t>t</w:t>
      </w:r>
      <w:r w:rsidR="151A84C1" w:rsidRPr="47ACCDB0">
        <w:rPr>
          <w:rFonts w:eastAsia="Times New Roman"/>
          <w:color w:val="000000" w:themeColor="text1"/>
          <w:lang w:eastAsia="en-AU"/>
        </w:rPr>
        <w:t>he circumstances in which the contraventions took place</w:t>
      </w:r>
      <w:r w:rsidRPr="47ACCDB0">
        <w:rPr>
          <w:rFonts w:eastAsia="Times New Roman"/>
          <w:color w:val="000000" w:themeColor="text1"/>
          <w:lang w:eastAsia="en-AU"/>
        </w:rPr>
        <w:t xml:space="preserve"> – </w:t>
      </w:r>
      <w:r w:rsidR="7E31CF35" w:rsidRPr="47ACCDB0">
        <w:rPr>
          <w:rFonts w:eastAsia="Times New Roman"/>
          <w:color w:val="000000" w:themeColor="text1"/>
          <w:lang w:eastAsia="en-AU"/>
        </w:rPr>
        <w:t xml:space="preserve">it was found that </w:t>
      </w:r>
      <w:r w:rsidR="0897B5D6" w:rsidRPr="47ACCDB0">
        <w:rPr>
          <w:rFonts w:eastAsia="Times New Roman"/>
          <w:color w:val="000000" w:themeColor="text1"/>
          <w:lang w:eastAsia="en-AU"/>
        </w:rPr>
        <w:t>Mr Kontaxis</w:t>
      </w:r>
      <w:r w:rsidR="151A84C1" w:rsidRPr="47ACCDB0">
        <w:rPr>
          <w:rFonts w:eastAsia="Times New Roman"/>
          <w:color w:val="000000" w:themeColor="text1"/>
          <w:lang w:eastAsia="en-AU"/>
        </w:rPr>
        <w:t xml:space="preserve"> deliberate</w:t>
      </w:r>
      <w:r w:rsidR="0897B5D6" w:rsidRPr="47ACCDB0">
        <w:rPr>
          <w:rFonts w:eastAsia="Times New Roman"/>
          <w:color w:val="000000" w:themeColor="text1"/>
          <w:lang w:eastAsia="en-AU"/>
        </w:rPr>
        <w:t>ly</w:t>
      </w:r>
      <w:r w:rsidR="151A84C1" w:rsidRPr="47ACCDB0">
        <w:rPr>
          <w:rFonts w:eastAsia="Times New Roman"/>
          <w:color w:val="000000" w:themeColor="text1"/>
          <w:lang w:eastAsia="en-AU"/>
        </w:rPr>
        <w:t xml:space="preserve"> deci</w:t>
      </w:r>
      <w:r w:rsidR="0897B5D6" w:rsidRPr="47ACCDB0">
        <w:rPr>
          <w:rFonts w:eastAsia="Times New Roman"/>
          <w:color w:val="000000" w:themeColor="text1"/>
          <w:lang w:eastAsia="en-AU"/>
        </w:rPr>
        <w:t xml:space="preserve">ded </w:t>
      </w:r>
      <w:r w:rsidR="151A84C1" w:rsidRPr="47ACCDB0">
        <w:rPr>
          <w:rFonts w:eastAsia="Times New Roman"/>
          <w:color w:val="000000" w:themeColor="text1"/>
          <w:lang w:eastAsia="en-AU"/>
        </w:rPr>
        <w:t xml:space="preserve">not to comply with the TIO determinations, despite being aware of his obligations under the </w:t>
      </w:r>
      <w:r w:rsidR="00AA7AED">
        <w:rPr>
          <w:rFonts w:eastAsia="Times New Roman"/>
          <w:color w:val="000000" w:themeColor="text1"/>
          <w:lang w:eastAsia="en-AU"/>
        </w:rPr>
        <w:t>Tel Act</w:t>
      </w:r>
      <w:r w:rsidR="7E31CF35" w:rsidRPr="47ACCDB0">
        <w:rPr>
          <w:rFonts w:eastAsia="Times New Roman"/>
          <w:color w:val="000000" w:themeColor="text1"/>
          <w:lang w:eastAsia="en-AU"/>
        </w:rPr>
        <w:t>;</w:t>
      </w:r>
    </w:p>
    <w:p w14:paraId="2C0E1273" w14:textId="5A5D9BBB" w:rsidR="008407F2" w:rsidRPr="002B2F28" w:rsidRDefault="7E31CF35" w:rsidP="001019BA">
      <w:pPr>
        <w:pStyle w:val="ListParagraph"/>
        <w:numPr>
          <w:ilvl w:val="0"/>
          <w:numId w:val="43"/>
        </w:numPr>
        <w:spacing w:before="100" w:beforeAutospacing="1" w:after="160" w:afterAutospacing="1"/>
        <w:rPr>
          <w:rFonts w:eastAsia="Times New Roman"/>
          <w:color w:val="000000" w:themeColor="text1"/>
          <w:lang w:eastAsia="en-AU"/>
        </w:rPr>
      </w:pPr>
      <w:r w:rsidRPr="47ACCDB0">
        <w:rPr>
          <w:rFonts w:eastAsia="Times New Roman"/>
          <w:color w:val="000000" w:themeColor="text1"/>
          <w:lang w:eastAsia="en-AU"/>
        </w:rPr>
        <w:t>t</w:t>
      </w:r>
      <w:r w:rsidR="151A84C1" w:rsidRPr="47ACCDB0">
        <w:rPr>
          <w:rFonts w:eastAsia="Times New Roman"/>
          <w:color w:val="000000" w:themeColor="text1"/>
          <w:lang w:eastAsia="en-AU"/>
        </w:rPr>
        <w:t xml:space="preserve">he lack of cooperation and </w:t>
      </w:r>
      <w:r w:rsidR="12F116B3" w:rsidRPr="47ACCDB0">
        <w:rPr>
          <w:rFonts w:eastAsia="Times New Roman"/>
          <w:color w:val="000000" w:themeColor="text1"/>
          <w:lang w:eastAsia="en-AU"/>
        </w:rPr>
        <w:t>remed</w:t>
      </w:r>
      <w:r w:rsidR="72CF6266" w:rsidRPr="47ACCDB0">
        <w:rPr>
          <w:rFonts w:eastAsia="Times New Roman"/>
          <w:color w:val="000000" w:themeColor="text1"/>
          <w:lang w:eastAsia="en-AU"/>
        </w:rPr>
        <w:t xml:space="preserve">ial </w:t>
      </w:r>
      <w:r w:rsidR="151A84C1" w:rsidRPr="47ACCDB0">
        <w:rPr>
          <w:rFonts w:eastAsia="Times New Roman"/>
          <w:color w:val="000000" w:themeColor="text1"/>
          <w:lang w:eastAsia="en-AU"/>
        </w:rPr>
        <w:t>action by Red Telecom and Mr Kontaxis</w:t>
      </w:r>
      <w:r w:rsidRPr="47ACCDB0">
        <w:rPr>
          <w:rFonts w:eastAsia="Times New Roman"/>
          <w:color w:val="000000" w:themeColor="text1"/>
          <w:lang w:eastAsia="en-AU"/>
        </w:rPr>
        <w:t>;</w:t>
      </w:r>
    </w:p>
    <w:p w14:paraId="32E68E3C" w14:textId="25695FD8" w:rsidR="005457B1" w:rsidRPr="005457B1" w:rsidRDefault="7E31CF35" w:rsidP="001019BA">
      <w:pPr>
        <w:pStyle w:val="ListParagraph"/>
        <w:numPr>
          <w:ilvl w:val="0"/>
          <w:numId w:val="43"/>
        </w:numPr>
        <w:spacing w:before="100" w:beforeAutospacing="1" w:after="160" w:afterAutospacing="1"/>
        <w:rPr>
          <w:rFonts w:eastAsia="Times New Roman"/>
          <w:color w:val="000000" w:themeColor="text1"/>
          <w:lang w:eastAsia="en-AU"/>
        </w:rPr>
      </w:pPr>
      <w:r w:rsidRPr="47ACCDB0">
        <w:rPr>
          <w:rFonts w:eastAsia="Times New Roman"/>
          <w:color w:val="000000" w:themeColor="text1"/>
          <w:lang w:eastAsia="en-AU"/>
        </w:rPr>
        <w:t>t</w:t>
      </w:r>
      <w:r w:rsidR="151A84C1" w:rsidRPr="47ACCDB0">
        <w:rPr>
          <w:rFonts w:eastAsia="Times New Roman"/>
          <w:color w:val="000000" w:themeColor="text1"/>
          <w:lang w:eastAsia="en-AU"/>
        </w:rPr>
        <w:t xml:space="preserve">he need for deterrence, both specific and general, to ensure that Red Telecom, Mr Kontaxis and other industry participants comply with their obligations under the </w:t>
      </w:r>
      <w:r w:rsidR="00AA7AED">
        <w:rPr>
          <w:rFonts w:eastAsia="Times New Roman"/>
          <w:color w:val="000000" w:themeColor="text1"/>
          <w:lang w:eastAsia="en-AU"/>
        </w:rPr>
        <w:t>Tel Act</w:t>
      </w:r>
      <w:r w:rsidRPr="47ACCDB0">
        <w:rPr>
          <w:rFonts w:eastAsia="Times New Roman"/>
          <w:color w:val="000000" w:themeColor="text1"/>
          <w:lang w:eastAsia="en-AU"/>
        </w:rPr>
        <w:t>;</w:t>
      </w:r>
    </w:p>
    <w:p w14:paraId="51EB6013" w14:textId="5963CB01" w:rsidR="008407F2" w:rsidRPr="006D114F" w:rsidRDefault="7E31CF35" w:rsidP="001019BA">
      <w:pPr>
        <w:pStyle w:val="ListParagraph"/>
        <w:numPr>
          <w:ilvl w:val="0"/>
          <w:numId w:val="43"/>
        </w:numPr>
        <w:spacing w:before="100" w:beforeAutospacing="1" w:after="160" w:afterAutospacing="1"/>
        <w:rPr>
          <w:color w:val="000000" w:themeColor="text1"/>
        </w:rPr>
      </w:pPr>
      <w:r w:rsidRPr="47ACCDB0">
        <w:rPr>
          <w:rFonts w:eastAsia="Times New Roman"/>
          <w:color w:val="000000" w:themeColor="text1"/>
          <w:lang w:eastAsia="en-AU"/>
        </w:rPr>
        <w:t>t</w:t>
      </w:r>
      <w:r w:rsidR="49BB22F7" w:rsidRPr="47ACCDB0">
        <w:rPr>
          <w:rFonts w:eastAsia="Times New Roman"/>
          <w:color w:val="000000" w:themeColor="text1"/>
          <w:lang w:eastAsia="en-AU"/>
        </w:rPr>
        <w:t>he need to m</w:t>
      </w:r>
      <w:r w:rsidR="0061957C" w:rsidRPr="47ACCDB0">
        <w:rPr>
          <w:rFonts w:eastAsia="Times New Roman"/>
          <w:color w:val="000000" w:themeColor="text1"/>
          <w:lang w:eastAsia="en-AU"/>
        </w:rPr>
        <w:t xml:space="preserve">aintain industry </w:t>
      </w:r>
      <w:r w:rsidR="151A84C1" w:rsidRPr="47ACCDB0">
        <w:rPr>
          <w:rFonts w:eastAsia="Times New Roman"/>
          <w:color w:val="000000" w:themeColor="text1"/>
          <w:lang w:eastAsia="en-AU"/>
        </w:rPr>
        <w:t xml:space="preserve">respect </w:t>
      </w:r>
      <w:r w:rsidR="0061957C" w:rsidRPr="47ACCDB0">
        <w:rPr>
          <w:rFonts w:eastAsia="Times New Roman"/>
          <w:color w:val="000000" w:themeColor="text1"/>
          <w:lang w:eastAsia="en-AU"/>
        </w:rPr>
        <w:t xml:space="preserve">for </w:t>
      </w:r>
      <w:r w:rsidR="151A84C1" w:rsidRPr="47ACCDB0">
        <w:rPr>
          <w:rFonts w:eastAsia="Times New Roman"/>
          <w:color w:val="000000" w:themeColor="text1"/>
          <w:lang w:eastAsia="en-AU"/>
        </w:rPr>
        <w:t xml:space="preserve">the </w:t>
      </w:r>
      <w:r w:rsidR="72CF6266" w:rsidRPr="47ACCDB0">
        <w:rPr>
          <w:rFonts w:eastAsia="Times New Roman"/>
          <w:color w:val="000000" w:themeColor="text1"/>
          <w:lang w:eastAsia="en-AU"/>
        </w:rPr>
        <w:t xml:space="preserve">TIO’s </w:t>
      </w:r>
      <w:r w:rsidR="151A84C1" w:rsidRPr="47ACCDB0">
        <w:rPr>
          <w:rFonts w:eastAsia="Times New Roman"/>
          <w:color w:val="000000" w:themeColor="text1"/>
          <w:lang w:eastAsia="en-AU"/>
        </w:rPr>
        <w:t xml:space="preserve">authority and finality of </w:t>
      </w:r>
      <w:r w:rsidR="72CF6266" w:rsidRPr="47ACCDB0">
        <w:rPr>
          <w:rFonts w:eastAsia="Times New Roman"/>
          <w:color w:val="000000" w:themeColor="text1"/>
          <w:lang w:eastAsia="en-AU"/>
        </w:rPr>
        <w:t xml:space="preserve">its </w:t>
      </w:r>
      <w:r w:rsidR="151A84C1" w:rsidRPr="47ACCDB0">
        <w:rPr>
          <w:rFonts w:eastAsia="Times New Roman"/>
          <w:color w:val="000000" w:themeColor="text1"/>
          <w:lang w:eastAsia="en-AU"/>
        </w:rPr>
        <w:t>determinations.</w:t>
      </w:r>
    </w:p>
    <w:p w14:paraId="4DD18F4B" w14:textId="64EA1B27" w:rsidR="00D54F5A" w:rsidRDefault="74F35111" w:rsidP="47ACCDB0">
      <w:pPr>
        <w:spacing w:before="100" w:beforeAutospacing="1" w:after="160" w:afterAutospacing="1"/>
        <w:rPr>
          <w:color w:val="000000" w:themeColor="text1"/>
        </w:rPr>
      </w:pPr>
      <w:r w:rsidRPr="47ACCDB0">
        <w:rPr>
          <w:color w:val="000000" w:themeColor="text1"/>
        </w:rPr>
        <w:t xml:space="preserve">The prolonged non-compliance and disrespect towards </w:t>
      </w:r>
      <w:r w:rsidR="1EAAA5E9" w:rsidRPr="47ACCDB0">
        <w:rPr>
          <w:color w:val="000000" w:themeColor="text1"/>
        </w:rPr>
        <w:t>the TIO determinations</w:t>
      </w:r>
      <w:r w:rsidRPr="47ACCDB0">
        <w:rPr>
          <w:color w:val="000000" w:themeColor="text1"/>
        </w:rPr>
        <w:t xml:space="preserve">, paired with apparent disregard for the harm caused to customers, </w:t>
      </w:r>
      <w:r w:rsidR="0341BF56" w:rsidRPr="47ACCDB0">
        <w:rPr>
          <w:color w:val="000000" w:themeColor="text1"/>
        </w:rPr>
        <w:t xml:space="preserve">may have </w:t>
      </w:r>
      <w:r w:rsidRPr="47ACCDB0">
        <w:rPr>
          <w:color w:val="000000" w:themeColor="text1"/>
        </w:rPr>
        <w:t>indicate</w:t>
      </w:r>
      <w:r w:rsidR="0341BF56" w:rsidRPr="47ACCDB0">
        <w:rPr>
          <w:color w:val="000000" w:themeColor="text1"/>
        </w:rPr>
        <w:t xml:space="preserve">d to </w:t>
      </w:r>
      <w:r w:rsidR="00D11F2F">
        <w:rPr>
          <w:color w:val="000000" w:themeColor="text1"/>
        </w:rPr>
        <w:t>the ACMA</w:t>
      </w:r>
      <w:r w:rsidRPr="47ACCDB0">
        <w:rPr>
          <w:color w:val="000000" w:themeColor="text1"/>
        </w:rPr>
        <w:t xml:space="preserve"> that a ‘light touch’ regulatory approach </w:t>
      </w:r>
      <w:r w:rsidR="1EAAA5E9" w:rsidRPr="47ACCDB0">
        <w:rPr>
          <w:color w:val="000000" w:themeColor="text1"/>
        </w:rPr>
        <w:t>would be</w:t>
      </w:r>
      <w:r w:rsidRPr="47ACCDB0">
        <w:rPr>
          <w:color w:val="000000" w:themeColor="text1"/>
        </w:rPr>
        <w:t xml:space="preserve"> ineffectual in this case</w:t>
      </w:r>
      <w:r w:rsidR="7F0DDEBE" w:rsidRPr="47ACCDB0">
        <w:rPr>
          <w:color w:val="000000" w:themeColor="text1"/>
        </w:rPr>
        <w:t xml:space="preserve">, prompting it to </w:t>
      </w:r>
      <w:r w:rsidR="46A48843" w:rsidRPr="47ACCDB0">
        <w:rPr>
          <w:color w:val="000000" w:themeColor="text1"/>
        </w:rPr>
        <w:t xml:space="preserve">immediately escalate </w:t>
      </w:r>
      <w:r w:rsidR="789ED3A4" w:rsidRPr="47ACCDB0">
        <w:rPr>
          <w:color w:val="000000" w:themeColor="text1"/>
        </w:rPr>
        <w:t>its response and</w:t>
      </w:r>
      <w:r w:rsidRPr="47ACCDB0">
        <w:rPr>
          <w:color w:val="000000" w:themeColor="text1"/>
        </w:rPr>
        <w:t xml:space="preserve"> seek civil penalties.</w:t>
      </w:r>
    </w:p>
    <w:p w14:paraId="35427580" w14:textId="3F168CF4" w:rsidR="47ACCDB0" w:rsidRDefault="47ACCDB0" w:rsidP="47ACCDB0">
      <w:pPr>
        <w:spacing w:beforeAutospacing="1" w:afterAutospacing="1"/>
        <w:rPr>
          <w:color w:val="000000" w:themeColor="text1"/>
        </w:rPr>
      </w:pPr>
    </w:p>
    <w:p w14:paraId="7FC09317" w14:textId="50026A54" w:rsidR="008E3338" w:rsidRDefault="71BDFC60" w:rsidP="00107882">
      <w:pPr>
        <w:spacing w:before="100" w:beforeAutospacing="1" w:after="100" w:afterAutospacing="1"/>
        <w:rPr>
          <w:color w:val="000000" w:themeColor="text1"/>
        </w:rPr>
      </w:pPr>
      <w:r w:rsidRPr="47ACCDB0">
        <w:rPr>
          <w:color w:val="000000" w:themeColor="text1"/>
        </w:rPr>
        <w:lastRenderedPageBreak/>
        <w:t xml:space="preserve">The decision of </w:t>
      </w:r>
      <w:r w:rsidR="3D9E5B91" w:rsidRPr="47ACCDB0">
        <w:rPr>
          <w:color w:val="000000" w:themeColor="text1"/>
        </w:rPr>
        <w:t xml:space="preserve">the </w:t>
      </w:r>
      <w:r w:rsidRPr="47ACCDB0">
        <w:rPr>
          <w:color w:val="000000" w:themeColor="text1"/>
        </w:rPr>
        <w:t>F</w:t>
      </w:r>
      <w:r w:rsidR="3D9E5B91" w:rsidRPr="47ACCDB0">
        <w:rPr>
          <w:color w:val="000000" w:themeColor="text1"/>
        </w:rPr>
        <w:t xml:space="preserve">ederal </w:t>
      </w:r>
      <w:r w:rsidRPr="47ACCDB0">
        <w:rPr>
          <w:color w:val="000000" w:themeColor="text1"/>
        </w:rPr>
        <w:t>C</w:t>
      </w:r>
      <w:r w:rsidR="3D9E5B91" w:rsidRPr="47ACCDB0">
        <w:rPr>
          <w:color w:val="000000" w:themeColor="text1"/>
        </w:rPr>
        <w:t xml:space="preserve">ourt </w:t>
      </w:r>
      <w:r w:rsidRPr="47ACCDB0">
        <w:rPr>
          <w:color w:val="000000" w:themeColor="text1"/>
        </w:rPr>
        <w:t>indicates that</w:t>
      </w:r>
      <w:r w:rsidR="13F20661" w:rsidRPr="47ACCDB0">
        <w:rPr>
          <w:color w:val="000000" w:themeColor="text1"/>
        </w:rPr>
        <w:t xml:space="preserve"> t</w:t>
      </w:r>
      <w:r w:rsidR="74F35111" w:rsidRPr="47ACCDB0">
        <w:rPr>
          <w:color w:val="000000" w:themeColor="text1"/>
        </w:rPr>
        <w:t>he penalties imposed—$450,000 on Red Telecom and $115,125 on Mr Kontaxis—were not solely punitive</w:t>
      </w:r>
      <w:r w:rsidR="259BEB0E" w:rsidRPr="47ACCDB0">
        <w:rPr>
          <w:color w:val="000000" w:themeColor="text1"/>
        </w:rPr>
        <w:t xml:space="preserve">. Their aim was </w:t>
      </w:r>
      <w:r w:rsidR="74F35111" w:rsidRPr="47ACCDB0">
        <w:rPr>
          <w:color w:val="000000" w:themeColor="text1"/>
        </w:rPr>
        <w:t>to deter both specific and general non-compliance.</w:t>
      </w:r>
      <w:r w:rsidR="00114F1A" w:rsidRPr="47ACCDB0">
        <w:rPr>
          <w:rStyle w:val="FootnoteReference"/>
          <w:color w:val="000000" w:themeColor="text1"/>
        </w:rPr>
        <w:footnoteReference w:id="216"/>
      </w:r>
      <w:r w:rsidR="74F35111" w:rsidRPr="47ACCDB0">
        <w:rPr>
          <w:color w:val="000000" w:themeColor="text1"/>
        </w:rPr>
        <w:t xml:space="preserve"> </w:t>
      </w:r>
    </w:p>
    <w:p w14:paraId="7B731AA4" w14:textId="220070CB" w:rsidR="00D02CDB" w:rsidRDefault="007E4D17" w:rsidP="00D02CDB">
      <w:pPr>
        <w:spacing w:before="100" w:beforeAutospacing="1" w:after="160" w:afterAutospacing="1"/>
        <w:rPr>
          <w:rFonts w:cstheme="minorHAnsi"/>
          <w:color w:val="000000" w:themeColor="text1"/>
        </w:rPr>
      </w:pPr>
      <w:r>
        <w:rPr>
          <w:rFonts w:cstheme="minorHAnsi"/>
          <w:color w:val="000000" w:themeColor="text1"/>
        </w:rPr>
        <w:t xml:space="preserve">The </w:t>
      </w:r>
      <w:r w:rsidRPr="0052310D">
        <w:rPr>
          <w:rFonts w:cstheme="minorHAnsi"/>
          <w:color w:val="000000" w:themeColor="text1"/>
        </w:rPr>
        <w:t>TIO</w:t>
      </w:r>
      <w:r>
        <w:rPr>
          <w:rFonts w:cstheme="minorHAnsi"/>
          <w:color w:val="000000" w:themeColor="text1"/>
        </w:rPr>
        <w:t xml:space="preserve"> is regarded as a significant protector of consumer rights</w:t>
      </w:r>
      <w:r w:rsidR="00AE006B">
        <w:rPr>
          <w:rFonts w:cstheme="minorHAnsi"/>
          <w:color w:val="000000" w:themeColor="text1"/>
        </w:rPr>
        <w:t>,</w:t>
      </w:r>
      <w:r>
        <w:rPr>
          <w:rFonts w:cstheme="minorHAnsi"/>
          <w:color w:val="000000" w:themeColor="text1"/>
        </w:rPr>
        <w:t xml:space="preserve"> and </w:t>
      </w:r>
      <w:r w:rsidR="004905F6">
        <w:rPr>
          <w:rFonts w:cstheme="minorHAnsi"/>
          <w:color w:val="000000" w:themeColor="text1"/>
        </w:rPr>
        <w:t>promoting</w:t>
      </w:r>
      <w:r>
        <w:rPr>
          <w:rFonts w:cstheme="minorHAnsi"/>
          <w:color w:val="000000" w:themeColor="text1"/>
        </w:rPr>
        <w:t xml:space="preserve"> compliance with </w:t>
      </w:r>
      <w:r w:rsidRPr="0052310D">
        <w:rPr>
          <w:rFonts w:cstheme="minorHAnsi"/>
          <w:color w:val="000000" w:themeColor="text1"/>
        </w:rPr>
        <w:t>TIO determinations</w:t>
      </w:r>
      <w:r w:rsidR="00AE006B">
        <w:rPr>
          <w:rFonts w:cstheme="minorHAnsi"/>
          <w:color w:val="000000" w:themeColor="text1"/>
        </w:rPr>
        <w:t xml:space="preserve"> is </w:t>
      </w:r>
      <w:r w:rsidR="00AE006B" w:rsidRPr="008E3338">
        <w:rPr>
          <w:rFonts w:cstheme="minorHAnsi"/>
          <w:color w:val="000000" w:themeColor="text1"/>
        </w:rPr>
        <w:t>important</w:t>
      </w:r>
      <w:r w:rsidR="008E3338">
        <w:rPr>
          <w:rFonts w:cstheme="minorHAnsi"/>
          <w:color w:val="000000" w:themeColor="text1"/>
        </w:rPr>
        <w:t>.</w:t>
      </w:r>
      <w:r>
        <w:rPr>
          <w:rFonts w:cstheme="minorHAnsi"/>
          <w:color w:val="000000" w:themeColor="text1"/>
        </w:rPr>
        <w:t xml:space="preserve"> </w:t>
      </w:r>
      <w:r w:rsidR="00FE67BC">
        <w:rPr>
          <w:rFonts w:cstheme="minorHAnsi"/>
          <w:color w:val="000000" w:themeColor="text1"/>
        </w:rPr>
        <w:t>T</w:t>
      </w:r>
      <w:r w:rsidR="00D11F2F">
        <w:rPr>
          <w:rFonts w:cstheme="minorHAnsi"/>
          <w:color w:val="000000" w:themeColor="text1"/>
        </w:rPr>
        <w:t>he ACMA</w:t>
      </w:r>
      <w:r w:rsidR="00444D73">
        <w:rPr>
          <w:rFonts w:cstheme="minorHAnsi"/>
          <w:color w:val="000000" w:themeColor="text1"/>
        </w:rPr>
        <w:t>’s enforcement action can therefore be seen as</w:t>
      </w:r>
      <w:r w:rsidR="007A3DAB">
        <w:rPr>
          <w:rFonts w:cstheme="minorHAnsi"/>
          <w:color w:val="000000" w:themeColor="text1"/>
        </w:rPr>
        <w:t xml:space="preserve"> supporting </w:t>
      </w:r>
      <w:r w:rsidR="00C44553">
        <w:rPr>
          <w:rFonts w:cstheme="minorHAnsi"/>
          <w:color w:val="000000" w:themeColor="text1"/>
        </w:rPr>
        <w:t>the effectiveness of the scheme</w:t>
      </w:r>
      <w:r w:rsidR="00CE0252">
        <w:rPr>
          <w:rFonts w:cstheme="minorHAnsi"/>
          <w:color w:val="000000" w:themeColor="text1"/>
        </w:rPr>
        <w:t>.</w:t>
      </w:r>
    </w:p>
    <w:p w14:paraId="3F1E5FD2" w14:textId="77777777" w:rsidR="00107882" w:rsidRDefault="00107882" w:rsidP="00EB31F6">
      <w:pPr>
        <w:pStyle w:val="Heading2"/>
      </w:pPr>
      <w:bookmarkStart w:id="175" w:name="_Toc145686430"/>
      <w:bookmarkStart w:id="176" w:name="_Toc139024402"/>
      <w:bookmarkStart w:id="177" w:name="_Toc139024723"/>
      <w:bookmarkStart w:id="178" w:name="_Toc139031366"/>
      <w:bookmarkStart w:id="179" w:name="AnnexA"/>
      <w:bookmarkEnd w:id="169"/>
      <w:bookmarkEnd w:id="170"/>
      <w:bookmarkEnd w:id="171"/>
    </w:p>
    <w:p w14:paraId="6F5BE8E4" w14:textId="1159DA74" w:rsidR="000D63F5" w:rsidRDefault="001510EC" w:rsidP="00EB31F6">
      <w:pPr>
        <w:pStyle w:val="Heading2"/>
      </w:pPr>
      <w:bookmarkStart w:id="180" w:name="_Toc161836180"/>
      <w:r>
        <w:t>D</w:t>
      </w:r>
      <w:r w:rsidR="76EA0DB3">
        <w:t xml:space="preserve"> </w:t>
      </w:r>
      <w:bookmarkStart w:id="181" w:name="TelcosWithTheMostInvestigations"/>
      <w:r w:rsidR="0ED72D7C">
        <w:t xml:space="preserve">Telcos with the </w:t>
      </w:r>
      <w:r w:rsidR="289B8369">
        <w:t>M</w:t>
      </w:r>
      <w:r w:rsidR="0ED72D7C">
        <w:t>ost</w:t>
      </w:r>
      <w:r w:rsidR="41F4A36F">
        <w:t xml:space="preserve"> </w:t>
      </w:r>
      <w:r w:rsidR="289B8369">
        <w:t>I</w:t>
      </w:r>
      <w:r w:rsidR="0ED72D7C">
        <w:t xml:space="preserve">nvestigations and </w:t>
      </w:r>
      <w:r w:rsidR="289B8369">
        <w:t>E</w:t>
      </w:r>
      <w:r w:rsidR="0ED72D7C">
        <w:t xml:space="preserve">nforcement </w:t>
      </w:r>
      <w:r w:rsidR="289B8369">
        <w:t>A</w:t>
      </w:r>
      <w:r w:rsidR="0ED72D7C">
        <w:t>ctions</w:t>
      </w:r>
      <w:bookmarkEnd w:id="175"/>
      <w:bookmarkEnd w:id="180"/>
      <w:bookmarkEnd w:id="181"/>
    </w:p>
    <w:p w14:paraId="04240E49" w14:textId="52B5D2E5" w:rsidR="00585D07" w:rsidRPr="00244B82" w:rsidRDefault="5FFEFCB3" w:rsidP="00FF0706">
      <w:r>
        <w:t xml:space="preserve">In this section we examine which providers have been the subject of the </w:t>
      </w:r>
      <w:r w:rsidR="0ECFAFD1">
        <w:t>most investigations</w:t>
      </w:r>
      <w:r w:rsidR="266A5F82">
        <w:t xml:space="preserve"> </w:t>
      </w:r>
      <w:r w:rsidR="78EA7709">
        <w:t xml:space="preserve">and </w:t>
      </w:r>
      <w:r>
        <w:t xml:space="preserve">enforcement actions. </w:t>
      </w:r>
      <w:r w:rsidR="6707999E">
        <w:t>As in section</w:t>
      </w:r>
      <w:r w:rsidR="07690D6A">
        <w:t xml:space="preserve"> </w:t>
      </w:r>
      <w:r w:rsidR="6B0BA3E0">
        <w:t>A</w:t>
      </w:r>
      <w:r w:rsidR="6707999E">
        <w:t xml:space="preserve">, here we are referring only to the investigations and enforcement action that </w:t>
      </w:r>
      <w:r w:rsidR="00D11F2F">
        <w:t>the ACMA</w:t>
      </w:r>
      <w:r w:rsidR="6707999E">
        <w:t xml:space="preserve"> has made public. </w:t>
      </w:r>
      <w:r>
        <w:t xml:space="preserve">The data is taken from </w:t>
      </w:r>
      <w:r w:rsidR="00D11F2F">
        <w:t>the ACMA</w:t>
      </w:r>
      <w:r>
        <w:t xml:space="preserve"> publications including annual reports and online listings. </w:t>
      </w:r>
      <w:r w:rsidR="09ED7B81">
        <w:t xml:space="preserve">And as noted in the introduction to this chapter, </w:t>
      </w:r>
      <w:r w:rsidR="00D11F2F">
        <w:t>the ACMA</w:t>
      </w:r>
      <w:r w:rsidR="09ED7B81">
        <w:t xml:space="preserve"> does not generally publicise </w:t>
      </w:r>
      <w:r w:rsidR="09ED7B81" w:rsidRPr="47ACCDB0">
        <w:rPr>
          <w:rFonts w:eastAsia="Arial" w:cs="Arial"/>
        </w:rPr>
        <w:t>investigations where it concludes no breach has occurred.</w:t>
      </w:r>
    </w:p>
    <w:p w14:paraId="7C7ED67A" w14:textId="05420DA5" w:rsidR="00C30A23" w:rsidRDefault="62764307" w:rsidP="00A944E9">
      <w:bookmarkStart w:id="182" w:name="_Hlk158646083"/>
      <w:r>
        <w:t>Our research shows that out of 320 providers that were the subject of investigations with breach findings, the majority faced a single investigation. Specifically, 247 providers were the subject of one investigation, while 73 encountered multiple. Similarly, enforcement actions predominantly targeted providers once, with only 79 providers being the subject of more than one enforcement action. Not all breach findings result</w:t>
      </w:r>
      <w:r w:rsidR="64FD1CFC">
        <w:t>ed</w:t>
      </w:r>
      <w:r>
        <w:t xml:space="preserve"> in </w:t>
      </w:r>
      <w:r w:rsidR="00D11F2F">
        <w:t>the ACMA</w:t>
      </w:r>
      <w:r>
        <w:t xml:space="preserve"> undertaking enforcement action. Our research found 26 instances of no recorded enforcement action arising from a publicised investigation. These instances of no recorded enforcement action included investigations into 11 providers that were not the subject of any other enforcement action by </w:t>
      </w:r>
      <w:r w:rsidR="00D11F2F">
        <w:t>the ACMA</w:t>
      </w:r>
      <w:r>
        <w:t xml:space="preserve"> over the study period.</w:t>
      </w:r>
      <w:r w:rsidR="00567B7E">
        <w:rPr>
          <w:rStyle w:val="FootnoteReference"/>
        </w:rPr>
        <w:footnoteReference w:id="217"/>
      </w:r>
    </w:p>
    <w:p w14:paraId="52823AA0" w14:textId="044F97CA" w:rsidR="003546E5" w:rsidRDefault="62764307" w:rsidP="00A944E9">
      <w:r>
        <w:t>The full breakdown of enforcement actions against numbers of providers was as follows:</w:t>
      </w:r>
    </w:p>
    <w:p w14:paraId="1636D60A" w14:textId="20D7BC5B" w:rsidR="003546E5" w:rsidRDefault="3287D06A" w:rsidP="001019BA">
      <w:pPr>
        <w:pStyle w:val="ListParagraph"/>
        <w:numPr>
          <w:ilvl w:val="0"/>
          <w:numId w:val="58"/>
        </w:numPr>
      </w:pPr>
      <w:r>
        <w:t>230 providers were the subject of one enforcement action</w:t>
      </w:r>
    </w:p>
    <w:p w14:paraId="4D0FA9D6" w14:textId="0B5FA2C3" w:rsidR="003546E5" w:rsidRDefault="3287D06A" w:rsidP="001019BA">
      <w:pPr>
        <w:pStyle w:val="ListParagraph"/>
        <w:numPr>
          <w:ilvl w:val="0"/>
          <w:numId w:val="58"/>
        </w:numPr>
      </w:pPr>
      <w:r>
        <w:t>4</w:t>
      </w:r>
      <w:r w:rsidR="745415F5">
        <w:t>5</w:t>
      </w:r>
      <w:r>
        <w:t xml:space="preserve"> providers were the subject of two actions</w:t>
      </w:r>
    </w:p>
    <w:p w14:paraId="6BBF7940" w14:textId="1856CB3F" w:rsidR="003546E5" w:rsidRDefault="3287D06A" w:rsidP="001019BA">
      <w:pPr>
        <w:pStyle w:val="ListParagraph"/>
        <w:numPr>
          <w:ilvl w:val="0"/>
          <w:numId w:val="58"/>
        </w:numPr>
      </w:pPr>
      <w:r>
        <w:t>1</w:t>
      </w:r>
      <w:r w:rsidR="745415F5">
        <w:t>5</w:t>
      </w:r>
      <w:r>
        <w:t xml:space="preserve"> providers were the subject of 3 actions</w:t>
      </w:r>
    </w:p>
    <w:p w14:paraId="49625321" w14:textId="4C321636" w:rsidR="003546E5" w:rsidRDefault="00176E51" w:rsidP="001019BA">
      <w:pPr>
        <w:pStyle w:val="ListParagraph"/>
        <w:numPr>
          <w:ilvl w:val="0"/>
          <w:numId w:val="58"/>
        </w:numPr>
      </w:pPr>
      <w:r>
        <w:t>5</w:t>
      </w:r>
      <w:r w:rsidR="3287D06A">
        <w:t xml:space="preserve"> providers were the subject of 4 actions</w:t>
      </w:r>
    </w:p>
    <w:p w14:paraId="2C19DB62" w14:textId="6C51E898" w:rsidR="003546E5" w:rsidRDefault="00176E51" w:rsidP="001019BA">
      <w:pPr>
        <w:pStyle w:val="ListParagraph"/>
        <w:numPr>
          <w:ilvl w:val="0"/>
          <w:numId w:val="58"/>
        </w:numPr>
      </w:pPr>
      <w:r>
        <w:t>3</w:t>
      </w:r>
      <w:r w:rsidR="2E594EE7">
        <w:t xml:space="preserve"> </w:t>
      </w:r>
      <w:r w:rsidR="3287D06A">
        <w:t>providers were the subject of 5 actions</w:t>
      </w:r>
    </w:p>
    <w:p w14:paraId="4B3665DF" w14:textId="51A88CF2" w:rsidR="0000332F" w:rsidRDefault="2E594EE7" w:rsidP="001019BA">
      <w:pPr>
        <w:pStyle w:val="ListParagraph"/>
        <w:numPr>
          <w:ilvl w:val="0"/>
          <w:numId w:val="58"/>
        </w:numPr>
      </w:pPr>
      <w:r>
        <w:t xml:space="preserve">4 </w:t>
      </w:r>
      <w:r w:rsidR="3287D06A">
        <w:t>providers were the subject of 6 actions</w:t>
      </w:r>
    </w:p>
    <w:p w14:paraId="093F9EA6" w14:textId="77777777" w:rsidR="0000332F" w:rsidRDefault="3287D06A" w:rsidP="001019BA">
      <w:pPr>
        <w:pStyle w:val="ListParagraph"/>
        <w:numPr>
          <w:ilvl w:val="0"/>
          <w:numId w:val="58"/>
        </w:numPr>
      </w:pPr>
      <w:r>
        <w:t>1 provider was the subject of 7 actions</w:t>
      </w:r>
    </w:p>
    <w:p w14:paraId="5F83153B" w14:textId="4914FADC" w:rsidR="0000332F" w:rsidRDefault="2E594EE7" w:rsidP="001019BA">
      <w:pPr>
        <w:pStyle w:val="ListParagraph"/>
        <w:numPr>
          <w:ilvl w:val="0"/>
          <w:numId w:val="58"/>
        </w:numPr>
      </w:pPr>
      <w:r>
        <w:t xml:space="preserve">3 </w:t>
      </w:r>
      <w:r w:rsidR="3287D06A">
        <w:t>providers were the subject of 8 actions</w:t>
      </w:r>
    </w:p>
    <w:p w14:paraId="10575AFB" w14:textId="77777777" w:rsidR="0000332F" w:rsidRDefault="3287D06A" w:rsidP="001019BA">
      <w:pPr>
        <w:pStyle w:val="ListParagraph"/>
        <w:numPr>
          <w:ilvl w:val="0"/>
          <w:numId w:val="58"/>
        </w:numPr>
      </w:pPr>
      <w:r>
        <w:t>1 provider was the subject of 11 actions</w:t>
      </w:r>
    </w:p>
    <w:p w14:paraId="2789FDD3" w14:textId="77777777" w:rsidR="0000332F" w:rsidRDefault="3287D06A" w:rsidP="001019BA">
      <w:pPr>
        <w:pStyle w:val="ListParagraph"/>
        <w:numPr>
          <w:ilvl w:val="0"/>
          <w:numId w:val="58"/>
        </w:numPr>
      </w:pPr>
      <w:r>
        <w:t>1 provider was the subject of 12 actions</w:t>
      </w:r>
    </w:p>
    <w:p w14:paraId="43066BAD" w14:textId="36938D7C" w:rsidR="00F15C07" w:rsidRDefault="0D968C47" w:rsidP="001019BA">
      <w:pPr>
        <w:pStyle w:val="ListParagraph"/>
        <w:numPr>
          <w:ilvl w:val="0"/>
          <w:numId w:val="58"/>
        </w:numPr>
      </w:pPr>
      <w:r>
        <w:t>1</w:t>
      </w:r>
      <w:r w:rsidR="3287D06A">
        <w:t xml:space="preserve"> provider was the subject of 24 actions. </w:t>
      </w:r>
    </w:p>
    <w:p w14:paraId="114C2973" w14:textId="550B5013" w:rsidR="00F901FF" w:rsidRDefault="0D968C47" w:rsidP="47ACCDB0">
      <w:r>
        <w:lastRenderedPageBreak/>
        <w:t>While it is impractical to identify all the individual providers by name</w:t>
      </w:r>
      <w:r w:rsidR="4B328F87">
        <w:t xml:space="preserve"> here</w:t>
      </w:r>
      <w:r>
        <w:t xml:space="preserve">, Figure </w:t>
      </w:r>
      <w:r w:rsidR="628F7977" w:rsidRPr="00155508">
        <w:t>1</w:t>
      </w:r>
      <w:r w:rsidR="00B92ADF">
        <w:t>7</w:t>
      </w:r>
      <w:r w:rsidR="628F7977">
        <w:t xml:space="preserve"> </w:t>
      </w:r>
      <w:r>
        <w:t xml:space="preserve">provides an indication of the ‘top </w:t>
      </w:r>
      <w:r w:rsidR="545A7E58">
        <w:t>10</w:t>
      </w:r>
      <w:r>
        <w:t>’ providers in terms of enforcement action.</w:t>
      </w:r>
      <w:r w:rsidR="00822AD7">
        <w:rPr>
          <w:rStyle w:val="FootnoteReference"/>
        </w:rPr>
        <w:footnoteReference w:id="218"/>
      </w:r>
      <w:r>
        <w:t xml:space="preserve"> </w:t>
      </w:r>
      <w:r w:rsidR="1439464D" w:rsidRPr="00822AD7">
        <w:t xml:space="preserve">In keeping with our approach (explained in section B above) </w:t>
      </w:r>
      <w:r w:rsidR="12C0B64A" w:rsidRPr="00822AD7">
        <w:t xml:space="preserve">we </w:t>
      </w:r>
      <w:r w:rsidR="1439464D" w:rsidRPr="00822AD7">
        <w:t>treat as separate ‘providers’ companies within the same corporate group that use</w:t>
      </w:r>
      <w:r w:rsidR="3D2D0591" w:rsidRPr="00822AD7">
        <w:t>d</w:t>
      </w:r>
      <w:r w:rsidR="1439464D" w:rsidRPr="00822AD7">
        <w:t xml:space="preserve"> different entities to offer </w:t>
      </w:r>
      <w:r w:rsidR="5D6BCA4E" w:rsidRPr="00822AD7">
        <w:t xml:space="preserve">differently branded </w:t>
      </w:r>
      <w:r w:rsidR="1439464D" w:rsidRPr="00822AD7">
        <w:t>services to consumers</w:t>
      </w:r>
      <w:r w:rsidR="51919852" w:rsidRPr="00822AD7">
        <w:t>.</w:t>
      </w:r>
      <w:r w:rsidR="1439464D" w:rsidRPr="00822AD7">
        <w:t xml:space="preserve"> Vodafone and TPG are both listed in Figure 1</w:t>
      </w:r>
      <w:r w:rsidR="00B92ADF">
        <w:t>7</w:t>
      </w:r>
      <w:r w:rsidR="1439464D" w:rsidRPr="00822AD7">
        <w:t>, even</w:t>
      </w:r>
      <w:r w:rsidR="593933A4" w:rsidRPr="00822AD7">
        <w:t xml:space="preserve"> though</w:t>
      </w:r>
      <w:r w:rsidR="1439464D" w:rsidRPr="00822AD7">
        <w:t xml:space="preserve"> </w:t>
      </w:r>
      <w:bookmarkEnd w:id="182"/>
      <w:r w:rsidR="00B1605D">
        <w:t xml:space="preserve">they were the subject of a merger </w:t>
      </w:r>
      <w:r w:rsidR="38C39C3D" w:rsidRPr="00822AD7">
        <w:t>on 13 July 2020</w:t>
      </w:r>
      <w:r w:rsidR="1439464D" w:rsidRPr="00822AD7">
        <w:t>.</w:t>
      </w:r>
      <w:r w:rsidR="007A0827">
        <w:t xml:space="preserve"> As the merged </w:t>
      </w:r>
      <w:r w:rsidR="00720C51">
        <w:t xml:space="preserve">TPG-Vodafone </w:t>
      </w:r>
      <w:r w:rsidR="003E2F8A">
        <w:t xml:space="preserve">parent </w:t>
      </w:r>
      <w:r w:rsidR="007A0827">
        <w:t>entity carried on the TPG brand,</w:t>
      </w:r>
      <w:r w:rsidR="00720C51">
        <w:t xml:space="preserve"> for the purpose of </w:t>
      </w:r>
      <w:r w:rsidR="00864947">
        <w:t>this section</w:t>
      </w:r>
      <w:r w:rsidR="00720C51">
        <w:t>, post-merger enforcement action</w:t>
      </w:r>
      <w:r w:rsidR="003E2F8A">
        <w:t>s</w:t>
      </w:r>
      <w:r w:rsidR="00DC2C7F">
        <w:t xml:space="preserve"> that </w:t>
      </w:r>
      <w:r w:rsidR="00D11F2F">
        <w:t>the ACMA</w:t>
      </w:r>
      <w:r w:rsidR="00DC2C7F">
        <w:t xml:space="preserve"> </w:t>
      </w:r>
      <w:r w:rsidR="00545BC2">
        <w:t>has</w:t>
      </w:r>
      <w:r w:rsidR="00DC2C7F">
        <w:t xml:space="preserve"> taken</w:t>
      </w:r>
      <w:r w:rsidR="003E2F8A">
        <w:t xml:space="preserve"> against this parent entity</w:t>
      </w:r>
      <w:r w:rsidR="00720C51">
        <w:t xml:space="preserve"> have been counted against TPG</w:t>
      </w:r>
      <w:r w:rsidR="003906E1">
        <w:t xml:space="preserve"> </w:t>
      </w:r>
      <w:r w:rsidR="000206FE">
        <w:t>–</w:t>
      </w:r>
      <w:r w:rsidR="00184926">
        <w:t xml:space="preserve"> </w:t>
      </w:r>
      <w:r w:rsidR="000206FE">
        <w:t>t</w:t>
      </w:r>
      <w:r w:rsidR="00184926">
        <w:t>his included two entries, one in relation to the Vodafone brand,</w:t>
      </w:r>
      <w:bookmarkStart w:id="183" w:name="_Ref161680057"/>
      <w:r w:rsidR="00CE324E">
        <w:rPr>
          <w:rStyle w:val="FootnoteReference"/>
        </w:rPr>
        <w:footnoteReference w:id="219"/>
      </w:r>
      <w:bookmarkEnd w:id="183"/>
      <w:r w:rsidR="00184926">
        <w:t xml:space="preserve"> and the other in </w:t>
      </w:r>
      <w:r w:rsidR="008668D8">
        <w:t>connection</w:t>
      </w:r>
      <w:r w:rsidR="00184926">
        <w:t xml:space="preserve"> </w:t>
      </w:r>
      <w:r w:rsidR="008668D8">
        <w:t>with</w:t>
      </w:r>
      <w:r w:rsidR="00184926">
        <w:t xml:space="preserve"> the Lebara brand</w:t>
      </w:r>
      <w:r w:rsidR="00F841D1">
        <w:t>.</w:t>
      </w:r>
      <w:r w:rsidR="00CE324E">
        <w:rPr>
          <w:rStyle w:val="FootnoteReference"/>
        </w:rPr>
        <w:footnoteReference w:id="220"/>
      </w:r>
      <w:r w:rsidR="000B4369">
        <w:t xml:space="preserve"> </w:t>
      </w:r>
      <w:r w:rsidR="5A97F829" w:rsidRPr="00822AD7">
        <w:t>(See the separate note on TPG Group following the notes on the top 10 providers below</w:t>
      </w:r>
      <w:r w:rsidR="00F841D1">
        <w:t xml:space="preserve"> for further information</w:t>
      </w:r>
      <w:r w:rsidR="5A97F829" w:rsidRPr="00822AD7">
        <w:t>.)</w:t>
      </w:r>
      <w:r w:rsidR="00B55471">
        <w:t xml:space="preserve"> For context, it should be noted that </w:t>
      </w:r>
      <w:r w:rsidR="00DB6B88">
        <w:t xml:space="preserve">the </w:t>
      </w:r>
      <w:r w:rsidR="00584BCF">
        <w:t xml:space="preserve">customer base of </w:t>
      </w:r>
      <w:r w:rsidR="00DB6B88">
        <w:t xml:space="preserve">some of these providers (most notably, Telstra, Optus, Vodafone and TPG) </w:t>
      </w:r>
      <w:r w:rsidR="00AD73AD">
        <w:t>is substantially greater than others</w:t>
      </w:r>
      <w:r w:rsidR="00480947">
        <w:t>.</w:t>
      </w:r>
      <w:r w:rsidR="00323697">
        <w:t xml:space="preserve"> </w:t>
      </w:r>
    </w:p>
    <w:p w14:paraId="2E0BBA0D" w14:textId="77777777" w:rsidR="00363F6E" w:rsidRPr="00822AD7" w:rsidRDefault="00363F6E" w:rsidP="47ACCDB0"/>
    <w:p w14:paraId="668EFC0E" w14:textId="49663011" w:rsidR="00915A5C" w:rsidRPr="00221716" w:rsidRDefault="00915A5C" w:rsidP="00001816">
      <w:pPr>
        <w:spacing w:after="0" w:line="240" w:lineRule="auto"/>
        <w:jc w:val="center"/>
        <w:textAlignment w:val="baseline"/>
        <w:rPr>
          <w:rFonts w:asciiTheme="majorHAnsi" w:eastAsiaTheme="majorEastAsia" w:hAnsiTheme="majorHAnsi" w:cstheme="majorBidi"/>
          <w:color w:val="0F4BEB"/>
          <w:sz w:val="26"/>
          <w:szCs w:val="26"/>
        </w:rPr>
      </w:pPr>
      <w:r w:rsidRPr="00915A5C">
        <w:rPr>
          <w:rFonts w:asciiTheme="majorHAnsi" w:eastAsiaTheme="majorEastAsia" w:hAnsiTheme="majorHAnsi" w:cstheme="majorBidi"/>
          <w:noProof/>
          <w:color w:val="0F4BEB"/>
          <w:sz w:val="26"/>
          <w:szCs w:val="26"/>
        </w:rPr>
        <w:drawing>
          <wp:inline distT="0" distB="0" distL="0" distR="0" wp14:anchorId="704ECD52" wp14:editId="1DEC1D99">
            <wp:extent cx="4571903" cy="3060768"/>
            <wp:effectExtent l="0" t="0" r="635" b="0"/>
            <wp:docPr id="1618731946" name="Picture 1" descr="Figure 17. Breakdown of Providers with the Most Enforcement Actions Taken Against Them. A rectangle made up of 11 blocks in shades of blue, with the most pronounced blocks being Telstra (24), Lycamobile (12) and Optus (11). The other blocks are relative in size to their number of enforcement actions (see the bullet point list on the following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31946" name="Picture 1"/>
                    <pic:cNvPicPr/>
                  </pic:nvPicPr>
                  <pic:blipFill>
                    <a:blip r:embed="rId38">
                      <a:extLst>
                        <a:ext uri="{28A0092B-C50C-407E-A947-70E740481C1C}">
                          <a14:useLocalDpi xmlns:a14="http://schemas.microsoft.com/office/drawing/2010/main" val="0"/>
                        </a:ext>
                      </a:extLst>
                    </a:blip>
                    <a:stretch>
                      <a:fillRect/>
                    </a:stretch>
                  </pic:blipFill>
                  <pic:spPr>
                    <a:xfrm>
                      <a:off x="0" y="0"/>
                      <a:ext cx="4571903" cy="3060768"/>
                    </a:xfrm>
                    <a:prstGeom prst="rect">
                      <a:avLst/>
                    </a:prstGeom>
                  </pic:spPr>
                </pic:pic>
              </a:graphicData>
            </a:graphic>
          </wp:inline>
        </w:drawing>
      </w:r>
    </w:p>
    <w:p w14:paraId="4F3361D3" w14:textId="77777777" w:rsidR="00AD26FC" w:rsidRDefault="00221716" w:rsidP="00AD26FC">
      <w:pPr>
        <w:rPr>
          <w:lang w:eastAsia="en-AU"/>
        </w:rPr>
      </w:pPr>
      <w:r w:rsidRPr="00221716">
        <w:rPr>
          <w:rFonts w:asciiTheme="majorHAnsi" w:eastAsiaTheme="majorEastAsia" w:hAnsiTheme="majorHAnsi" w:cstheme="majorBidi"/>
          <w:noProof/>
          <w:color w:val="0F4BEB"/>
          <w:sz w:val="26"/>
          <w:szCs w:val="26"/>
        </w:rPr>
        <mc:AlternateContent>
          <mc:Choice Requires="wps">
            <w:drawing>
              <wp:inline distT="0" distB="0" distL="0" distR="0" wp14:anchorId="1CF4722B" wp14:editId="3AA53538">
                <wp:extent cx="5486400" cy="635"/>
                <wp:effectExtent l="0" t="0" r="0" b="635"/>
                <wp:docPr id="6" name="Text Box 6"/>
                <wp:cNvGraphicFramePr/>
                <a:graphic xmlns:a="http://schemas.openxmlformats.org/drawingml/2006/main">
                  <a:graphicData uri="http://schemas.microsoft.com/office/word/2010/wordprocessingShape">
                    <wps:wsp>
                      <wps:cNvSpPr txBox="1"/>
                      <wps:spPr>
                        <a:xfrm>
                          <a:off x="0" y="0"/>
                          <a:ext cx="5486400" cy="635"/>
                        </a:xfrm>
                        <a:prstGeom prst="rect">
                          <a:avLst/>
                        </a:prstGeom>
                        <a:noFill/>
                        <a:ln>
                          <a:noFill/>
                        </a:ln>
                      </wps:spPr>
                      <wps:txbx>
                        <w:txbxContent>
                          <w:p w14:paraId="1A9895D7" w14:textId="39BEC590" w:rsidR="00712508" w:rsidRPr="00020C22" w:rsidRDefault="00712508" w:rsidP="00221716">
                            <w:pPr>
                              <w:pStyle w:val="Caption"/>
                              <w:jc w:val="center"/>
                              <w:rPr>
                                <w:rFonts w:eastAsia="Times New Roman" w:cstheme="minorHAnsi"/>
                                <w:i w:val="0"/>
                                <w:noProof/>
                              </w:rPr>
                            </w:pPr>
                            <w:r w:rsidRPr="00020C22">
                              <w:rPr>
                                <w:i w:val="0"/>
                              </w:rPr>
                              <w:t xml:space="preserve">Figure </w:t>
                            </w:r>
                            <w:r w:rsidRPr="00020C22">
                              <w:rPr>
                                <w:i w:val="0"/>
                                <w:noProof/>
                              </w:rPr>
                              <w:t>17</w:t>
                            </w:r>
                            <w:r w:rsidRPr="00020C22">
                              <w:rPr>
                                <w:i w:val="0"/>
                              </w:rPr>
                              <w:t xml:space="preserve">. Breakdown of </w:t>
                            </w:r>
                            <w:r>
                              <w:rPr>
                                <w:i w:val="0"/>
                              </w:rPr>
                              <w:t>P</w:t>
                            </w:r>
                            <w:r w:rsidRPr="00020C22">
                              <w:rPr>
                                <w:i w:val="0"/>
                              </w:rPr>
                              <w:t xml:space="preserve">roviders with the </w:t>
                            </w:r>
                            <w:r>
                              <w:rPr>
                                <w:i w:val="0"/>
                              </w:rPr>
                              <w:t>M</w:t>
                            </w:r>
                            <w:r w:rsidRPr="00020C22">
                              <w:rPr>
                                <w:i w:val="0"/>
                              </w:rPr>
                              <w:t xml:space="preserve">ost </w:t>
                            </w:r>
                            <w:r>
                              <w:rPr>
                                <w:i w:val="0"/>
                              </w:rPr>
                              <w:t>E</w:t>
                            </w:r>
                            <w:r w:rsidRPr="00020C22">
                              <w:rPr>
                                <w:i w:val="0"/>
                              </w:rPr>
                              <w:t xml:space="preserve">nforcement </w:t>
                            </w:r>
                            <w:r>
                              <w:rPr>
                                <w:i w:val="0"/>
                              </w:rPr>
                              <w:t>A</w:t>
                            </w:r>
                            <w:r w:rsidRPr="00020C22">
                              <w:rPr>
                                <w:i w:val="0"/>
                              </w:rPr>
                              <w:t xml:space="preserve">ctions </w:t>
                            </w:r>
                            <w:r>
                              <w:rPr>
                                <w:i w:val="0"/>
                              </w:rPr>
                              <w:t>T</w:t>
                            </w:r>
                            <w:r w:rsidRPr="00020C22">
                              <w:rPr>
                                <w:i w:val="0"/>
                              </w:rPr>
                              <w:t xml:space="preserve">aken </w:t>
                            </w:r>
                            <w:r>
                              <w:rPr>
                                <w:i w:val="0"/>
                              </w:rPr>
                              <w:t>A</w:t>
                            </w:r>
                            <w:r w:rsidRPr="00020C22">
                              <w:rPr>
                                <w:i w:val="0"/>
                              </w:rPr>
                              <w:t xml:space="preserve">gainst </w:t>
                            </w:r>
                            <w:r>
                              <w:rPr>
                                <w:i w:val="0"/>
                              </w:rPr>
                              <w:t>T</w:t>
                            </w:r>
                            <w:r w:rsidRPr="00020C22">
                              <w:rPr>
                                <w:i w:val="0"/>
                              </w:rPr>
                              <w:t>hem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1CF4722B" id="_x0000_t202" coordsize="21600,21600" o:spt="202" path="m,l,21600r21600,l21600,xe">
                <v:stroke joinstyle="miter"/>
                <v:path gradientshapeok="t" o:connecttype="rect"/>
              </v:shapetype>
              <v:shape id="Text Box 6" o:spid="_x0000_s1033" type="#_x0000_t202" style="width:6in;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" filled="f" stroked="f">
                <v:textbox style="mso-fit-shape-to-text:t" inset="0,0,0,0">
                  <w:txbxContent>
                    <w:p w14:paraId="1A9895D7" w14:textId="39BEC590" w:rsidR="00712508" w:rsidRPr="00020C22" w:rsidRDefault="00712508" w:rsidP="00221716">
                      <w:pPr>
                        <w:pStyle w:val="Caption"/>
                        <w:jc w:val="center"/>
                        <w:rPr>
                          <w:rFonts w:eastAsia="Times New Roman" w:cstheme="minorHAnsi"/>
                          <w:i w:val="0"/>
                          <w:noProof/>
                        </w:rPr>
                      </w:pPr>
                      <w:r w:rsidRPr="00020C22">
                        <w:rPr>
                          <w:i w:val="0"/>
                        </w:rPr>
                        <w:t xml:space="preserve">Figure </w:t>
                      </w:r>
                      <w:r w:rsidRPr="00020C22">
                        <w:rPr>
                          <w:i w:val="0"/>
                          <w:noProof/>
                        </w:rPr>
                        <w:t>17</w:t>
                      </w:r>
                      <w:r w:rsidRPr="00020C22">
                        <w:rPr>
                          <w:i w:val="0"/>
                        </w:rPr>
                        <w:t xml:space="preserve">. Breakdown of </w:t>
                      </w:r>
                      <w:r>
                        <w:rPr>
                          <w:i w:val="0"/>
                        </w:rPr>
                        <w:t>P</w:t>
                      </w:r>
                      <w:r w:rsidRPr="00020C22">
                        <w:rPr>
                          <w:i w:val="0"/>
                        </w:rPr>
                        <w:t xml:space="preserve">roviders with the </w:t>
                      </w:r>
                      <w:r>
                        <w:rPr>
                          <w:i w:val="0"/>
                        </w:rPr>
                        <w:t>M</w:t>
                      </w:r>
                      <w:r w:rsidRPr="00020C22">
                        <w:rPr>
                          <w:i w:val="0"/>
                        </w:rPr>
                        <w:t xml:space="preserve">ost </w:t>
                      </w:r>
                      <w:r>
                        <w:rPr>
                          <w:i w:val="0"/>
                        </w:rPr>
                        <w:t>E</w:t>
                      </w:r>
                      <w:r w:rsidRPr="00020C22">
                        <w:rPr>
                          <w:i w:val="0"/>
                        </w:rPr>
                        <w:t xml:space="preserve">nforcement </w:t>
                      </w:r>
                      <w:r>
                        <w:rPr>
                          <w:i w:val="0"/>
                        </w:rPr>
                        <w:t>A</w:t>
                      </w:r>
                      <w:r w:rsidRPr="00020C22">
                        <w:rPr>
                          <w:i w:val="0"/>
                        </w:rPr>
                        <w:t xml:space="preserve">ctions </w:t>
                      </w:r>
                      <w:r>
                        <w:rPr>
                          <w:i w:val="0"/>
                        </w:rPr>
                        <w:t>T</w:t>
                      </w:r>
                      <w:r w:rsidRPr="00020C22">
                        <w:rPr>
                          <w:i w:val="0"/>
                        </w:rPr>
                        <w:t xml:space="preserve">aken </w:t>
                      </w:r>
                      <w:r>
                        <w:rPr>
                          <w:i w:val="0"/>
                        </w:rPr>
                        <w:t>A</w:t>
                      </w:r>
                      <w:r w:rsidRPr="00020C22">
                        <w:rPr>
                          <w:i w:val="0"/>
                        </w:rPr>
                        <w:t xml:space="preserve">gainst </w:t>
                      </w:r>
                      <w:r>
                        <w:rPr>
                          <w:i w:val="0"/>
                        </w:rPr>
                        <w:t>T</w:t>
                      </w:r>
                      <w:r w:rsidRPr="00020C22">
                        <w:rPr>
                          <w:i w:val="0"/>
                        </w:rPr>
                        <w:t>hem</w:t>
                      </w:r>
                    </w:p>
                  </w:txbxContent>
                </v:textbox>
                <w10:anchorlock/>
              </v:shape>
            </w:pict>
          </mc:Fallback>
        </mc:AlternateContent>
      </w:r>
    </w:p>
    <w:p w14:paraId="72056BF3" w14:textId="77777777" w:rsidR="00363F6E" w:rsidRDefault="00363F6E">
      <w:pPr>
        <w:jc w:val="left"/>
      </w:pPr>
      <w:r>
        <w:br w:type="page"/>
      </w:r>
    </w:p>
    <w:p w14:paraId="09847A8C" w14:textId="6D7664C9" w:rsidR="005A4293" w:rsidRPr="005A4293" w:rsidRDefault="6D1B86E9" w:rsidP="40F8949C">
      <w:pPr>
        <w:rPr>
          <w:lang w:eastAsia="en-AU"/>
        </w:rPr>
      </w:pPr>
      <w:r>
        <w:lastRenderedPageBreak/>
        <w:t xml:space="preserve">The providers </w:t>
      </w:r>
      <w:r w:rsidR="00D11F2F">
        <w:t>the ACMA</w:t>
      </w:r>
      <w:r>
        <w:t xml:space="preserve"> </w:t>
      </w:r>
      <w:r w:rsidR="3B323162">
        <w:t xml:space="preserve">publicly </w:t>
      </w:r>
      <w:r>
        <w:t>investigated the most were:</w:t>
      </w:r>
    </w:p>
    <w:p w14:paraId="3A5DF77F" w14:textId="6DDB7118" w:rsidR="005A4293" w:rsidRPr="005A4293" w:rsidRDefault="3C6A3794" w:rsidP="00AD26FC">
      <w:pPr>
        <w:pStyle w:val="Bullets"/>
        <w:spacing w:after="0"/>
        <w:rPr>
          <w:rFonts w:ascii="Times New Roman" w:hAnsi="Times New Roman" w:cs="Times New Roman"/>
          <w:sz w:val="24"/>
          <w:szCs w:val="24"/>
          <w:lang w:eastAsia="en-AU"/>
        </w:rPr>
      </w:pPr>
      <w:r w:rsidRPr="31481F43">
        <w:rPr>
          <w:lang w:eastAsia="en-AU"/>
        </w:rPr>
        <w:t>Telstra: 2</w:t>
      </w:r>
      <w:r w:rsidR="2C052164" w:rsidRPr="31481F43">
        <w:rPr>
          <w:lang w:eastAsia="en-AU"/>
        </w:rPr>
        <w:t>3</w:t>
      </w:r>
      <w:r w:rsidRPr="31481F43">
        <w:rPr>
          <w:lang w:eastAsia="en-AU"/>
        </w:rPr>
        <w:t xml:space="preserve"> investigations </w:t>
      </w:r>
    </w:p>
    <w:p w14:paraId="41EC842D" w14:textId="77777777" w:rsidR="005A4293" w:rsidRPr="005A4293" w:rsidRDefault="3C6A3794" w:rsidP="00AD26FC">
      <w:pPr>
        <w:pStyle w:val="Bullets"/>
        <w:spacing w:after="0"/>
        <w:rPr>
          <w:lang w:eastAsia="en-AU"/>
        </w:rPr>
      </w:pPr>
      <w:r w:rsidRPr="31481F43">
        <w:rPr>
          <w:lang w:eastAsia="en-AU"/>
        </w:rPr>
        <w:t>Optus: 12 investigations</w:t>
      </w:r>
    </w:p>
    <w:p w14:paraId="39E87880" w14:textId="21B6FB3A" w:rsidR="006F6A63" w:rsidRPr="005A4293" w:rsidRDefault="2C052164" w:rsidP="006F6A63">
      <w:pPr>
        <w:pStyle w:val="Bullets"/>
        <w:spacing w:after="0"/>
        <w:rPr>
          <w:lang w:eastAsia="en-AU"/>
        </w:rPr>
      </w:pPr>
      <w:r w:rsidRPr="31481F43">
        <w:rPr>
          <w:lang w:eastAsia="en-AU"/>
        </w:rPr>
        <w:t>Lycamobile: 8 investigations</w:t>
      </w:r>
    </w:p>
    <w:p w14:paraId="69AE0720" w14:textId="77D39380" w:rsidR="00A16F65" w:rsidRDefault="4C5A5A0E" w:rsidP="00AD26FC">
      <w:pPr>
        <w:pStyle w:val="Bullets"/>
        <w:spacing w:after="0"/>
      </w:pPr>
      <w:r w:rsidRPr="31481F43">
        <w:rPr>
          <w:lang w:eastAsia="en-AU"/>
        </w:rPr>
        <w:t xml:space="preserve">TPG: 8 investigations </w:t>
      </w:r>
      <w:r w:rsidR="5B4E6A03" w:rsidRPr="31481F43">
        <w:rPr>
          <w:rFonts w:cs="Arial"/>
          <w:color w:val="000000" w:themeColor="text1"/>
        </w:rPr>
        <w:t xml:space="preserve"> </w:t>
      </w:r>
    </w:p>
    <w:p w14:paraId="6109E349" w14:textId="2908DFD0" w:rsidR="002F76CF" w:rsidRDefault="2C052164" w:rsidP="00AD26FC">
      <w:pPr>
        <w:pStyle w:val="Bullets"/>
        <w:spacing w:after="0"/>
        <w:rPr>
          <w:lang w:eastAsia="en-AU"/>
        </w:rPr>
      </w:pPr>
      <w:r w:rsidRPr="31481F43">
        <w:rPr>
          <w:lang w:eastAsia="en-AU"/>
        </w:rPr>
        <w:t>Spin</w:t>
      </w:r>
      <w:r w:rsidR="43CEB265" w:rsidRPr="31481F43">
        <w:rPr>
          <w:lang w:eastAsia="en-AU"/>
        </w:rPr>
        <w:t>T</w:t>
      </w:r>
      <w:r w:rsidRPr="31481F43">
        <w:rPr>
          <w:lang w:eastAsia="en-AU"/>
        </w:rPr>
        <w:t>el</w:t>
      </w:r>
      <w:r w:rsidR="7BCAF1E0" w:rsidRPr="31481F43">
        <w:rPr>
          <w:lang w:eastAsia="en-AU"/>
        </w:rPr>
        <w:t xml:space="preserve">: </w:t>
      </w:r>
      <w:r w:rsidRPr="31481F43">
        <w:rPr>
          <w:lang w:eastAsia="en-AU"/>
        </w:rPr>
        <w:t>7</w:t>
      </w:r>
      <w:r w:rsidR="7BCAF1E0" w:rsidRPr="31481F43">
        <w:rPr>
          <w:lang w:eastAsia="en-AU"/>
        </w:rPr>
        <w:t xml:space="preserve"> investigations</w:t>
      </w:r>
    </w:p>
    <w:p w14:paraId="33FB755B" w14:textId="7DB63C94" w:rsidR="005A4293" w:rsidRDefault="1BD647BB" w:rsidP="00AD26FC">
      <w:pPr>
        <w:pStyle w:val="Bullets"/>
        <w:spacing w:after="0"/>
        <w:rPr>
          <w:lang w:eastAsia="en-AU"/>
        </w:rPr>
      </w:pPr>
      <w:r w:rsidRPr="31481F43">
        <w:rPr>
          <w:lang w:eastAsia="en-AU"/>
        </w:rPr>
        <w:t>Aussie Broadband: 6 investigations</w:t>
      </w:r>
    </w:p>
    <w:p w14:paraId="0BD396C3" w14:textId="6075450E" w:rsidR="002F76CF" w:rsidRDefault="1BD647BB" w:rsidP="00AD26FC">
      <w:pPr>
        <w:pStyle w:val="Bullets"/>
        <w:spacing w:after="0"/>
        <w:rPr>
          <w:lang w:eastAsia="en-AU"/>
        </w:rPr>
      </w:pPr>
      <w:r w:rsidRPr="31481F43">
        <w:rPr>
          <w:lang w:eastAsia="en-AU"/>
        </w:rPr>
        <w:t>Dodo: 6 investigations</w:t>
      </w:r>
    </w:p>
    <w:p w14:paraId="0DE70CEB" w14:textId="6EB23E3D" w:rsidR="002F76CF" w:rsidRDefault="1BD647BB" w:rsidP="00AD26FC">
      <w:pPr>
        <w:pStyle w:val="Bullets"/>
        <w:spacing w:after="0"/>
        <w:rPr>
          <w:lang w:eastAsia="en-AU"/>
        </w:rPr>
      </w:pPr>
      <w:r w:rsidRPr="31481F43">
        <w:rPr>
          <w:lang w:eastAsia="en-AU"/>
        </w:rPr>
        <w:t>Exetel: 6 investigations</w:t>
      </w:r>
    </w:p>
    <w:p w14:paraId="470A94DC" w14:textId="6E58BC26" w:rsidR="002F76CF" w:rsidRDefault="1BD647BB" w:rsidP="00AD26FC">
      <w:pPr>
        <w:pStyle w:val="Bullets"/>
        <w:spacing w:after="0"/>
        <w:rPr>
          <w:lang w:eastAsia="en-AU"/>
        </w:rPr>
      </w:pPr>
      <w:proofErr w:type="spellStart"/>
      <w:r w:rsidRPr="31481F43">
        <w:rPr>
          <w:lang w:eastAsia="en-AU"/>
        </w:rPr>
        <w:t>iTalkBB</w:t>
      </w:r>
      <w:proofErr w:type="spellEnd"/>
      <w:r w:rsidRPr="31481F43">
        <w:rPr>
          <w:lang w:eastAsia="en-AU"/>
        </w:rPr>
        <w:t>: 6 investigations</w:t>
      </w:r>
    </w:p>
    <w:p w14:paraId="5D36E415" w14:textId="7189BF78" w:rsidR="002F76CF" w:rsidRPr="005A4293" w:rsidRDefault="1BD647BB" w:rsidP="00AD26FC">
      <w:pPr>
        <w:pStyle w:val="Bullets"/>
        <w:spacing w:after="0"/>
        <w:rPr>
          <w:lang w:eastAsia="en-AU"/>
        </w:rPr>
      </w:pPr>
      <w:r w:rsidRPr="31481F43">
        <w:rPr>
          <w:lang w:eastAsia="en-AU"/>
        </w:rPr>
        <w:t>Vodafone: 6 investigations.</w:t>
      </w:r>
    </w:p>
    <w:p w14:paraId="778CA981" w14:textId="3929C956" w:rsidR="00AD26FC" w:rsidRDefault="00AD26FC" w:rsidP="47ACCDB0">
      <w:pPr>
        <w:spacing w:after="0"/>
        <w:rPr>
          <w:lang w:eastAsia="en-AU"/>
        </w:rPr>
      </w:pPr>
    </w:p>
    <w:p w14:paraId="7D870988" w14:textId="128E1DB1" w:rsidR="005A4293" w:rsidRPr="00AD26FC" w:rsidRDefault="00FE740A" w:rsidP="001556EF">
      <w:pPr>
        <w:rPr>
          <w:lang w:eastAsia="en-AU"/>
        </w:rPr>
      </w:pPr>
      <w:r>
        <w:rPr>
          <w:lang w:eastAsia="en-AU"/>
        </w:rPr>
        <w:t>T</w:t>
      </w:r>
      <w:r w:rsidR="00D11F2F">
        <w:rPr>
          <w:lang w:eastAsia="en-AU"/>
        </w:rPr>
        <w:t>he ACMA</w:t>
      </w:r>
      <w:r w:rsidR="6D1B86E9" w:rsidRPr="005A4293">
        <w:rPr>
          <w:lang w:eastAsia="en-AU"/>
        </w:rPr>
        <w:t xml:space="preserve"> </w:t>
      </w:r>
      <w:r w:rsidR="5F700BFB" w:rsidRPr="005A4293">
        <w:rPr>
          <w:lang w:eastAsia="en-AU"/>
        </w:rPr>
        <w:t xml:space="preserve">publicly </w:t>
      </w:r>
      <w:r w:rsidR="6D1B86E9" w:rsidRPr="005A4293">
        <w:rPr>
          <w:lang w:eastAsia="en-AU"/>
        </w:rPr>
        <w:t xml:space="preserve">took the most enforcement actions against: </w:t>
      </w:r>
    </w:p>
    <w:p w14:paraId="40859E5E" w14:textId="4639D7B7" w:rsidR="005A4293" w:rsidRPr="005A4293" w:rsidRDefault="3C6A3794" w:rsidP="00AD26FC">
      <w:pPr>
        <w:pStyle w:val="Bullets"/>
        <w:spacing w:after="0"/>
        <w:rPr>
          <w:rFonts w:ascii="Times New Roman" w:hAnsi="Times New Roman"/>
          <w:sz w:val="24"/>
          <w:szCs w:val="24"/>
          <w:lang w:eastAsia="en-AU"/>
        </w:rPr>
      </w:pPr>
      <w:r w:rsidRPr="31481F43">
        <w:rPr>
          <w:lang w:eastAsia="en-AU"/>
        </w:rPr>
        <w:t>Telstra: 2</w:t>
      </w:r>
      <w:r w:rsidR="2C052164" w:rsidRPr="31481F43">
        <w:rPr>
          <w:lang w:eastAsia="en-AU"/>
        </w:rPr>
        <w:t>4</w:t>
      </w:r>
      <w:r w:rsidRPr="31481F43">
        <w:rPr>
          <w:lang w:eastAsia="en-AU"/>
        </w:rPr>
        <w:t xml:space="preserve"> enforcement actions  </w:t>
      </w:r>
    </w:p>
    <w:p w14:paraId="61194EA5" w14:textId="5E3AD5CC" w:rsidR="005A4293" w:rsidRPr="005A4293" w:rsidRDefault="1ABA5247" w:rsidP="00AD26FC">
      <w:pPr>
        <w:pStyle w:val="Bullets"/>
        <w:spacing w:after="0"/>
        <w:rPr>
          <w:rFonts w:ascii="Times New Roman" w:hAnsi="Times New Roman"/>
          <w:sz w:val="24"/>
          <w:szCs w:val="24"/>
          <w:lang w:eastAsia="en-AU"/>
        </w:rPr>
      </w:pPr>
      <w:r w:rsidRPr="31481F43">
        <w:rPr>
          <w:lang w:eastAsia="en-AU"/>
        </w:rPr>
        <w:t>Lycamobile</w:t>
      </w:r>
      <w:r w:rsidR="3C6A3794" w:rsidRPr="31481F43">
        <w:rPr>
          <w:lang w:eastAsia="en-AU"/>
        </w:rPr>
        <w:t>: 1</w:t>
      </w:r>
      <w:r w:rsidR="2C052164" w:rsidRPr="31481F43">
        <w:rPr>
          <w:lang w:eastAsia="en-AU"/>
        </w:rPr>
        <w:t>2</w:t>
      </w:r>
      <w:r w:rsidR="3C6A3794" w:rsidRPr="31481F43">
        <w:rPr>
          <w:lang w:eastAsia="en-AU"/>
        </w:rPr>
        <w:t xml:space="preserve"> enforcement actions </w:t>
      </w:r>
    </w:p>
    <w:p w14:paraId="22EAE942" w14:textId="61ED607B" w:rsidR="005A4293" w:rsidRPr="005A4293" w:rsidRDefault="3C6A3794" w:rsidP="00AD26FC">
      <w:pPr>
        <w:pStyle w:val="Bullets"/>
        <w:spacing w:after="0"/>
        <w:rPr>
          <w:lang w:eastAsia="en-AU"/>
        </w:rPr>
      </w:pPr>
      <w:r w:rsidRPr="31481F43">
        <w:rPr>
          <w:lang w:eastAsia="en-AU"/>
        </w:rPr>
        <w:t xml:space="preserve">Optus: </w:t>
      </w:r>
      <w:r w:rsidR="5400D350" w:rsidRPr="31481F43">
        <w:rPr>
          <w:lang w:eastAsia="en-AU"/>
        </w:rPr>
        <w:t>1</w:t>
      </w:r>
      <w:r w:rsidR="2C052164" w:rsidRPr="31481F43">
        <w:rPr>
          <w:lang w:eastAsia="en-AU"/>
        </w:rPr>
        <w:t>1</w:t>
      </w:r>
      <w:r w:rsidR="5400D350" w:rsidRPr="31481F43">
        <w:rPr>
          <w:lang w:eastAsia="en-AU"/>
        </w:rPr>
        <w:t xml:space="preserve"> </w:t>
      </w:r>
      <w:r w:rsidRPr="31481F43">
        <w:rPr>
          <w:lang w:eastAsia="en-AU"/>
        </w:rPr>
        <w:t>enforcement actions  </w:t>
      </w:r>
    </w:p>
    <w:p w14:paraId="2903503C" w14:textId="0C15A35D" w:rsidR="005A4293" w:rsidRPr="005A4293" w:rsidRDefault="2C052164" w:rsidP="00AD26FC">
      <w:pPr>
        <w:pStyle w:val="Bullets"/>
        <w:spacing w:after="0"/>
        <w:rPr>
          <w:rFonts w:ascii="Times New Roman" w:hAnsi="Times New Roman" w:cs="Times New Roman"/>
          <w:sz w:val="24"/>
          <w:szCs w:val="24"/>
          <w:lang w:eastAsia="en-AU"/>
        </w:rPr>
      </w:pPr>
      <w:r w:rsidRPr="31481F43">
        <w:rPr>
          <w:lang w:eastAsia="en-AU"/>
        </w:rPr>
        <w:t>Spin</w:t>
      </w:r>
      <w:r w:rsidR="43CEB265" w:rsidRPr="31481F43">
        <w:rPr>
          <w:lang w:eastAsia="en-AU"/>
        </w:rPr>
        <w:t>T</w:t>
      </w:r>
      <w:r w:rsidRPr="31481F43">
        <w:rPr>
          <w:lang w:eastAsia="en-AU"/>
        </w:rPr>
        <w:t>el</w:t>
      </w:r>
      <w:r w:rsidR="3C6A3794" w:rsidRPr="31481F43">
        <w:rPr>
          <w:lang w:eastAsia="en-AU"/>
        </w:rPr>
        <w:t>: 8 enforcement actions  </w:t>
      </w:r>
    </w:p>
    <w:p w14:paraId="51711E7B" w14:textId="69C182FC" w:rsidR="00A16F65" w:rsidRDefault="5C381230" w:rsidP="00A16F65">
      <w:pPr>
        <w:pStyle w:val="Bullets"/>
        <w:spacing w:after="0"/>
      </w:pPr>
      <w:r w:rsidRPr="31481F43">
        <w:rPr>
          <w:lang w:eastAsia="en-AU"/>
        </w:rPr>
        <w:t>TPG</w:t>
      </w:r>
      <w:r w:rsidR="0C4F98F4" w:rsidRPr="31481F43">
        <w:rPr>
          <w:lang w:eastAsia="en-AU"/>
        </w:rPr>
        <w:t xml:space="preserve">: </w:t>
      </w:r>
      <w:r w:rsidR="2C052164" w:rsidRPr="31481F43">
        <w:rPr>
          <w:lang w:eastAsia="en-AU"/>
        </w:rPr>
        <w:t>8</w:t>
      </w:r>
      <w:r w:rsidR="0C4F98F4" w:rsidRPr="31481F43">
        <w:rPr>
          <w:lang w:eastAsia="en-AU"/>
        </w:rPr>
        <w:t xml:space="preserve"> enforcement actions</w:t>
      </w:r>
    </w:p>
    <w:p w14:paraId="62B3D9A7" w14:textId="3BCF45B1" w:rsidR="002F76CF" w:rsidRDefault="0639885B" w:rsidP="40F8949C">
      <w:pPr>
        <w:pStyle w:val="Bullets"/>
        <w:spacing w:after="0"/>
      </w:pPr>
      <w:r>
        <w:t xml:space="preserve">Vodafone: </w:t>
      </w:r>
      <w:r w:rsidR="049FDBD9">
        <w:t>8</w:t>
      </w:r>
      <w:r>
        <w:t xml:space="preserve"> enforcement actions</w:t>
      </w:r>
    </w:p>
    <w:p w14:paraId="4FCD3DDD" w14:textId="77777777" w:rsidR="002F76CF" w:rsidRDefault="1BD647BB" w:rsidP="40F8949C">
      <w:pPr>
        <w:pStyle w:val="Bullets"/>
        <w:spacing w:after="0"/>
      </w:pPr>
      <w:r>
        <w:t>Dodo: 7 enforcement actions</w:t>
      </w:r>
    </w:p>
    <w:p w14:paraId="66B7CE22" w14:textId="77777777" w:rsidR="002F76CF" w:rsidRDefault="1BD647BB" w:rsidP="002F76CF">
      <w:pPr>
        <w:pStyle w:val="Bullets"/>
        <w:spacing w:after="0"/>
      </w:pPr>
      <w:r>
        <w:t>Exetel: 6 enforcement actions</w:t>
      </w:r>
    </w:p>
    <w:p w14:paraId="346BD7ED" w14:textId="460B527A" w:rsidR="002F76CF" w:rsidRDefault="1BD647BB" w:rsidP="002F76CF">
      <w:pPr>
        <w:pStyle w:val="Bullets"/>
        <w:spacing w:after="0"/>
      </w:pPr>
      <w:proofErr w:type="spellStart"/>
      <w:r>
        <w:t>iTalkBB</w:t>
      </w:r>
      <w:proofErr w:type="spellEnd"/>
      <w:r>
        <w:t>: 6 enforcement actions</w:t>
      </w:r>
    </w:p>
    <w:p w14:paraId="28477651" w14:textId="6025C631" w:rsidR="002F76CF" w:rsidRDefault="1BD647BB" w:rsidP="002F76CF">
      <w:pPr>
        <w:pStyle w:val="Bullets"/>
        <w:spacing w:after="0"/>
      </w:pPr>
      <w:r>
        <w:t>MyRepublic: 6 enforcement actions</w:t>
      </w:r>
    </w:p>
    <w:p w14:paraId="132937B0" w14:textId="2E0B6210" w:rsidR="6FD65E75" w:rsidRDefault="1BD647BB" w:rsidP="40F8949C">
      <w:pPr>
        <w:pStyle w:val="Bullets"/>
        <w:spacing w:after="0"/>
      </w:pPr>
      <w:r>
        <w:t>Southern Phone Company: 6 enforcement actions.</w:t>
      </w:r>
    </w:p>
    <w:p w14:paraId="356ED9B0" w14:textId="09BB8817" w:rsidR="40F8949C" w:rsidRDefault="40F8949C" w:rsidP="00355F90">
      <w:pPr>
        <w:pStyle w:val="Bullets"/>
        <w:numPr>
          <w:ilvl w:val="0"/>
          <w:numId w:val="0"/>
        </w:numPr>
        <w:spacing w:after="0"/>
        <w:rPr>
          <w:szCs w:val="21"/>
        </w:rPr>
      </w:pPr>
    </w:p>
    <w:p w14:paraId="7F29DDAB" w14:textId="47710514" w:rsidR="005A4293" w:rsidRDefault="265D3233" w:rsidP="47ACCDB0">
      <w:pPr>
        <w:pStyle w:val="Bullets"/>
        <w:numPr>
          <w:ilvl w:val="0"/>
          <w:numId w:val="0"/>
        </w:numPr>
        <w:spacing w:after="0"/>
        <w:rPr>
          <w:lang w:eastAsia="en-AU"/>
        </w:rPr>
      </w:pPr>
      <w:r w:rsidRPr="47ACCDB0">
        <w:rPr>
          <w:lang w:eastAsia="en-AU"/>
        </w:rPr>
        <w:t xml:space="preserve">A short summary of the enforcement actions against each provider follows. </w:t>
      </w:r>
    </w:p>
    <w:p w14:paraId="55DCAE4D" w14:textId="77777777" w:rsidR="002F76CF" w:rsidRPr="001E4860" w:rsidRDefault="002F76CF" w:rsidP="00355F90">
      <w:pPr>
        <w:pStyle w:val="Bullets"/>
        <w:numPr>
          <w:ilvl w:val="0"/>
          <w:numId w:val="0"/>
        </w:numPr>
        <w:spacing w:after="0"/>
        <w:ind w:left="360"/>
        <w:rPr>
          <w:lang w:eastAsia="en-AU"/>
        </w:rPr>
      </w:pPr>
    </w:p>
    <w:p w14:paraId="67AC4EAF" w14:textId="77777777" w:rsidR="005A4293" w:rsidRPr="007044D3" w:rsidRDefault="005A4293" w:rsidP="007044D3">
      <w:pPr>
        <w:pStyle w:val="Heading3"/>
      </w:pPr>
      <w:bookmarkStart w:id="184" w:name="_Toc146201049"/>
      <w:bookmarkStart w:id="185" w:name="_Toc161836181"/>
      <w:r w:rsidRPr="007044D3">
        <w:t>1</w:t>
      </w:r>
      <w:r w:rsidRPr="007044D3">
        <w:tab/>
      </w:r>
      <w:r w:rsidRPr="007044D3">
        <w:rPr>
          <w:rStyle w:val="Heading4Char"/>
          <w:rFonts w:ascii="Arial" w:hAnsi="Arial"/>
          <w:i w:val="0"/>
          <w:iCs w:val="0"/>
        </w:rPr>
        <w:t xml:space="preserve">Enforcement </w:t>
      </w:r>
      <w:r w:rsidR="00B575EC" w:rsidRPr="007044D3">
        <w:rPr>
          <w:rStyle w:val="Heading4Char"/>
          <w:rFonts w:ascii="Arial" w:hAnsi="Arial"/>
          <w:i w:val="0"/>
          <w:iCs w:val="0"/>
        </w:rPr>
        <w:t>A</w:t>
      </w:r>
      <w:r w:rsidRPr="007044D3">
        <w:rPr>
          <w:rStyle w:val="Heading4Char"/>
          <w:rFonts w:ascii="Arial" w:hAnsi="Arial"/>
          <w:i w:val="0"/>
          <w:iCs w:val="0"/>
        </w:rPr>
        <w:t xml:space="preserve">ctions </w:t>
      </w:r>
      <w:r w:rsidR="00B575EC" w:rsidRPr="007044D3">
        <w:rPr>
          <w:rStyle w:val="Heading4Char"/>
          <w:rFonts w:ascii="Arial" w:hAnsi="Arial"/>
          <w:i w:val="0"/>
          <w:iCs w:val="0"/>
        </w:rPr>
        <w:t>A</w:t>
      </w:r>
      <w:r w:rsidRPr="007044D3">
        <w:rPr>
          <w:rStyle w:val="Heading4Char"/>
          <w:rFonts w:ascii="Arial" w:hAnsi="Arial"/>
          <w:i w:val="0"/>
          <w:iCs w:val="0"/>
        </w:rPr>
        <w:t>gainst Telstra</w:t>
      </w:r>
      <w:bookmarkEnd w:id="184"/>
      <w:bookmarkEnd w:id="185"/>
    </w:p>
    <w:p w14:paraId="73A719FD" w14:textId="1D91D3F9" w:rsidR="005A4293" w:rsidRPr="00AD26FC" w:rsidRDefault="61BAFAA0">
      <w:pPr>
        <w:spacing w:after="0" w:line="240" w:lineRule="auto"/>
        <w:rPr>
          <w:rFonts w:ascii="Times New Roman" w:hAnsi="Times New Roman" w:cs="Times New Roman"/>
          <w:sz w:val="24"/>
          <w:szCs w:val="24"/>
        </w:rPr>
      </w:pPr>
      <w:r>
        <w:t>The 2</w:t>
      </w:r>
      <w:r w:rsidR="593933A4">
        <w:t>4</w:t>
      </w:r>
      <w:r>
        <w:t xml:space="preserve"> enforcement actions against Telstra consisted of 7 formal warnings, 6 directions to comply, </w:t>
      </w:r>
      <w:r w:rsidR="4AE63047">
        <w:t>3</w:t>
      </w:r>
      <w:r>
        <w:t xml:space="preserve"> remedial directions, and 4 infringement notices (totalling $4,559,160). </w:t>
      </w:r>
      <w:r w:rsidR="005754B1">
        <w:t>T</w:t>
      </w:r>
      <w:r w:rsidR="00D11F2F">
        <w:t>he ACMA</w:t>
      </w:r>
      <w:r>
        <w:t xml:space="preserve"> also accepted </w:t>
      </w:r>
      <w:r w:rsidR="70C82D95">
        <w:t>4</w:t>
      </w:r>
      <w:r>
        <w:t xml:space="preserve"> enforceable undertakings. There were no civil penalties.</w:t>
      </w:r>
    </w:p>
    <w:p w14:paraId="6A45D427" w14:textId="77777777" w:rsidR="00B41690" w:rsidRDefault="00B41690" w:rsidP="005A4293">
      <w:pPr>
        <w:spacing w:after="0" w:line="240" w:lineRule="auto"/>
        <w:rPr>
          <w:rFonts w:eastAsia="Times New Roman"/>
        </w:rPr>
      </w:pPr>
    </w:p>
    <w:p w14:paraId="5A5356FA" w14:textId="49F8D666" w:rsidR="005A4293" w:rsidRPr="005A4293" w:rsidRDefault="24810A54" w:rsidP="005A4293">
      <w:pPr>
        <w:spacing w:after="0" w:line="240" w:lineRule="auto"/>
        <w:rPr>
          <w:rFonts w:ascii="Times New Roman" w:eastAsia="Times New Roman" w:hAnsi="Times New Roman" w:cs="Times New Roman"/>
          <w:sz w:val="24"/>
          <w:szCs w:val="24"/>
          <w:lang w:eastAsia="en-AU"/>
        </w:rPr>
      </w:pPr>
      <w:r w:rsidRPr="008855E4">
        <w:rPr>
          <w:rFonts w:eastAsia="Times New Roman"/>
        </w:rPr>
        <w:t>These 2</w:t>
      </w:r>
      <w:r w:rsidR="4AE63047">
        <w:rPr>
          <w:rFonts w:eastAsia="Times New Roman"/>
        </w:rPr>
        <w:t>4</w:t>
      </w:r>
      <w:r w:rsidRPr="008855E4">
        <w:rPr>
          <w:rFonts w:eastAsia="Times New Roman"/>
        </w:rPr>
        <w:t xml:space="preserve"> enforcement actions were taken in </w:t>
      </w:r>
      <w:r w:rsidR="0A9D5A88">
        <w:rPr>
          <w:rFonts w:eastAsia="Times New Roman"/>
        </w:rPr>
        <w:t>2012-13 (</w:t>
      </w:r>
      <w:r w:rsidR="3EC75300">
        <w:rPr>
          <w:rFonts w:eastAsia="Times New Roman"/>
        </w:rPr>
        <w:t xml:space="preserve">1), </w:t>
      </w:r>
      <w:r w:rsidRPr="008855E4">
        <w:rPr>
          <w:rFonts w:eastAsia="Times New Roman"/>
        </w:rPr>
        <w:t>2013-2014 (</w:t>
      </w:r>
      <w:r w:rsidR="3EC75300">
        <w:rPr>
          <w:rFonts w:eastAsia="Times New Roman"/>
        </w:rPr>
        <w:t>2</w:t>
      </w:r>
      <w:r w:rsidRPr="008855E4">
        <w:rPr>
          <w:rFonts w:eastAsia="Times New Roman"/>
        </w:rPr>
        <w:t>), 2018</w:t>
      </w:r>
      <w:r w:rsidR="3EC75300">
        <w:rPr>
          <w:rFonts w:eastAsia="Times New Roman"/>
        </w:rPr>
        <w:t>-19</w:t>
      </w:r>
      <w:r w:rsidRPr="008855E4">
        <w:rPr>
          <w:rFonts w:eastAsia="Times New Roman"/>
        </w:rPr>
        <w:t xml:space="preserve"> (</w:t>
      </w:r>
      <w:r w:rsidR="3EC75300">
        <w:rPr>
          <w:rFonts w:eastAsia="Times New Roman"/>
        </w:rPr>
        <w:t>6</w:t>
      </w:r>
      <w:r w:rsidRPr="008855E4">
        <w:rPr>
          <w:rFonts w:eastAsia="Times New Roman"/>
        </w:rPr>
        <w:t>), 2019</w:t>
      </w:r>
      <w:r w:rsidR="3EC75300">
        <w:rPr>
          <w:rFonts w:eastAsia="Times New Roman"/>
        </w:rPr>
        <w:t>-20</w:t>
      </w:r>
      <w:r w:rsidRPr="008855E4">
        <w:rPr>
          <w:rFonts w:eastAsia="Times New Roman"/>
        </w:rPr>
        <w:t xml:space="preserve"> (</w:t>
      </w:r>
      <w:r w:rsidR="3EC75300">
        <w:rPr>
          <w:rFonts w:eastAsia="Times New Roman"/>
        </w:rPr>
        <w:t>2</w:t>
      </w:r>
      <w:r w:rsidRPr="008855E4">
        <w:rPr>
          <w:rFonts w:eastAsia="Times New Roman"/>
        </w:rPr>
        <w:t>), 2020</w:t>
      </w:r>
      <w:r w:rsidR="3EC75300">
        <w:rPr>
          <w:rFonts w:eastAsia="Times New Roman"/>
        </w:rPr>
        <w:t>-21</w:t>
      </w:r>
      <w:r w:rsidRPr="008855E4">
        <w:rPr>
          <w:rFonts w:eastAsia="Times New Roman"/>
        </w:rPr>
        <w:t xml:space="preserve"> (</w:t>
      </w:r>
      <w:r w:rsidR="3EC75300">
        <w:rPr>
          <w:rFonts w:eastAsia="Times New Roman"/>
        </w:rPr>
        <w:t>4</w:t>
      </w:r>
      <w:r w:rsidRPr="008855E4">
        <w:rPr>
          <w:rFonts w:eastAsia="Times New Roman"/>
        </w:rPr>
        <w:t>), 2021</w:t>
      </w:r>
      <w:r w:rsidR="3EC75300">
        <w:rPr>
          <w:rFonts w:eastAsia="Times New Roman"/>
        </w:rPr>
        <w:t>-2</w:t>
      </w:r>
      <w:r w:rsidRPr="008855E4">
        <w:rPr>
          <w:rFonts w:eastAsia="Times New Roman"/>
        </w:rPr>
        <w:t xml:space="preserve"> (</w:t>
      </w:r>
      <w:r w:rsidR="3EC75300">
        <w:rPr>
          <w:rFonts w:eastAsia="Times New Roman"/>
        </w:rPr>
        <w:t>5</w:t>
      </w:r>
      <w:r w:rsidRPr="008855E4">
        <w:rPr>
          <w:rFonts w:eastAsia="Times New Roman"/>
        </w:rPr>
        <w:t>)</w:t>
      </w:r>
      <w:r w:rsidR="3EC75300">
        <w:rPr>
          <w:rFonts w:eastAsia="Times New Roman"/>
        </w:rPr>
        <w:t xml:space="preserve"> and</w:t>
      </w:r>
      <w:r w:rsidRPr="008855E4">
        <w:rPr>
          <w:rFonts w:eastAsia="Times New Roman"/>
        </w:rPr>
        <w:t xml:space="preserve"> 2022</w:t>
      </w:r>
      <w:r w:rsidR="3EC75300">
        <w:rPr>
          <w:rFonts w:eastAsia="Times New Roman"/>
        </w:rPr>
        <w:t>-23</w:t>
      </w:r>
      <w:r w:rsidRPr="008855E4">
        <w:rPr>
          <w:rFonts w:eastAsia="Times New Roman"/>
        </w:rPr>
        <w:t xml:space="preserve"> (</w:t>
      </w:r>
      <w:r w:rsidR="3EC75300">
        <w:rPr>
          <w:rFonts w:eastAsia="Times New Roman"/>
        </w:rPr>
        <w:t>4</w:t>
      </w:r>
      <w:r w:rsidRPr="008855E4">
        <w:rPr>
          <w:rFonts w:eastAsia="Times New Roman"/>
        </w:rPr>
        <w:t>)</w:t>
      </w:r>
      <w:r w:rsidRPr="005A4293">
        <w:rPr>
          <w:rFonts w:eastAsia="Times New Roman"/>
        </w:rPr>
        <w:t>.</w:t>
      </w:r>
      <w:r w:rsidR="005A4293" w:rsidRPr="005A4293">
        <w:rPr>
          <w:rFonts w:eastAsia="Times New Roman"/>
          <w:vertAlign w:val="superscript"/>
        </w:rPr>
        <w:footnoteReference w:id="221"/>
      </w:r>
    </w:p>
    <w:p w14:paraId="2B59E1A4" w14:textId="77777777" w:rsidR="00081E60" w:rsidRDefault="00081E60" w:rsidP="00AD26FC">
      <w:pPr>
        <w:spacing w:after="0"/>
        <w:rPr>
          <w:lang w:eastAsia="en-AU"/>
        </w:rPr>
      </w:pPr>
    </w:p>
    <w:p w14:paraId="4A3CA909" w14:textId="287854CC" w:rsidR="005A4293" w:rsidRPr="005A4293" w:rsidRDefault="005A4293" w:rsidP="00480947">
      <w:pPr>
        <w:rPr>
          <w:lang w:eastAsia="en-AU"/>
        </w:rPr>
      </w:pPr>
      <w:r w:rsidRPr="005A4293">
        <w:rPr>
          <w:lang w:eastAsia="en-AU"/>
        </w:rPr>
        <w:t>The enforcement actions against Telstra concerned breaches of:</w:t>
      </w:r>
    </w:p>
    <w:p w14:paraId="19B2DDF4" w14:textId="0D7FE83F" w:rsidR="00F02222" w:rsidRDefault="3C6A3794" w:rsidP="008A6EB6">
      <w:pPr>
        <w:pStyle w:val="Bullets"/>
        <w:spacing w:after="0"/>
        <w:jc w:val="left"/>
        <w:rPr>
          <w:lang w:eastAsia="en-AU"/>
        </w:rPr>
      </w:pPr>
      <w:r w:rsidRPr="31481F43">
        <w:rPr>
          <w:lang w:eastAsia="en-AU"/>
        </w:rPr>
        <w:t>the TCP Code</w:t>
      </w:r>
      <w:r w:rsidR="00740882">
        <w:rPr>
          <w:lang w:eastAsia="en-AU"/>
        </w:rPr>
        <w:t>, including directions to comply with this code</w:t>
      </w:r>
    </w:p>
    <w:p w14:paraId="142D8D8C" w14:textId="35A6949C" w:rsidR="005A4293" w:rsidRPr="005A4293" w:rsidRDefault="00F02222" w:rsidP="008A6EB6">
      <w:pPr>
        <w:pStyle w:val="Bullets"/>
        <w:spacing w:after="0"/>
        <w:jc w:val="left"/>
        <w:rPr>
          <w:lang w:eastAsia="en-AU"/>
        </w:rPr>
      </w:pPr>
      <w:r w:rsidRPr="27E57E23">
        <w:rPr>
          <w:lang w:eastAsia="en-AU"/>
        </w:rPr>
        <w:t>the</w:t>
      </w:r>
      <w:r w:rsidR="240F503D" w:rsidRPr="27E57E23">
        <w:rPr>
          <w:lang w:eastAsia="en-AU"/>
        </w:rPr>
        <w:t xml:space="preserve"> Local Number Portability Code</w:t>
      </w:r>
    </w:p>
    <w:p w14:paraId="23095447" w14:textId="529FFE0F" w:rsidR="005A4293" w:rsidRPr="005A4293" w:rsidRDefault="3C6A3794" w:rsidP="008A6EB6">
      <w:pPr>
        <w:pStyle w:val="Bullets"/>
        <w:spacing w:after="0"/>
        <w:jc w:val="left"/>
        <w:rPr>
          <w:lang w:eastAsia="en-AU"/>
        </w:rPr>
      </w:pPr>
      <w:r w:rsidRPr="27E57E23">
        <w:rPr>
          <w:lang w:eastAsia="en-AU"/>
        </w:rPr>
        <w:t>the Telecommunications (Consumer Complaints Handling) Industry Standard 2018</w:t>
      </w:r>
    </w:p>
    <w:p w14:paraId="37F2E78F" w14:textId="3B1C69BC" w:rsidR="005A4293" w:rsidRPr="005A4293" w:rsidRDefault="00AA7AED" w:rsidP="008A6EB6">
      <w:pPr>
        <w:pStyle w:val="Bullets"/>
        <w:spacing w:after="0"/>
        <w:jc w:val="left"/>
        <w:rPr>
          <w:rFonts w:cs="Arial"/>
          <w:lang w:eastAsia="en-AU"/>
        </w:rPr>
      </w:pPr>
      <w:r>
        <w:rPr>
          <w:rFonts w:cs="Arial"/>
          <w:lang w:eastAsia="en-AU"/>
        </w:rPr>
        <w:t>Tel Act</w:t>
      </w:r>
      <w:r w:rsidR="211AE2D1" w:rsidRPr="27E57E23">
        <w:rPr>
          <w:rFonts w:cs="Arial"/>
          <w:lang w:eastAsia="en-AU"/>
        </w:rPr>
        <w:t xml:space="preserve"> </w:t>
      </w:r>
      <w:r w:rsidR="1E7317E2" w:rsidRPr="27E57E23">
        <w:rPr>
          <w:rFonts w:cs="Arial"/>
          <w:lang w:eastAsia="en-AU"/>
        </w:rPr>
        <w:t>IPND</w:t>
      </w:r>
      <w:r w:rsidR="2757FD0B" w:rsidRPr="27E57E23">
        <w:rPr>
          <w:rFonts w:cs="Arial"/>
          <w:lang w:eastAsia="en-AU"/>
        </w:rPr>
        <w:t xml:space="preserve"> </w:t>
      </w:r>
      <w:r w:rsidR="1E7317E2" w:rsidRPr="27E57E23">
        <w:rPr>
          <w:rFonts w:cs="Arial"/>
          <w:lang w:eastAsia="en-AU"/>
        </w:rPr>
        <w:t>obligations</w:t>
      </w:r>
      <w:r w:rsidR="439D7BC1" w:rsidRPr="27E57E23">
        <w:rPr>
          <w:rFonts w:cs="Arial"/>
          <w:lang w:eastAsia="en-AU"/>
        </w:rPr>
        <w:t xml:space="preserve"> and the IPND Code</w:t>
      </w:r>
    </w:p>
    <w:p w14:paraId="7CAA2287" w14:textId="4B151F5A" w:rsidR="005A4293" w:rsidRPr="005A4293" w:rsidRDefault="3C6A3794" w:rsidP="008A6EB6">
      <w:pPr>
        <w:pStyle w:val="Bullets"/>
        <w:spacing w:after="0"/>
        <w:jc w:val="left"/>
        <w:rPr>
          <w:lang w:eastAsia="en-AU"/>
        </w:rPr>
      </w:pPr>
      <w:r w:rsidRPr="27E57E23">
        <w:rPr>
          <w:lang w:eastAsia="en-AU"/>
        </w:rPr>
        <w:lastRenderedPageBreak/>
        <w:t xml:space="preserve">number portability-related obligations, including </w:t>
      </w:r>
      <w:r w:rsidR="00AA7AED">
        <w:rPr>
          <w:lang w:eastAsia="en-AU"/>
        </w:rPr>
        <w:t>Tel Act</w:t>
      </w:r>
      <w:r w:rsidR="49E4EB96" w:rsidRPr="27E57E23">
        <w:rPr>
          <w:lang w:eastAsia="en-AU"/>
        </w:rPr>
        <w:t xml:space="preserve"> provisions relating to the Telecommunications Numbering Plan and </w:t>
      </w:r>
      <w:r w:rsidRPr="27E57E23">
        <w:rPr>
          <w:lang w:eastAsia="en-AU"/>
        </w:rPr>
        <w:t>the Telecommunications (Mobile Number Pre-porting Additional Identity Verification) Industry Standard 2020</w:t>
      </w:r>
    </w:p>
    <w:p w14:paraId="25FB7D1F" w14:textId="680736D7" w:rsidR="005A4293" w:rsidRPr="005A4293" w:rsidRDefault="3C6A3794" w:rsidP="008A6EB6">
      <w:pPr>
        <w:pStyle w:val="Bullets"/>
        <w:spacing w:after="0"/>
        <w:jc w:val="left"/>
        <w:rPr>
          <w:lang w:eastAsia="en-AU"/>
        </w:rPr>
      </w:pPr>
      <w:r w:rsidRPr="27E57E23">
        <w:rPr>
          <w:lang w:eastAsia="en-AU"/>
        </w:rPr>
        <w:t xml:space="preserve">the Telecommunications Service Provider (NBN Service Migration) Determination 2018 and Telecommunications (NBN Continuity of Service) Industry Standard 2018 </w:t>
      </w:r>
    </w:p>
    <w:p w14:paraId="3BFBCD47" w14:textId="77CFD21C" w:rsidR="005A4293" w:rsidRPr="005A4293" w:rsidRDefault="3C6A3794" w:rsidP="008A6EB6">
      <w:pPr>
        <w:pStyle w:val="Bullets"/>
        <w:spacing w:after="0"/>
        <w:jc w:val="left"/>
        <w:rPr>
          <w:lang w:eastAsia="en-AU"/>
        </w:rPr>
      </w:pPr>
      <w:r w:rsidRPr="27E57E23">
        <w:rPr>
          <w:lang w:eastAsia="en-AU"/>
        </w:rPr>
        <w:t>the Telecommunications (Emergency Call Service) Determination 2009</w:t>
      </w:r>
    </w:p>
    <w:p w14:paraId="45FEED6A" w14:textId="2B1B579B" w:rsidR="005A4293" w:rsidRPr="00236FB2" w:rsidRDefault="3C6A3794" w:rsidP="008A6EB6">
      <w:pPr>
        <w:pStyle w:val="Bullets"/>
        <w:spacing w:after="0"/>
        <w:jc w:val="left"/>
        <w:rPr>
          <w:lang w:eastAsia="en-AU"/>
        </w:rPr>
      </w:pPr>
      <w:r w:rsidRPr="27E57E23">
        <w:rPr>
          <w:lang w:eastAsia="en-AU"/>
        </w:rPr>
        <w:t xml:space="preserve">the Telecommunications (Carrier Licence Conditions Telstra Corporation Limited) Declaration 2019 (arrangements for </w:t>
      </w:r>
      <w:r w:rsidR="4FC56F43" w:rsidRPr="27E57E23">
        <w:rPr>
          <w:lang w:eastAsia="en-AU"/>
        </w:rPr>
        <w:t>priority assistance</w:t>
      </w:r>
      <w:r w:rsidRPr="27E57E23">
        <w:rPr>
          <w:lang w:eastAsia="en-AU"/>
        </w:rPr>
        <w:t>)</w:t>
      </w:r>
      <w:r w:rsidR="4A52569C" w:rsidRPr="00236FB2">
        <w:rPr>
          <w:lang w:eastAsia="en-AU"/>
        </w:rPr>
        <w:t>.</w:t>
      </w:r>
      <w:r w:rsidR="00236FB2">
        <w:rPr>
          <w:rStyle w:val="FootnoteReference"/>
          <w:lang w:eastAsia="en-AU"/>
        </w:rPr>
        <w:footnoteReference w:id="222"/>
      </w:r>
    </w:p>
    <w:p w14:paraId="5FE6E66E" w14:textId="77777777" w:rsidR="005A4293" w:rsidRPr="005A4293" w:rsidRDefault="005A4293" w:rsidP="005A4293">
      <w:pPr>
        <w:spacing w:after="0" w:line="240" w:lineRule="auto"/>
        <w:ind w:left="773"/>
        <w:rPr>
          <w:rFonts w:ascii="Calibri" w:eastAsia="Times New Roman" w:hAnsi="Calibri" w:cs="Arial"/>
          <w:lang w:eastAsia="en-AU"/>
        </w:rPr>
      </w:pPr>
      <w:r w:rsidRPr="005A4293">
        <w:rPr>
          <w:rFonts w:ascii="Calibri" w:eastAsia="Times New Roman" w:hAnsi="Calibri" w:cs="Arial"/>
          <w:lang w:eastAsia="en-AU"/>
        </w:rPr>
        <w:t> </w:t>
      </w:r>
      <w:r w:rsidRPr="005A4293">
        <w:rPr>
          <w:rFonts w:ascii="Times New Roman" w:eastAsia="Times New Roman" w:hAnsi="Times New Roman" w:cs="Times New Roman"/>
          <w:sz w:val="24"/>
          <w:szCs w:val="24"/>
          <w:lang w:eastAsia="en-AU"/>
        </w:rPr>
        <w:t xml:space="preserve"> </w:t>
      </w:r>
    </w:p>
    <w:p w14:paraId="44F30EBA" w14:textId="3CCA7372" w:rsidR="007044D3" w:rsidRPr="005A4293" w:rsidRDefault="24810A54" w:rsidP="00AD26FC">
      <w:r w:rsidRPr="005A4293">
        <w:t xml:space="preserve">The largest infringement penalty notice issued to Telstra was in December 2021 for $2.53 million. It was issued after the company failed to comply with its IPND obligations in almost 50,000 instances for its Telstra brand and in over 65,000 instances for its Belong brand. This notice followed previous </w:t>
      </w:r>
      <w:r w:rsidR="00D11F2F">
        <w:t>the ACMA</w:t>
      </w:r>
      <w:r w:rsidRPr="005A4293">
        <w:t xml:space="preserve"> findings in 2019 that Telstra had breached the same obligations. In a December 2021 </w:t>
      </w:r>
      <w:r w:rsidR="00E4354A">
        <w:t>media</w:t>
      </w:r>
      <w:r>
        <w:t xml:space="preserve"> </w:t>
      </w:r>
      <w:r w:rsidRPr="005A4293">
        <w:t>release,</w:t>
      </w:r>
      <w:r w:rsidR="005A4293" w:rsidRPr="005A4293">
        <w:rPr>
          <w:vertAlign w:val="superscript"/>
        </w:rPr>
        <w:footnoteReference w:id="223"/>
      </w:r>
      <w:r w:rsidRPr="005A4293">
        <w:t xml:space="preserve"> </w:t>
      </w:r>
      <w:r w:rsidR="00D11F2F">
        <w:t>the ACMA</w:t>
      </w:r>
      <w:r w:rsidRPr="005A4293">
        <w:t xml:space="preserve"> acknowledged that Telstra had self-reported the issue. However, it suggested the infringement notice (along with a direction to comply) were issued because it was not the company’s first major breach of the IPND rules. The same </w:t>
      </w:r>
      <w:r w:rsidR="00E4354A">
        <w:t>media</w:t>
      </w:r>
      <w:r>
        <w:t xml:space="preserve"> </w:t>
      </w:r>
      <w:r w:rsidRPr="005A4293">
        <w:t xml:space="preserve">release mentioned that the action was part of an ongoing campaign to improve IPND </w:t>
      </w:r>
      <w:r w:rsidR="29C0B690">
        <w:t xml:space="preserve">compliance </w:t>
      </w:r>
      <w:r w:rsidRPr="005A4293">
        <w:t xml:space="preserve">and that the </w:t>
      </w:r>
      <w:r w:rsidR="00D11F2F">
        <w:t>ACMA</w:t>
      </w:r>
      <w:r w:rsidRPr="005A4293">
        <w:t xml:space="preserve"> had taken similar action against a total of 26 telcos for non-compliance.</w:t>
      </w:r>
    </w:p>
    <w:p w14:paraId="2EB213D3" w14:textId="77777777" w:rsidR="005A4293" w:rsidRPr="007044D3" w:rsidRDefault="005A4293" w:rsidP="007044D3">
      <w:pPr>
        <w:pStyle w:val="Heading3"/>
      </w:pPr>
      <w:bookmarkStart w:id="186" w:name="_Toc146201050"/>
      <w:bookmarkStart w:id="187" w:name="_Toc161836182"/>
      <w:r w:rsidRPr="007044D3">
        <w:t>2</w:t>
      </w:r>
      <w:r w:rsidRPr="007044D3">
        <w:tab/>
      </w:r>
      <w:r w:rsidRPr="007044D3">
        <w:rPr>
          <w:rStyle w:val="Heading4Char"/>
          <w:rFonts w:ascii="Arial" w:hAnsi="Arial"/>
          <w:i w:val="0"/>
          <w:iCs w:val="0"/>
        </w:rPr>
        <w:t xml:space="preserve">Enforcement </w:t>
      </w:r>
      <w:r w:rsidR="00B575EC" w:rsidRPr="007044D3">
        <w:rPr>
          <w:rStyle w:val="Heading4Char"/>
          <w:rFonts w:ascii="Arial" w:hAnsi="Arial"/>
          <w:i w:val="0"/>
          <w:iCs w:val="0"/>
        </w:rPr>
        <w:t>A</w:t>
      </w:r>
      <w:r w:rsidRPr="007044D3">
        <w:rPr>
          <w:rStyle w:val="Heading4Char"/>
          <w:rFonts w:ascii="Arial" w:hAnsi="Arial"/>
          <w:i w:val="0"/>
          <w:iCs w:val="0"/>
        </w:rPr>
        <w:t xml:space="preserve">ctions </w:t>
      </w:r>
      <w:r w:rsidR="00B575EC" w:rsidRPr="007044D3">
        <w:rPr>
          <w:rStyle w:val="Heading4Char"/>
          <w:rFonts w:ascii="Arial" w:hAnsi="Arial"/>
          <w:i w:val="0"/>
          <w:iCs w:val="0"/>
        </w:rPr>
        <w:t>A</w:t>
      </w:r>
      <w:r w:rsidRPr="007044D3">
        <w:rPr>
          <w:rStyle w:val="Heading4Char"/>
          <w:rFonts w:ascii="Arial" w:hAnsi="Arial"/>
          <w:i w:val="0"/>
          <w:iCs w:val="0"/>
        </w:rPr>
        <w:t>gainst Lycamobile</w:t>
      </w:r>
      <w:bookmarkEnd w:id="186"/>
      <w:bookmarkEnd w:id="187"/>
    </w:p>
    <w:p w14:paraId="627F1B7D" w14:textId="5125B4FE" w:rsidR="005A4293" w:rsidRPr="00AD26FC" w:rsidRDefault="24810A54" w:rsidP="00AD26FC">
      <w:pPr>
        <w:rPr>
          <w:rFonts w:ascii="Times New Roman" w:hAnsi="Times New Roman"/>
          <w:lang w:eastAsia="en-AU"/>
        </w:rPr>
      </w:pPr>
      <w:r w:rsidRPr="004D5663">
        <w:rPr>
          <w:rFonts w:eastAsia="Times New Roman" w:cs="Calibri"/>
          <w:szCs w:val="21"/>
          <w:lang w:eastAsia="en-AU"/>
        </w:rPr>
        <w:t>The</w:t>
      </w:r>
      <w:r w:rsidRPr="47ACCDB0">
        <w:rPr>
          <w:rFonts w:ascii="Times New Roman" w:eastAsia="Times New Roman" w:hAnsi="Times New Roman" w:cs="Calibri"/>
          <w:sz w:val="24"/>
          <w:szCs w:val="24"/>
          <w:lang w:eastAsia="en-AU"/>
        </w:rPr>
        <w:t xml:space="preserve"> </w:t>
      </w:r>
      <w:r w:rsidRPr="47ACCDB0">
        <w:rPr>
          <w:rFonts w:eastAsia="Times New Roman" w:cs="Calibri"/>
          <w:lang w:eastAsia="en-AU"/>
        </w:rPr>
        <w:t>1</w:t>
      </w:r>
      <w:r w:rsidR="56B38A61" w:rsidRPr="47ACCDB0">
        <w:rPr>
          <w:rFonts w:eastAsia="Times New Roman" w:cs="Calibri"/>
          <w:lang w:eastAsia="en-AU"/>
        </w:rPr>
        <w:t>2</w:t>
      </w:r>
      <w:r w:rsidRPr="47ACCDB0">
        <w:rPr>
          <w:rFonts w:eastAsia="Times New Roman" w:cs="Calibri"/>
          <w:lang w:eastAsia="en-AU"/>
        </w:rPr>
        <w:t xml:space="preserve"> enforcement actions against Lycamobile</w:t>
      </w:r>
      <w:r w:rsidRPr="47ACCDB0">
        <w:rPr>
          <w:rFonts w:ascii="Times New Roman" w:eastAsia="Times New Roman" w:hAnsi="Times New Roman" w:cs="Calibri"/>
          <w:sz w:val="24"/>
          <w:szCs w:val="24"/>
          <w:lang w:eastAsia="en-AU"/>
        </w:rPr>
        <w:t xml:space="preserve"> </w:t>
      </w:r>
      <w:r w:rsidRPr="47ACCDB0">
        <w:rPr>
          <w:lang w:eastAsia="en-AU"/>
        </w:rPr>
        <w:t xml:space="preserve">consisted of 2 formal warnings, 3 directions to comply, 1 remedial direction, and 4 infringement notices (totalling $803,880). </w:t>
      </w:r>
      <w:r w:rsidR="00D33D9B">
        <w:rPr>
          <w:lang w:eastAsia="en-AU"/>
        </w:rPr>
        <w:t>T</w:t>
      </w:r>
      <w:r w:rsidR="00D11F2F">
        <w:rPr>
          <w:lang w:eastAsia="en-AU"/>
        </w:rPr>
        <w:t>he ACMA</w:t>
      </w:r>
      <w:r w:rsidRPr="47ACCDB0">
        <w:rPr>
          <w:lang w:eastAsia="en-AU"/>
        </w:rPr>
        <w:t xml:space="preserve"> also accepted </w:t>
      </w:r>
      <w:r w:rsidR="56B38A61" w:rsidRPr="47ACCDB0">
        <w:rPr>
          <w:lang w:eastAsia="en-AU"/>
        </w:rPr>
        <w:t>2</w:t>
      </w:r>
      <w:r w:rsidRPr="47ACCDB0">
        <w:rPr>
          <w:lang w:eastAsia="en-AU"/>
        </w:rPr>
        <w:t xml:space="preserve"> enforceable undertaking. There were no civil penalties.</w:t>
      </w:r>
    </w:p>
    <w:p w14:paraId="786E5C9D" w14:textId="64CDF2D6" w:rsidR="005A4293" w:rsidRPr="00AD26FC" w:rsidRDefault="24810A54" w:rsidP="00AD26FC">
      <w:pPr>
        <w:rPr>
          <w:rFonts w:cs="Calibri"/>
          <w:lang w:eastAsia="en-AU"/>
        </w:rPr>
      </w:pPr>
      <w:r w:rsidRPr="005A4293">
        <w:rPr>
          <w:lang w:eastAsia="en-AU"/>
        </w:rPr>
        <w:t>The enforcement actions were taken in 20</w:t>
      </w:r>
      <w:r w:rsidR="56B38A61">
        <w:rPr>
          <w:lang w:eastAsia="en-AU"/>
        </w:rPr>
        <w:t>13-</w:t>
      </w:r>
      <w:r w:rsidRPr="005A4293">
        <w:rPr>
          <w:lang w:eastAsia="en-AU"/>
        </w:rPr>
        <w:t>14 (</w:t>
      </w:r>
      <w:r w:rsidR="56B38A61">
        <w:rPr>
          <w:lang w:eastAsia="en-AU"/>
        </w:rPr>
        <w:t>2</w:t>
      </w:r>
      <w:r w:rsidRPr="005A4293">
        <w:rPr>
          <w:lang w:eastAsia="en-AU"/>
        </w:rPr>
        <w:t>), 20</w:t>
      </w:r>
      <w:r w:rsidR="56B38A61">
        <w:rPr>
          <w:lang w:eastAsia="en-AU"/>
        </w:rPr>
        <w:t>15-</w:t>
      </w:r>
      <w:r w:rsidRPr="005A4293">
        <w:rPr>
          <w:lang w:eastAsia="en-AU"/>
        </w:rPr>
        <w:t>16 (2), 2018</w:t>
      </w:r>
      <w:r w:rsidR="56B38A61">
        <w:rPr>
          <w:lang w:eastAsia="en-AU"/>
        </w:rPr>
        <w:t>-19</w:t>
      </w:r>
      <w:r w:rsidRPr="005A4293">
        <w:rPr>
          <w:lang w:eastAsia="en-AU"/>
        </w:rPr>
        <w:t xml:space="preserve"> (1), 20</w:t>
      </w:r>
      <w:r w:rsidR="56B38A61">
        <w:rPr>
          <w:lang w:eastAsia="en-AU"/>
        </w:rPr>
        <w:t>20-</w:t>
      </w:r>
      <w:r w:rsidRPr="005A4293">
        <w:rPr>
          <w:lang w:eastAsia="en-AU"/>
        </w:rPr>
        <w:t>21 (</w:t>
      </w:r>
      <w:r w:rsidR="345B8D41">
        <w:rPr>
          <w:lang w:eastAsia="en-AU"/>
        </w:rPr>
        <w:t>4</w:t>
      </w:r>
      <w:r w:rsidRPr="005A4293">
        <w:rPr>
          <w:lang w:eastAsia="en-AU"/>
        </w:rPr>
        <w:t xml:space="preserve">), </w:t>
      </w:r>
      <w:r w:rsidR="56B38A61">
        <w:rPr>
          <w:lang w:eastAsia="en-AU"/>
        </w:rPr>
        <w:t xml:space="preserve">2021-22 (2) </w:t>
      </w:r>
      <w:r w:rsidRPr="005A4293">
        <w:rPr>
          <w:lang w:eastAsia="en-AU"/>
        </w:rPr>
        <w:t>and 2022</w:t>
      </w:r>
      <w:r w:rsidR="56B38A61">
        <w:rPr>
          <w:lang w:eastAsia="en-AU"/>
        </w:rPr>
        <w:t>-23</w:t>
      </w:r>
      <w:r w:rsidRPr="005A4293">
        <w:rPr>
          <w:lang w:eastAsia="en-AU"/>
        </w:rPr>
        <w:t xml:space="preserve"> (</w:t>
      </w:r>
      <w:r w:rsidR="56B38A61">
        <w:rPr>
          <w:lang w:eastAsia="en-AU"/>
        </w:rPr>
        <w:t>1</w:t>
      </w:r>
      <w:r w:rsidRPr="005A4293">
        <w:rPr>
          <w:lang w:eastAsia="en-AU"/>
        </w:rPr>
        <w:t xml:space="preserve">).  </w:t>
      </w:r>
    </w:p>
    <w:p w14:paraId="3CE3F363" w14:textId="77777777" w:rsidR="005A4293" w:rsidRPr="005A4293" w:rsidRDefault="005A4293" w:rsidP="004D5663">
      <w:pPr>
        <w:rPr>
          <w:lang w:eastAsia="en-AU"/>
        </w:rPr>
      </w:pPr>
      <w:r w:rsidRPr="005A4293">
        <w:rPr>
          <w:lang w:eastAsia="en-AU"/>
        </w:rPr>
        <w:t>The enforcement actions against Lycamobile concerned breaches of:</w:t>
      </w:r>
    </w:p>
    <w:p w14:paraId="0FFCFCA7" w14:textId="77777777" w:rsidR="005A4293" w:rsidRDefault="3C6A3794" w:rsidP="004D5663">
      <w:pPr>
        <w:pStyle w:val="Bullets"/>
        <w:spacing w:after="0"/>
        <w:ind w:left="1066" w:hanging="357"/>
        <w:contextualSpacing/>
        <w:jc w:val="left"/>
        <w:rPr>
          <w:lang w:eastAsia="en-AU"/>
        </w:rPr>
      </w:pPr>
      <w:r w:rsidRPr="27E57E23">
        <w:rPr>
          <w:lang w:eastAsia="en-AU"/>
        </w:rPr>
        <w:t>the TCP Code</w:t>
      </w:r>
    </w:p>
    <w:p w14:paraId="17CF12F1" w14:textId="0706446E" w:rsidR="0066137E" w:rsidRPr="00DC7B85" w:rsidRDefault="00AA7AED" w:rsidP="004D5663">
      <w:pPr>
        <w:pStyle w:val="Bullets"/>
        <w:spacing w:after="0"/>
        <w:ind w:left="1066" w:hanging="357"/>
        <w:contextualSpacing/>
        <w:jc w:val="left"/>
        <w:rPr>
          <w:lang w:eastAsia="en-AU"/>
        </w:rPr>
      </w:pPr>
      <w:r>
        <w:rPr>
          <w:lang w:eastAsia="en-AU"/>
        </w:rPr>
        <w:t>Tel Act</w:t>
      </w:r>
      <w:r w:rsidR="78E2855C" w:rsidRPr="27E57E23">
        <w:rPr>
          <w:lang w:eastAsia="en-AU"/>
        </w:rPr>
        <w:t xml:space="preserve"> IPND obligations and the IPND Code</w:t>
      </w:r>
      <w:r w:rsidR="00E4354A" w:rsidRPr="27E57E23">
        <w:rPr>
          <w:lang w:eastAsia="en-AU"/>
        </w:rPr>
        <w:t xml:space="preserve">, as well as </w:t>
      </w:r>
      <w:r w:rsidR="3498B090" w:rsidRPr="27E57E23">
        <w:rPr>
          <w:lang w:eastAsia="en-AU"/>
        </w:rPr>
        <w:t>directions to comply with th</w:t>
      </w:r>
      <w:r w:rsidR="009171E2" w:rsidRPr="27E57E23">
        <w:rPr>
          <w:lang w:eastAsia="en-AU"/>
        </w:rPr>
        <w:t>is</w:t>
      </w:r>
      <w:r w:rsidR="3498B090" w:rsidRPr="27E57E23">
        <w:rPr>
          <w:lang w:eastAsia="en-AU"/>
        </w:rPr>
        <w:t xml:space="preserve"> </w:t>
      </w:r>
      <w:r w:rsidR="00E4354A" w:rsidRPr="27E57E23">
        <w:rPr>
          <w:lang w:eastAsia="en-AU"/>
        </w:rPr>
        <w:t>c</w:t>
      </w:r>
      <w:r w:rsidR="3498B090" w:rsidRPr="27E57E23">
        <w:rPr>
          <w:lang w:eastAsia="en-AU"/>
        </w:rPr>
        <w:t>ode</w:t>
      </w:r>
    </w:p>
    <w:p w14:paraId="7775446B" w14:textId="5F3410A7" w:rsidR="005A4293" w:rsidRPr="00AD26FC" w:rsidRDefault="3C6A3794" w:rsidP="004D5663">
      <w:pPr>
        <w:pStyle w:val="Bullets"/>
        <w:spacing w:after="0"/>
        <w:ind w:left="1066" w:hanging="357"/>
        <w:contextualSpacing/>
        <w:jc w:val="left"/>
        <w:rPr>
          <w:lang w:eastAsia="en-AU"/>
        </w:rPr>
      </w:pPr>
      <w:r w:rsidRPr="27E57E23">
        <w:rPr>
          <w:lang w:eastAsia="en-AU"/>
        </w:rPr>
        <w:t>the Telecommunications (Service Provider – Identity Checks for Prepaid Mobile Carriage Services) Determination 2017</w:t>
      </w:r>
      <w:r w:rsidR="009171E2" w:rsidRPr="27E57E23">
        <w:rPr>
          <w:lang w:eastAsia="en-AU"/>
        </w:rPr>
        <w:t>, along with a remedial direction to comply with this determination</w:t>
      </w:r>
    </w:p>
    <w:p w14:paraId="4997D68A" w14:textId="33BC7AC9" w:rsidR="00F812D8" w:rsidRDefault="3C6A3794" w:rsidP="008A6EB6">
      <w:pPr>
        <w:pStyle w:val="Bullets"/>
        <w:spacing w:after="0"/>
        <w:jc w:val="left"/>
        <w:rPr>
          <w:lang w:eastAsia="en-AU"/>
        </w:rPr>
      </w:pPr>
      <w:r w:rsidRPr="27E57E23">
        <w:rPr>
          <w:lang w:eastAsia="en-AU"/>
        </w:rPr>
        <w:t xml:space="preserve">the Telecommunications (Consumer Complaints Handling) Industry Standard 2018 </w:t>
      </w:r>
    </w:p>
    <w:p w14:paraId="68CEAE16" w14:textId="60BF405E" w:rsidR="005A4293" w:rsidRPr="00AD26FC" w:rsidRDefault="2757FD0B" w:rsidP="008A6EB6">
      <w:pPr>
        <w:pStyle w:val="Bullets"/>
        <w:spacing w:after="0"/>
        <w:jc w:val="left"/>
        <w:rPr>
          <w:lang w:eastAsia="en-AU"/>
        </w:rPr>
      </w:pPr>
      <w:r w:rsidRPr="27E57E23">
        <w:rPr>
          <w:lang w:eastAsia="en-AU"/>
        </w:rPr>
        <w:t>the Telecommunications (Service Provider – Identity Checks for Prepaid Mobile Carriage Services) Determination 2017</w:t>
      </w:r>
      <w:r w:rsidR="729F831E" w:rsidRPr="27E57E23">
        <w:rPr>
          <w:lang w:eastAsia="en-AU"/>
        </w:rPr>
        <w:t>.</w:t>
      </w:r>
    </w:p>
    <w:p w14:paraId="5BF96D83" w14:textId="77777777" w:rsidR="005A4293" w:rsidRPr="005A4293" w:rsidRDefault="005A4293" w:rsidP="00734124">
      <w:pPr>
        <w:spacing w:after="0"/>
        <w:rPr>
          <w:rFonts w:ascii="Calibri" w:hAnsi="Calibri" w:cs="Calibri"/>
          <w:lang w:eastAsia="en-AU"/>
        </w:rPr>
      </w:pPr>
    </w:p>
    <w:p w14:paraId="0AEB2D89" w14:textId="559D4375" w:rsidR="005A4293" w:rsidRPr="005A4293" w:rsidRDefault="24810A54" w:rsidP="00AD26FC">
      <w:pPr>
        <w:rPr>
          <w:rFonts w:cs="Arial"/>
        </w:rPr>
      </w:pPr>
      <w:r>
        <w:t xml:space="preserve">The TCP Code provisions breached included complaint handling obligations, the requirement to submit compliance attestation documentation, and billing accuracy. </w:t>
      </w:r>
    </w:p>
    <w:p w14:paraId="28B35E9D" w14:textId="1745693F" w:rsidR="005A4293" w:rsidRPr="005A4293" w:rsidRDefault="21786E04" w:rsidP="001556EF">
      <w:pPr>
        <w:rPr>
          <w:rFonts w:ascii="Calibri" w:eastAsia="Times New Roman" w:hAnsi="Calibri" w:cs="Calibri"/>
          <w:lang w:eastAsia="en-AU"/>
        </w:rPr>
      </w:pPr>
      <w:r w:rsidRPr="7EFE6C20">
        <w:rPr>
          <w:lang w:eastAsia="en-AU"/>
        </w:rPr>
        <w:lastRenderedPageBreak/>
        <w:t>As discussed in section C</w:t>
      </w:r>
      <w:r w:rsidR="1ABCD0F6" w:rsidRPr="7EFE6C20">
        <w:rPr>
          <w:lang w:eastAsia="en-AU"/>
        </w:rPr>
        <w:t>(1)</w:t>
      </w:r>
      <w:r w:rsidR="00992F9A">
        <w:rPr>
          <w:lang w:eastAsia="en-AU"/>
        </w:rPr>
        <w:t xml:space="preserve"> above</w:t>
      </w:r>
      <w:r w:rsidRPr="7EFE6C20">
        <w:rPr>
          <w:lang w:eastAsia="en-AU"/>
        </w:rPr>
        <w:t xml:space="preserve">, </w:t>
      </w:r>
      <w:r w:rsidR="3B45EECE" w:rsidRPr="7EFE6C20">
        <w:rPr>
          <w:lang w:eastAsia="en-AU"/>
        </w:rPr>
        <w:t xml:space="preserve">in two separate but related investigations </w:t>
      </w:r>
      <w:r w:rsidR="00D11F2F">
        <w:rPr>
          <w:lang w:eastAsia="en-AU"/>
        </w:rPr>
        <w:t>the ACMA</w:t>
      </w:r>
      <w:r w:rsidR="3B45EECE" w:rsidRPr="7EFE6C20">
        <w:rPr>
          <w:lang w:eastAsia="en-AU"/>
        </w:rPr>
        <w:t xml:space="preserve"> found that </w:t>
      </w:r>
      <w:r w:rsidRPr="7EFE6C20">
        <w:rPr>
          <w:lang w:eastAsia="en-AU"/>
        </w:rPr>
        <w:t xml:space="preserve">Lycamobile committed numerous breaches </w:t>
      </w:r>
      <w:r w:rsidR="1D904729" w:rsidRPr="7EFE6C20">
        <w:rPr>
          <w:lang w:eastAsia="en-AU"/>
        </w:rPr>
        <w:t xml:space="preserve">of </w:t>
      </w:r>
      <w:r w:rsidRPr="7EFE6C20">
        <w:rPr>
          <w:lang w:eastAsia="en-AU"/>
        </w:rPr>
        <w:t xml:space="preserve">its IPND obligations between 2020-2022. These breaches resulted in </w:t>
      </w:r>
      <w:r w:rsidR="00992F9A">
        <w:rPr>
          <w:lang w:eastAsia="en-AU"/>
        </w:rPr>
        <w:t>six</w:t>
      </w:r>
      <w:r w:rsidRPr="7EFE6C20">
        <w:rPr>
          <w:lang w:eastAsia="en-AU"/>
        </w:rPr>
        <w:t xml:space="preserve"> separate enforcement actions, </w:t>
      </w:r>
      <w:r w:rsidR="3B45EECE" w:rsidRPr="7EFE6C20">
        <w:rPr>
          <w:lang w:eastAsia="en-AU"/>
        </w:rPr>
        <w:t xml:space="preserve">including a direction to comply, an </w:t>
      </w:r>
      <w:r w:rsidRPr="7EFE6C20">
        <w:rPr>
          <w:lang w:eastAsia="en-AU"/>
        </w:rPr>
        <w:t>enforceable undertaking</w:t>
      </w:r>
      <w:r w:rsidR="3B45EECE" w:rsidRPr="7EFE6C20">
        <w:rPr>
          <w:lang w:eastAsia="en-AU"/>
        </w:rPr>
        <w:t xml:space="preserve"> and an infringement notice resulting from the first investigation, along with a remedial direction for breach of the Prepaid Determination. </w:t>
      </w:r>
      <w:r w:rsidR="00356067">
        <w:rPr>
          <w:lang w:eastAsia="en-AU"/>
        </w:rPr>
        <w:t>T</w:t>
      </w:r>
      <w:r w:rsidR="00D11F2F">
        <w:rPr>
          <w:lang w:eastAsia="en-AU"/>
        </w:rPr>
        <w:t>he ACMA</w:t>
      </w:r>
      <w:r w:rsidR="001150EC">
        <w:rPr>
          <w:lang w:eastAsia="en-AU"/>
        </w:rPr>
        <w:t xml:space="preserve"> </w:t>
      </w:r>
      <w:r w:rsidR="3B45EECE" w:rsidRPr="7EFE6C20">
        <w:rPr>
          <w:lang w:eastAsia="en-AU"/>
        </w:rPr>
        <w:t>issue</w:t>
      </w:r>
      <w:r w:rsidR="191511C1" w:rsidRPr="7EFE6C20">
        <w:rPr>
          <w:lang w:eastAsia="en-AU"/>
        </w:rPr>
        <w:t>d</w:t>
      </w:r>
      <w:r w:rsidR="3B45EECE" w:rsidRPr="7EFE6C20">
        <w:rPr>
          <w:lang w:eastAsia="en-AU"/>
        </w:rPr>
        <w:t xml:space="preserve"> two infringement notices after the second investigation.</w:t>
      </w:r>
    </w:p>
    <w:p w14:paraId="044185AE" w14:textId="77777777" w:rsidR="005A4293" w:rsidRPr="007044D3" w:rsidRDefault="24810A54" w:rsidP="001556EF">
      <w:pPr>
        <w:pStyle w:val="Heading3"/>
        <w:spacing w:before="0"/>
      </w:pPr>
      <w:bookmarkStart w:id="188" w:name="_Toc146201051"/>
      <w:bookmarkStart w:id="189" w:name="_Toc161836183"/>
      <w:r>
        <w:t>3</w:t>
      </w:r>
      <w:r w:rsidR="005A4293">
        <w:tab/>
      </w:r>
      <w:r w:rsidRPr="47ACCDB0">
        <w:rPr>
          <w:rStyle w:val="Heading4Char"/>
          <w:rFonts w:ascii="Arial" w:hAnsi="Arial"/>
          <w:i w:val="0"/>
          <w:iCs w:val="0"/>
        </w:rPr>
        <w:t xml:space="preserve">Enforcement </w:t>
      </w:r>
      <w:r w:rsidR="73848423" w:rsidRPr="47ACCDB0">
        <w:rPr>
          <w:rStyle w:val="Heading4Char"/>
          <w:rFonts w:ascii="Arial" w:hAnsi="Arial"/>
          <w:i w:val="0"/>
          <w:iCs w:val="0"/>
        </w:rPr>
        <w:t>A</w:t>
      </w:r>
      <w:r w:rsidRPr="47ACCDB0">
        <w:rPr>
          <w:rStyle w:val="Heading4Char"/>
          <w:rFonts w:ascii="Arial" w:hAnsi="Arial"/>
          <w:i w:val="0"/>
          <w:iCs w:val="0"/>
        </w:rPr>
        <w:t xml:space="preserve">ctions </w:t>
      </w:r>
      <w:r w:rsidR="73848423" w:rsidRPr="47ACCDB0">
        <w:rPr>
          <w:rStyle w:val="Heading4Char"/>
          <w:rFonts w:ascii="Arial" w:hAnsi="Arial"/>
          <w:i w:val="0"/>
          <w:iCs w:val="0"/>
        </w:rPr>
        <w:t>A</w:t>
      </w:r>
      <w:r w:rsidRPr="47ACCDB0">
        <w:rPr>
          <w:rStyle w:val="Heading4Char"/>
          <w:rFonts w:ascii="Arial" w:hAnsi="Arial"/>
          <w:i w:val="0"/>
          <w:iCs w:val="0"/>
        </w:rPr>
        <w:t>gainst Optus</w:t>
      </w:r>
      <w:bookmarkEnd w:id="188"/>
      <w:bookmarkEnd w:id="189"/>
    </w:p>
    <w:p w14:paraId="60B2131D" w14:textId="1AACB67B" w:rsidR="005A4293" w:rsidRPr="005A4293" w:rsidRDefault="24810A54" w:rsidP="00734124">
      <w:pPr>
        <w:rPr>
          <w:rFonts w:eastAsia="Calibri"/>
        </w:rPr>
      </w:pPr>
      <w:r>
        <w:t xml:space="preserve">The </w:t>
      </w:r>
      <w:r w:rsidR="3E9BD194">
        <w:t>1</w:t>
      </w:r>
      <w:r w:rsidR="624059E5">
        <w:t>1</w:t>
      </w:r>
      <w:r w:rsidR="3E9BD194">
        <w:t xml:space="preserve"> </w:t>
      </w:r>
      <w:r>
        <w:t xml:space="preserve">enforcement actions against Optus consisted of </w:t>
      </w:r>
      <w:r w:rsidR="624059E5">
        <w:t>5</w:t>
      </w:r>
      <w:r>
        <w:t xml:space="preserve"> formal warnings, </w:t>
      </w:r>
      <w:r w:rsidR="00700253">
        <w:t>3</w:t>
      </w:r>
      <w:r>
        <w:t xml:space="preserve"> directions to comply and 2 remedial directions. </w:t>
      </w:r>
      <w:r w:rsidR="00356067">
        <w:t>T</w:t>
      </w:r>
      <w:r w:rsidR="00D11F2F">
        <w:t>he ACMA</w:t>
      </w:r>
      <w:r>
        <w:t xml:space="preserve"> also accepted 1 enforceable undertaking. </w:t>
      </w:r>
    </w:p>
    <w:p w14:paraId="12AEDABC" w14:textId="31D78B7B" w:rsidR="005A4293" w:rsidRPr="005A4293" w:rsidRDefault="24810A54" w:rsidP="00734124">
      <w:pPr>
        <w:rPr>
          <w:rFonts w:eastAsia="Calibri"/>
        </w:rPr>
      </w:pPr>
      <w:r>
        <w:t xml:space="preserve">Like Telstra and Lycamobile, no civil penalties were imposed on Optus. However, unlike Telstra and Lycamobile, </w:t>
      </w:r>
      <w:r w:rsidRPr="47ACCDB0">
        <w:rPr>
          <w:rFonts w:eastAsia="Calibri"/>
        </w:rPr>
        <w:t>Optus received no infringement notices. As such, it was not subject to any financial penalties for non-compliance with telecommunications consumer</w:t>
      </w:r>
      <w:r w:rsidR="624059E5" w:rsidRPr="47ACCDB0">
        <w:rPr>
          <w:rFonts w:eastAsia="Calibri"/>
        </w:rPr>
        <w:t xml:space="preserve"> </w:t>
      </w:r>
      <w:r w:rsidRPr="47ACCDB0">
        <w:rPr>
          <w:rFonts w:eastAsia="Calibri"/>
        </w:rPr>
        <w:t xml:space="preserve">protection provisions during the period 1 January 2010 to </w:t>
      </w:r>
      <w:r w:rsidR="2219419A" w:rsidRPr="47ACCDB0">
        <w:rPr>
          <w:rFonts w:eastAsia="Calibri"/>
        </w:rPr>
        <w:t xml:space="preserve">30 June </w:t>
      </w:r>
      <w:r w:rsidRPr="47ACCDB0">
        <w:rPr>
          <w:rFonts w:eastAsia="Calibri"/>
        </w:rPr>
        <w:t>2023.</w:t>
      </w:r>
    </w:p>
    <w:p w14:paraId="72EE23E0" w14:textId="164F737F" w:rsidR="005A4293" w:rsidRPr="005A4293" w:rsidRDefault="24810A54" w:rsidP="00734124">
      <w:pPr>
        <w:rPr>
          <w:rFonts w:ascii="Times New Roman" w:eastAsia="Times New Roman" w:hAnsi="Times New Roman" w:cs="Times New Roman"/>
          <w:sz w:val="24"/>
          <w:szCs w:val="24"/>
          <w:lang w:eastAsia="en-AU"/>
        </w:rPr>
      </w:pPr>
      <w:r w:rsidRPr="005A4293">
        <w:rPr>
          <w:rFonts w:eastAsia="Times New Roman"/>
          <w:lang w:eastAsia="en-AU"/>
        </w:rPr>
        <w:t xml:space="preserve">The enforcement actions were taken in </w:t>
      </w:r>
      <w:r w:rsidR="00700253">
        <w:rPr>
          <w:rFonts w:eastAsia="Times New Roman"/>
          <w:lang w:eastAsia="en-AU"/>
        </w:rPr>
        <w:t>2010</w:t>
      </w:r>
      <w:r w:rsidR="624059E5">
        <w:rPr>
          <w:rFonts w:eastAsia="Times New Roman"/>
          <w:lang w:eastAsia="en-AU"/>
        </w:rPr>
        <w:t>-11</w:t>
      </w:r>
      <w:r w:rsidR="00700253">
        <w:rPr>
          <w:rFonts w:eastAsia="Times New Roman"/>
          <w:lang w:eastAsia="en-AU"/>
        </w:rPr>
        <w:t xml:space="preserve"> (1), </w:t>
      </w:r>
      <w:r w:rsidRPr="005A4293">
        <w:rPr>
          <w:rFonts w:eastAsia="Times New Roman"/>
          <w:lang w:eastAsia="en-AU"/>
        </w:rPr>
        <w:t>2013-14 (1), 2018</w:t>
      </w:r>
      <w:r w:rsidR="624059E5">
        <w:rPr>
          <w:rFonts w:eastAsia="Times New Roman"/>
          <w:lang w:eastAsia="en-AU"/>
        </w:rPr>
        <w:t>-19</w:t>
      </w:r>
      <w:r w:rsidRPr="005A4293">
        <w:rPr>
          <w:rFonts w:eastAsia="Times New Roman"/>
          <w:lang w:eastAsia="en-AU"/>
        </w:rPr>
        <w:t xml:space="preserve"> (</w:t>
      </w:r>
      <w:r w:rsidR="624059E5">
        <w:rPr>
          <w:rFonts w:eastAsia="Times New Roman"/>
          <w:lang w:eastAsia="en-AU"/>
        </w:rPr>
        <w:t>4</w:t>
      </w:r>
      <w:r w:rsidRPr="005A4293">
        <w:rPr>
          <w:rFonts w:eastAsia="Times New Roman"/>
          <w:lang w:eastAsia="en-AU"/>
        </w:rPr>
        <w:t>), 2019</w:t>
      </w:r>
      <w:r w:rsidR="624059E5">
        <w:rPr>
          <w:rFonts w:eastAsia="Times New Roman"/>
          <w:lang w:eastAsia="en-AU"/>
        </w:rPr>
        <w:t>-20</w:t>
      </w:r>
      <w:r w:rsidRPr="005A4293">
        <w:rPr>
          <w:rFonts w:eastAsia="Times New Roman"/>
          <w:lang w:eastAsia="en-AU"/>
        </w:rPr>
        <w:t xml:space="preserve"> (</w:t>
      </w:r>
      <w:r w:rsidR="624059E5">
        <w:rPr>
          <w:rFonts w:eastAsia="Times New Roman"/>
          <w:lang w:eastAsia="en-AU"/>
        </w:rPr>
        <w:t>1</w:t>
      </w:r>
      <w:r w:rsidRPr="005A4293">
        <w:rPr>
          <w:rFonts w:eastAsia="Times New Roman"/>
          <w:lang w:eastAsia="en-AU"/>
        </w:rPr>
        <w:t>), 2020</w:t>
      </w:r>
      <w:r w:rsidR="624059E5">
        <w:rPr>
          <w:rFonts w:eastAsia="Times New Roman"/>
          <w:lang w:eastAsia="en-AU"/>
        </w:rPr>
        <w:t>-21</w:t>
      </w:r>
      <w:r w:rsidRPr="005A4293">
        <w:rPr>
          <w:rFonts w:eastAsia="Times New Roman"/>
          <w:lang w:eastAsia="en-AU"/>
        </w:rPr>
        <w:t xml:space="preserve"> (1), 2021</w:t>
      </w:r>
      <w:r w:rsidR="624059E5">
        <w:rPr>
          <w:rFonts w:eastAsia="Times New Roman"/>
          <w:lang w:eastAsia="en-AU"/>
        </w:rPr>
        <w:t>-22</w:t>
      </w:r>
      <w:r w:rsidRPr="005A4293">
        <w:rPr>
          <w:rFonts w:eastAsia="Times New Roman"/>
          <w:lang w:eastAsia="en-AU"/>
        </w:rPr>
        <w:t xml:space="preserve"> (</w:t>
      </w:r>
      <w:r w:rsidR="624059E5">
        <w:rPr>
          <w:rFonts w:eastAsia="Times New Roman"/>
          <w:lang w:eastAsia="en-AU"/>
        </w:rPr>
        <w:t>2</w:t>
      </w:r>
      <w:r w:rsidRPr="005A4293">
        <w:rPr>
          <w:rFonts w:eastAsia="Times New Roman"/>
          <w:lang w:eastAsia="en-AU"/>
        </w:rPr>
        <w:t>) and 2022</w:t>
      </w:r>
      <w:r w:rsidR="624059E5">
        <w:rPr>
          <w:rFonts w:eastAsia="Times New Roman"/>
          <w:lang w:eastAsia="en-AU"/>
        </w:rPr>
        <w:t>-23</w:t>
      </w:r>
      <w:r w:rsidRPr="005A4293">
        <w:rPr>
          <w:rFonts w:eastAsia="Times New Roman"/>
          <w:lang w:eastAsia="en-AU"/>
        </w:rPr>
        <w:t xml:space="preserve"> (1).</w:t>
      </w:r>
    </w:p>
    <w:p w14:paraId="0AF48F17" w14:textId="77777777" w:rsidR="005A4293" w:rsidRPr="005A4293" w:rsidRDefault="005A4293" w:rsidP="004D5663">
      <w:pPr>
        <w:rPr>
          <w:rFonts w:eastAsia="Times New Roman"/>
          <w:lang w:eastAsia="en-AU"/>
        </w:rPr>
      </w:pPr>
      <w:r w:rsidRPr="005A4293">
        <w:rPr>
          <w:rFonts w:eastAsia="Times New Roman"/>
          <w:lang w:eastAsia="en-AU"/>
        </w:rPr>
        <w:t>The enforcement actions against Optus concerned breaches of:</w:t>
      </w:r>
    </w:p>
    <w:p w14:paraId="2E5BD256" w14:textId="3A0C904C" w:rsidR="005A4293" w:rsidRPr="005A4293" w:rsidRDefault="3C6A3794" w:rsidP="008A6EB6">
      <w:pPr>
        <w:pStyle w:val="Bullets"/>
        <w:spacing w:after="0"/>
        <w:jc w:val="left"/>
        <w:rPr>
          <w:lang w:eastAsia="en-AU"/>
        </w:rPr>
      </w:pPr>
      <w:r w:rsidRPr="27E57E23">
        <w:rPr>
          <w:lang w:eastAsia="en-AU"/>
        </w:rPr>
        <w:t>the TCP Code, including rules relating to billing accuracy</w:t>
      </w:r>
    </w:p>
    <w:p w14:paraId="77233E2A" w14:textId="7C471494" w:rsidR="00637198" w:rsidRDefault="06D7BB49" w:rsidP="008A6EB6">
      <w:pPr>
        <w:pStyle w:val="Bullets"/>
        <w:spacing w:after="0"/>
        <w:jc w:val="left"/>
        <w:rPr>
          <w:rFonts w:cs="Calibri"/>
          <w:lang w:eastAsia="en-AU"/>
        </w:rPr>
      </w:pPr>
      <w:r w:rsidRPr="27E57E23">
        <w:rPr>
          <w:rFonts w:cs="Calibri"/>
          <w:lang w:eastAsia="en-AU"/>
        </w:rPr>
        <w:t>the Mobile Premium Services Code</w:t>
      </w:r>
    </w:p>
    <w:p w14:paraId="220FB405" w14:textId="2FB25829" w:rsidR="005A4293" w:rsidRPr="005A4293" w:rsidRDefault="3C6A3794" w:rsidP="008A6EB6">
      <w:pPr>
        <w:pStyle w:val="Bullets"/>
        <w:spacing w:after="0"/>
        <w:jc w:val="left"/>
        <w:rPr>
          <w:rFonts w:cs="Calibri"/>
          <w:lang w:eastAsia="en-AU"/>
        </w:rPr>
      </w:pPr>
      <w:r w:rsidRPr="27E57E23">
        <w:rPr>
          <w:rFonts w:cs="Calibri"/>
          <w:lang w:eastAsia="en-AU"/>
        </w:rPr>
        <w:t xml:space="preserve">the Telecommunications Service Provider (NBN Service Migration) Determination 2018 </w:t>
      </w:r>
    </w:p>
    <w:p w14:paraId="4F79F257" w14:textId="67ECE0DA" w:rsidR="005A4293" w:rsidRPr="005A4293" w:rsidRDefault="3C6A3794" w:rsidP="008A6EB6">
      <w:pPr>
        <w:pStyle w:val="Bullets"/>
        <w:spacing w:after="0"/>
        <w:jc w:val="left"/>
        <w:rPr>
          <w:rFonts w:cs="Calibri"/>
          <w:lang w:eastAsia="en-AU"/>
        </w:rPr>
      </w:pPr>
      <w:r w:rsidRPr="27E57E23">
        <w:rPr>
          <w:rFonts w:cs="Calibri"/>
          <w:lang w:eastAsia="en-AU"/>
        </w:rPr>
        <w:t>the Telecommunications (NBN Continuity of Service) Industry Standard 2018</w:t>
      </w:r>
    </w:p>
    <w:p w14:paraId="1452DB3C" w14:textId="057B01BC" w:rsidR="005A4293" w:rsidRPr="005A4293" w:rsidRDefault="3C6A3794" w:rsidP="008A6EB6">
      <w:pPr>
        <w:pStyle w:val="Bullets"/>
        <w:spacing w:after="0"/>
        <w:jc w:val="left"/>
        <w:rPr>
          <w:rFonts w:cs="Calibri"/>
          <w:lang w:eastAsia="en-AU"/>
        </w:rPr>
      </w:pPr>
      <w:r w:rsidRPr="27E57E23">
        <w:rPr>
          <w:rFonts w:cs="Calibri"/>
          <w:lang w:eastAsia="en-AU"/>
        </w:rPr>
        <w:t>the Telecommunications (Consumer Complaints Handling) Industry Standard 2018</w:t>
      </w:r>
    </w:p>
    <w:p w14:paraId="49B1484A" w14:textId="5AFE4A69" w:rsidR="005A4293" w:rsidRPr="005A4293" w:rsidRDefault="3C6A3794" w:rsidP="008A6EB6">
      <w:pPr>
        <w:pStyle w:val="Bullets"/>
        <w:spacing w:after="0"/>
        <w:jc w:val="left"/>
        <w:rPr>
          <w:rFonts w:cs="Calibri"/>
          <w:lang w:eastAsia="en-AU"/>
        </w:rPr>
      </w:pPr>
      <w:r w:rsidRPr="27E57E23">
        <w:rPr>
          <w:rFonts w:cs="Calibri"/>
          <w:lang w:eastAsia="en-AU"/>
        </w:rPr>
        <w:t>Telecommunications (Mobile Number Pre-porting Additional Identity Verification) Industry Standard 2020</w:t>
      </w:r>
    </w:p>
    <w:p w14:paraId="312F2144" w14:textId="2B4100CF" w:rsidR="005A4293" w:rsidRPr="005A4293" w:rsidRDefault="00AA7AED" w:rsidP="008A6EB6">
      <w:pPr>
        <w:pStyle w:val="Bullets"/>
        <w:spacing w:after="0"/>
        <w:jc w:val="left"/>
        <w:rPr>
          <w:lang w:eastAsia="en-AU"/>
        </w:rPr>
      </w:pPr>
      <w:r>
        <w:rPr>
          <w:lang w:eastAsia="en-AU"/>
        </w:rPr>
        <w:t>Tel Act</w:t>
      </w:r>
      <w:r w:rsidR="57EEA25C" w:rsidRPr="27E57E23">
        <w:rPr>
          <w:lang w:eastAsia="en-AU"/>
        </w:rPr>
        <w:t xml:space="preserve"> </w:t>
      </w:r>
      <w:r w:rsidR="3C6A3794" w:rsidRPr="27E57E23">
        <w:rPr>
          <w:lang w:eastAsia="en-AU"/>
        </w:rPr>
        <w:t>IPND obligations</w:t>
      </w:r>
      <w:r w:rsidR="57EEA25C" w:rsidRPr="27E57E23">
        <w:rPr>
          <w:lang w:eastAsia="en-AU"/>
        </w:rPr>
        <w:t xml:space="preserve"> and </w:t>
      </w:r>
      <w:r w:rsidR="3C6A3794" w:rsidRPr="27E57E23">
        <w:rPr>
          <w:lang w:eastAsia="en-AU"/>
        </w:rPr>
        <w:t>the IPND Code</w:t>
      </w:r>
      <w:r w:rsidR="12CC9548" w:rsidRPr="27E57E23">
        <w:rPr>
          <w:lang w:eastAsia="en-AU"/>
        </w:rPr>
        <w:t>.</w:t>
      </w:r>
    </w:p>
    <w:p w14:paraId="2B79FAFB" w14:textId="77777777" w:rsidR="00F32721" w:rsidRDefault="00F32721" w:rsidP="00734124"/>
    <w:p w14:paraId="6371B2A9" w14:textId="68797210" w:rsidR="005A4293" w:rsidRPr="005A4293" w:rsidRDefault="005A4293" w:rsidP="00734124">
      <w:r w:rsidRPr="005A4293">
        <w:t>These breaches occurred for several reasons, including difficulties ensuring operational Next-Generation NBN Broadband Services</w:t>
      </w:r>
      <w:r w:rsidR="00F32721">
        <w:t>,</w:t>
      </w:r>
      <w:r w:rsidRPr="005A4293">
        <w:t xml:space="preserve"> and deficiencies in information provision and number porting processes.</w:t>
      </w:r>
    </w:p>
    <w:p w14:paraId="092B3681" w14:textId="0E61C3CA" w:rsidR="00D5418E" w:rsidRPr="005A4293" w:rsidRDefault="24810A54" w:rsidP="00734124">
      <w:r>
        <w:t xml:space="preserve">Optus had </w:t>
      </w:r>
      <w:r w:rsidR="00FF2895">
        <w:t xml:space="preserve">two </w:t>
      </w:r>
      <w:r>
        <w:t xml:space="preserve">investigations opened against </w:t>
      </w:r>
      <w:r w:rsidR="47BED1AD">
        <w:t xml:space="preserve">it </w:t>
      </w:r>
      <w:r>
        <w:t xml:space="preserve">for contraventions of the Telecommunications Service Provider (NBN Service Migration) Determination 2018. Two enforcement actions were taken for these contraventions, including the remedial direction discussed </w:t>
      </w:r>
      <w:r w:rsidR="4042CA1A">
        <w:t>in the case stud</w:t>
      </w:r>
      <w:r w:rsidR="62A0FD7E">
        <w:t>y</w:t>
      </w:r>
      <w:r w:rsidR="4042CA1A">
        <w:t xml:space="preserve"> in section C</w:t>
      </w:r>
      <w:r w:rsidR="6F557F29">
        <w:t>(1)</w:t>
      </w:r>
      <w:r w:rsidR="4042CA1A">
        <w:t xml:space="preserve"> </w:t>
      </w:r>
      <w:r>
        <w:t xml:space="preserve">relating to failures to fulfil obligations to provide consumers with accurate speed capacities for NBN broadband services and </w:t>
      </w:r>
      <w:r w:rsidR="10796B65">
        <w:t xml:space="preserve">to </w:t>
      </w:r>
      <w:r>
        <w:t>refrain from charging for non-operational offerings. This remedial direction was one of two Optus received over the period, the other being for contraventions of the IPND Code.</w:t>
      </w:r>
    </w:p>
    <w:p w14:paraId="3B766BCB" w14:textId="1130CFB1" w:rsidR="005A4293" w:rsidRPr="005A4293" w:rsidRDefault="545A7E58" w:rsidP="00D5418E">
      <w:pPr>
        <w:pStyle w:val="Heading3"/>
      </w:pPr>
      <w:bookmarkStart w:id="190" w:name="_Toc161836184"/>
      <w:r>
        <w:t>4</w:t>
      </w:r>
      <w:r w:rsidR="00D5418E">
        <w:tab/>
      </w:r>
      <w:r w:rsidR="5D30584A">
        <w:t>Enforcement Actions Against SpinTel</w:t>
      </w:r>
      <w:bookmarkEnd w:id="190"/>
      <w:r w:rsidR="5D30584A">
        <w:t xml:space="preserve"> </w:t>
      </w:r>
    </w:p>
    <w:p w14:paraId="0792B401" w14:textId="357EF303" w:rsidR="005A4293" w:rsidRPr="005A4293" w:rsidRDefault="5D30584A" w:rsidP="40F8949C">
      <w:r>
        <w:t xml:space="preserve">The </w:t>
      </w:r>
      <w:r w:rsidR="10796B65">
        <w:t>8</w:t>
      </w:r>
      <w:r>
        <w:t xml:space="preserve"> enforcement actions against SpinTel consisted of </w:t>
      </w:r>
      <w:r w:rsidR="10796B65">
        <w:t>4</w:t>
      </w:r>
      <w:r>
        <w:t xml:space="preserve"> formal warnings and </w:t>
      </w:r>
      <w:r w:rsidR="10796B65">
        <w:t>3</w:t>
      </w:r>
      <w:r>
        <w:t xml:space="preserve"> directions to comply. </w:t>
      </w:r>
      <w:r w:rsidR="00150228">
        <w:t>T</w:t>
      </w:r>
      <w:r w:rsidR="00D11F2F">
        <w:t>he ACMA</w:t>
      </w:r>
      <w:r>
        <w:t xml:space="preserve"> accepted one enforceable undertaking from SpinTel.</w:t>
      </w:r>
    </w:p>
    <w:p w14:paraId="310FC496" w14:textId="48843979" w:rsidR="00CF6C15" w:rsidRPr="005A4293" w:rsidRDefault="65CE3A3E" w:rsidP="47ACCDB0">
      <w:r>
        <w:t xml:space="preserve">The five enforcement actions were taken in 2013-14 (1), 2014-15 (1), 2015-16 (2), 2018-19 (2), 2021-22 (1) and 2022-23 (1). </w:t>
      </w:r>
    </w:p>
    <w:p w14:paraId="2AB6416F" w14:textId="3501312E" w:rsidR="005A4293" w:rsidRPr="005A4293" w:rsidRDefault="5D30584A" w:rsidP="40F8949C">
      <w:r>
        <w:lastRenderedPageBreak/>
        <w:t>The enforcement actions SpinTel concerned breaches of:</w:t>
      </w:r>
    </w:p>
    <w:p w14:paraId="3C0EF071" w14:textId="77777777" w:rsidR="00F32721" w:rsidRDefault="03D6461B" w:rsidP="001019BA">
      <w:pPr>
        <w:pStyle w:val="ListParagraph"/>
        <w:numPr>
          <w:ilvl w:val="0"/>
          <w:numId w:val="8"/>
        </w:numPr>
        <w:rPr>
          <w:szCs w:val="21"/>
        </w:rPr>
      </w:pPr>
      <w:r w:rsidRPr="40F8949C">
        <w:rPr>
          <w:szCs w:val="21"/>
        </w:rPr>
        <w:t xml:space="preserve">the IPND </w:t>
      </w:r>
      <w:r w:rsidR="00F32721">
        <w:rPr>
          <w:szCs w:val="21"/>
        </w:rPr>
        <w:t>Code</w:t>
      </w:r>
    </w:p>
    <w:p w14:paraId="651F0DC8" w14:textId="6CF7B965" w:rsidR="005A4293" w:rsidRPr="005A4293" w:rsidRDefault="00F32721" w:rsidP="001019BA">
      <w:pPr>
        <w:pStyle w:val="ListParagraph"/>
        <w:numPr>
          <w:ilvl w:val="0"/>
          <w:numId w:val="8"/>
        </w:numPr>
        <w:rPr>
          <w:szCs w:val="21"/>
        </w:rPr>
      </w:pPr>
      <w:r>
        <w:t xml:space="preserve">the </w:t>
      </w:r>
      <w:r w:rsidR="03D6461B">
        <w:t>TPC Code</w:t>
      </w:r>
    </w:p>
    <w:p w14:paraId="0183ABE6" w14:textId="6BC046BD" w:rsidR="005A4293" w:rsidRPr="005A4293" w:rsidRDefault="03D6461B" w:rsidP="001019BA">
      <w:pPr>
        <w:pStyle w:val="ListParagraph"/>
        <w:numPr>
          <w:ilvl w:val="0"/>
          <w:numId w:val="8"/>
        </w:numPr>
        <w:rPr>
          <w:szCs w:val="21"/>
        </w:rPr>
      </w:pPr>
      <w:r>
        <w:t xml:space="preserve">the </w:t>
      </w:r>
      <w:r w:rsidR="00AA7AED">
        <w:t>Tel Act</w:t>
      </w:r>
      <w:r w:rsidR="00883DC5">
        <w:t xml:space="preserve"> </w:t>
      </w:r>
      <w:r>
        <w:t>IPND rules</w:t>
      </w:r>
    </w:p>
    <w:p w14:paraId="0DBC37C4" w14:textId="769039EB" w:rsidR="005A4293" w:rsidRPr="00234042" w:rsidRDefault="00D01F51" w:rsidP="001019BA">
      <w:pPr>
        <w:pStyle w:val="ListParagraph"/>
        <w:numPr>
          <w:ilvl w:val="0"/>
          <w:numId w:val="8"/>
        </w:numPr>
      </w:pPr>
      <w:r>
        <w:t xml:space="preserve">the </w:t>
      </w:r>
      <w:r w:rsidR="5D30584A">
        <w:t xml:space="preserve">Telecommunications (Consumer Complaints Handling) Industry Standard 2018 </w:t>
      </w:r>
    </w:p>
    <w:p w14:paraId="6D3B62BF" w14:textId="5925C790" w:rsidR="00234042" w:rsidRPr="005A4293" w:rsidRDefault="6F9BA07B" w:rsidP="001019BA">
      <w:pPr>
        <w:pStyle w:val="ListParagraph"/>
        <w:numPr>
          <w:ilvl w:val="0"/>
          <w:numId w:val="8"/>
        </w:numPr>
      </w:pPr>
      <w:r>
        <w:t>priority assistance</w:t>
      </w:r>
      <w:r w:rsidR="1C12ED0B">
        <w:t>-related obligations.</w:t>
      </w:r>
      <w:r>
        <w:t xml:space="preserve"> </w:t>
      </w:r>
    </w:p>
    <w:p w14:paraId="6FD1C39D" w14:textId="21BE0EA9" w:rsidR="005A4293" w:rsidRPr="00355F90" w:rsidRDefault="6F9BA07B" w:rsidP="00355F90">
      <w:r w:rsidRPr="47ACCDB0">
        <w:rPr>
          <w:rStyle w:val="normaltextrun"/>
          <w:rFonts w:cs="Arial"/>
          <w:color w:val="000000"/>
          <w:shd w:val="clear" w:color="auto" w:fill="FFFFFF"/>
        </w:rPr>
        <w:t xml:space="preserve">Two of these actions arose out of the same investigation involving the IPND obligations, after </w:t>
      </w:r>
      <w:r w:rsidRPr="47ACCDB0">
        <w:rPr>
          <w:rStyle w:val="normaltextrun"/>
          <w:rFonts w:cs="Arial"/>
          <w:color w:val="000000" w:themeColor="text1"/>
        </w:rPr>
        <w:t>SpinTel failed to</w:t>
      </w:r>
      <w:r w:rsidRPr="47ACCDB0">
        <w:rPr>
          <w:rStyle w:val="normaltextrun"/>
          <w:rFonts w:cs="Arial"/>
          <w:color w:val="000000"/>
          <w:shd w:val="clear" w:color="auto" w:fill="FFFFFF"/>
        </w:rPr>
        <w:t xml:space="preserve"> ensure that the phone numbers and name and address details of 426 customers were classified as silent lines when uploading data to the IPND. As a result, the details were published in online public number directories and, in some cases, hard copy directories.</w:t>
      </w:r>
      <w:r w:rsidRPr="47ACCDB0">
        <w:rPr>
          <w:rStyle w:val="eop"/>
          <w:rFonts w:cs="Arial"/>
          <w:color w:val="000000"/>
          <w:shd w:val="clear" w:color="auto" w:fill="FFFFFF"/>
        </w:rPr>
        <w:t> </w:t>
      </w:r>
      <w:r w:rsidRPr="47ACCDB0">
        <w:rPr>
          <w:rStyle w:val="normaltextrun"/>
          <w:rFonts w:cs="Arial"/>
          <w:color w:val="000000"/>
          <w:shd w:val="clear" w:color="auto" w:fill="FFFFFF"/>
        </w:rPr>
        <w:t>In</w:t>
      </w:r>
      <w:r w:rsidR="2F454060" w:rsidRPr="47ACCDB0">
        <w:rPr>
          <w:rStyle w:val="normaltextrun"/>
          <w:rFonts w:cs="Arial"/>
          <w:color w:val="000000" w:themeColor="text1"/>
        </w:rPr>
        <w:t xml:space="preserve"> October 2015 </w:t>
      </w:r>
      <w:r w:rsidR="00D11F2F">
        <w:rPr>
          <w:rStyle w:val="normaltextrun"/>
          <w:rFonts w:cs="Arial"/>
          <w:color w:val="000000" w:themeColor="text1"/>
        </w:rPr>
        <w:t>the ACMA</w:t>
      </w:r>
      <w:r w:rsidR="2F454060" w:rsidRPr="47ACCDB0">
        <w:rPr>
          <w:rStyle w:val="normaltextrun"/>
          <w:rFonts w:cs="Arial"/>
          <w:color w:val="000000" w:themeColor="text1"/>
        </w:rPr>
        <w:t xml:space="preserve"> issue a direction to comply </w:t>
      </w:r>
      <w:r w:rsidRPr="47ACCDB0">
        <w:rPr>
          <w:rStyle w:val="normaltextrun"/>
          <w:rFonts w:cs="Arial"/>
          <w:color w:val="000000" w:themeColor="text1"/>
        </w:rPr>
        <w:t>with the IPND Code. It</w:t>
      </w:r>
      <w:r w:rsidR="2F454060" w:rsidRPr="47ACCDB0">
        <w:rPr>
          <w:rStyle w:val="normaltextrun"/>
          <w:rFonts w:cs="Arial"/>
          <w:color w:val="000000" w:themeColor="text1"/>
        </w:rPr>
        <w:t xml:space="preserve"> also accepted an enforceable undertaking.</w:t>
      </w:r>
    </w:p>
    <w:p w14:paraId="55FB4B63" w14:textId="2743B930" w:rsidR="4C21D221" w:rsidRDefault="545A7E58" w:rsidP="00D5418E">
      <w:pPr>
        <w:pStyle w:val="Heading3"/>
      </w:pPr>
      <w:bookmarkStart w:id="191" w:name="_Toc161836185"/>
      <w:r>
        <w:t>5</w:t>
      </w:r>
      <w:r w:rsidR="00D5418E">
        <w:tab/>
      </w:r>
      <w:r w:rsidR="0BDE5687">
        <w:t>Enforcement Actions Against TPG</w:t>
      </w:r>
      <w:bookmarkEnd w:id="191"/>
    </w:p>
    <w:p w14:paraId="7021B421" w14:textId="3469C4B5" w:rsidR="6123493D" w:rsidRDefault="2233D8EA" w:rsidP="183C7CBD">
      <w:r w:rsidRPr="00355F90">
        <w:t>The</w:t>
      </w:r>
      <w:r w:rsidRPr="0F13EE37">
        <w:rPr>
          <w:sz w:val="24"/>
          <w:szCs w:val="24"/>
        </w:rPr>
        <w:t xml:space="preserve"> </w:t>
      </w:r>
      <w:r w:rsidRPr="00355F90">
        <w:t>8 enfo</w:t>
      </w:r>
      <w:r>
        <w:t xml:space="preserve">rcement actions against TPG included </w:t>
      </w:r>
      <w:r w:rsidR="085095B5">
        <w:t xml:space="preserve">2 formal warnings, </w:t>
      </w:r>
      <w:r w:rsidR="1C90DCE7">
        <w:t xml:space="preserve">2 directions to comply and 1 civil penalty. </w:t>
      </w:r>
      <w:r w:rsidR="00150228">
        <w:t>T</w:t>
      </w:r>
      <w:r w:rsidR="00D11F2F">
        <w:t>he ACMA</w:t>
      </w:r>
      <w:r w:rsidR="085095B5">
        <w:t xml:space="preserve"> also accepted 3 enfo</w:t>
      </w:r>
      <w:r w:rsidR="5814E72C">
        <w:t>rceable undertakings.</w:t>
      </w:r>
      <w:r w:rsidR="26DD905F">
        <w:t xml:space="preserve"> </w:t>
      </w:r>
      <w:r w:rsidR="00150228">
        <w:t>T</w:t>
      </w:r>
      <w:r w:rsidR="00D11F2F">
        <w:t>he ACMA</w:t>
      </w:r>
      <w:r w:rsidR="26DD905F">
        <w:t xml:space="preserve"> did not issue any infringement notices against TPG.</w:t>
      </w:r>
    </w:p>
    <w:p w14:paraId="33B83B2F" w14:textId="5E9891DD" w:rsidR="0F0F7BDE" w:rsidRDefault="4E0DA1BA">
      <w:r>
        <w:t>The enforcement actions were taken in 20</w:t>
      </w:r>
      <w:r w:rsidR="1C12ED0B">
        <w:t>09-</w:t>
      </w:r>
      <w:r>
        <w:t>1</w:t>
      </w:r>
      <w:r w:rsidR="4E37B464">
        <w:t>0</w:t>
      </w:r>
      <w:r w:rsidR="21A884A0">
        <w:t xml:space="preserve"> (1)</w:t>
      </w:r>
      <w:r w:rsidR="4E37B464">
        <w:t xml:space="preserve">, </w:t>
      </w:r>
      <w:r>
        <w:t>20</w:t>
      </w:r>
      <w:r w:rsidR="1C12ED0B">
        <w:t>13-</w:t>
      </w:r>
      <w:r w:rsidR="4E37B464">
        <w:t>14</w:t>
      </w:r>
      <w:r w:rsidR="53955048">
        <w:t xml:space="preserve"> (1)</w:t>
      </w:r>
      <w:r w:rsidR="4E37B464">
        <w:t xml:space="preserve">, </w:t>
      </w:r>
      <w:r>
        <w:t>2018</w:t>
      </w:r>
      <w:r w:rsidR="1C12ED0B">
        <w:t>-19</w:t>
      </w:r>
      <w:r w:rsidR="585E747E">
        <w:t xml:space="preserve"> (</w:t>
      </w:r>
      <w:r w:rsidR="1C12ED0B">
        <w:t>2</w:t>
      </w:r>
      <w:r w:rsidR="585E747E">
        <w:t>)</w:t>
      </w:r>
      <w:r>
        <w:t xml:space="preserve">, </w:t>
      </w:r>
      <w:r w:rsidR="456D1111">
        <w:t>2019</w:t>
      </w:r>
      <w:r w:rsidR="1C12ED0B">
        <w:t>-20</w:t>
      </w:r>
      <w:r w:rsidR="456D1111">
        <w:t xml:space="preserve"> (1), </w:t>
      </w:r>
      <w:r w:rsidR="1C12ED0B">
        <w:t xml:space="preserve">2021-22 (1) </w:t>
      </w:r>
      <w:r w:rsidR="456D1111">
        <w:t xml:space="preserve">and </w:t>
      </w:r>
      <w:r>
        <w:t>20</w:t>
      </w:r>
      <w:r w:rsidR="1C12ED0B">
        <w:t>22-</w:t>
      </w:r>
      <w:r>
        <w:t>2</w:t>
      </w:r>
      <w:r w:rsidR="19EEB57B">
        <w:t>3</w:t>
      </w:r>
      <w:r w:rsidR="756D24ED">
        <w:t xml:space="preserve"> (</w:t>
      </w:r>
      <w:r w:rsidR="1C12ED0B">
        <w:t>2</w:t>
      </w:r>
      <w:r w:rsidR="756D24ED">
        <w:t>).</w:t>
      </w:r>
      <w:r>
        <w:t xml:space="preserve"> </w:t>
      </w:r>
    </w:p>
    <w:p w14:paraId="09AD6C05" w14:textId="75B25589" w:rsidR="62E898E3" w:rsidRDefault="62E898E3" w:rsidP="1871FEE3">
      <w:r>
        <w:t>The enforcement actions against TPG concerned breaches of:</w:t>
      </w:r>
    </w:p>
    <w:p w14:paraId="244D18A2" w14:textId="77777777" w:rsidR="002434D6" w:rsidRDefault="00D01F51" w:rsidP="001019BA">
      <w:pPr>
        <w:pStyle w:val="ListParagraph"/>
        <w:numPr>
          <w:ilvl w:val="0"/>
          <w:numId w:val="10"/>
        </w:numPr>
        <w:rPr>
          <w:szCs w:val="21"/>
        </w:rPr>
      </w:pPr>
      <w:r>
        <w:t>the TCP Code, including provisions relating to complaint handling and to credit and debt management</w:t>
      </w:r>
      <w:r w:rsidRPr="1871FEE3">
        <w:rPr>
          <w:szCs w:val="21"/>
        </w:rPr>
        <w:t xml:space="preserve"> </w:t>
      </w:r>
    </w:p>
    <w:p w14:paraId="772628DA" w14:textId="7BE108B2" w:rsidR="4BAB78FD" w:rsidRDefault="4BAB78FD" w:rsidP="001019BA">
      <w:pPr>
        <w:pStyle w:val="ListParagraph"/>
        <w:numPr>
          <w:ilvl w:val="0"/>
          <w:numId w:val="10"/>
        </w:numPr>
        <w:rPr>
          <w:szCs w:val="21"/>
        </w:rPr>
      </w:pPr>
      <w:r>
        <w:t xml:space="preserve">the Telecommunications (Emergency Call Service) Determination 2009 </w:t>
      </w:r>
    </w:p>
    <w:p w14:paraId="18E21DB0" w14:textId="03178D9B" w:rsidR="4BAB78FD" w:rsidRDefault="002434D6" w:rsidP="001019BA">
      <w:pPr>
        <w:pStyle w:val="ListParagraph"/>
        <w:numPr>
          <w:ilvl w:val="0"/>
          <w:numId w:val="10"/>
        </w:numPr>
      </w:pPr>
      <w:r>
        <w:t xml:space="preserve">the </w:t>
      </w:r>
      <w:r w:rsidR="38B6679B">
        <w:t xml:space="preserve">Telecommunications (Consumer Complaints Handling) Industry Standard 2018 </w:t>
      </w:r>
    </w:p>
    <w:p w14:paraId="78F38D98" w14:textId="01910B3C" w:rsidR="003937E2" w:rsidRDefault="002434D6" w:rsidP="001019BA">
      <w:pPr>
        <w:pStyle w:val="ListParagraph"/>
        <w:numPr>
          <w:ilvl w:val="0"/>
          <w:numId w:val="10"/>
        </w:numPr>
      </w:pPr>
      <w:r>
        <w:t xml:space="preserve">the </w:t>
      </w:r>
      <w:r w:rsidR="1C12ED0B">
        <w:t>Telecommunications (Service Provider Identity Checks for Prepaid Mobile Carriage Services) Determination 2017</w:t>
      </w:r>
    </w:p>
    <w:p w14:paraId="79AB932E" w14:textId="208FBC18" w:rsidR="003937E2" w:rsidRDefault="1C12ED0B" w:rsidP="001019BA">
      <w:pPr>
        <w:pStyle w:val="ListParagraph"/>
        <w:numPr>
          <w:ilvl w:val="0"/>
          <w:numId w:val="10"/>
        </w:numPr>
      </w:pPr>
      <w:r>
        <w:t>the Telecommunications Service Provider (NBN Service Migration) Determination 2018</w:t>
      </w:r>
    </w:p>
    <w:p w14:paraId="5758E271" w14:textId="58AC1E28" w:rsidR="00F47FF8" w:rsidRDefault="24EEF8C9" w:rsidP="001019BA">
      <w:pPr>
        <w:pStyle w:val="ListParagraph"/>
        <w:numPr>
          <w:ilvl w:val="0"/>
          <w:numId w:val="10"/>
        </w:numPr>
      </w:pPr>
      <w:r>
        <w:t>priority assistance-related obligations</w:t>
      </w:r>
      <w:r w:rsidR="00150228">
        <w:t>.</w:t>
      </w:r>
    </w:p>
    <w:p w14:paraId="04551423" w14:textId="48635F26" w:rsidR="30F76EC8" w:rsidRDefault="71536287" w:rsidP="00F47FF8">
      <w:r>
        <w:t>T</w:t>
      </w:r>
      <w:r w:rsidR="04BF14CE">
        <w:t>wo</w:t>
      </w:r>
      <w:r>
        <w:t xml:space="preserve"> enforceable undertakings </w:t>
      </w:r>
      <w:r w:rsidR="3FDB6475">
        <w:t xml:space="preserve">related to </w:t>
      </w:r>
      <w:r>
        <w:t xml:space="preserve">the Telecommunications Service Provider (NBN Service </w:t>
      </w:r>
      <w:r w:rsidR="207052AC">
        <w:t>Migration) Determination 2018</w:t>
      </w:r>
      <w:r w:rsidR="00983556">
        <w:t>.</w:t>
      </w:r>
      <w:r w:rsidR="207052AC">
        <w:t xml:space="preserve"> </w:t>
      </w:r>
      <w:r w:rsidR="7A447A39">
        <w:t xml:space="preserve">The third enforceable undertaking </w:t>
      </w:r>
      <w:r w:rsidR="2C1C101F">
        <w:t>related to</w:t>
      </w:r>
      <w:r w:rsidR="7A447A39">
        <w:t xml:space="preserve"> </w:t>
      </w:r>
      <w:r w:rsidR="207052AC">
        <w:t xml:space="preserve">the </w:t>
      </w:r>
      <w:r w:rsidR="207052AC" w:rsidRPr="00F47FF8">
        <w:rPr>
          <w:rFonts w:eastAsia="Arial" w:cs="Arial"/>
        </w:rPr>
        <w:t>Telecommunications (Service Provider Identity Checks for Prepaid Mobile Carriage Services) Determination 2017.</w:t>
      </w:r>
    </w:p>
    <w:p w14:paraId="718890B1" w14:textId="274611CB" w:rsidR="1C20689A" w:rsidRDefault="1C20689A" w:rsidP="187C6553">
      <w:pPr>
        <w:rPr>
          <w:rFonts w:eastAsia="Arial" w:cs="Arial"/>
        </w:rPr>
      </w:pPr>
      <w:r w:rsidRPr="6BC140B7">
        <w:rPr>
          <w:rFonts w:eastAsia="Arial" w:cs="Arial"/>
        </w:rPr>
        <w:t>The reasons for the civil penalty are explained in section C(2) above.</w:t>
      </w:r>
    </w:p>
    <w:p w14:paraId="08AE0F08" w14:textId="36B10CD9" w:rsidR="00D5418E" w:rsidRDefault="67ED9D1B" w:rsidP="00055061">
      <w:r>
        <w:t xml:space="preserve">It is important to note that the 8 enforcement actions described here </w:t>
      </w:r>
      <w:r w:rsidR="0BBBCFC3">
        <w:t xml:space="preserve">exclude </w:t>
      </w:r>
      <w:r w:rsidR="215C783A">
        <w:t xml:space="preserve">all </w:t>
      </w:r>
      <w:r>
        <w:t xml:space="preserve">enforcement actions </w:t>
      </w:r>
      <w:r w:rsidR="18A0AF3A">
        <w:t xml:space="preserve">taken </w:t>
      </w:r>
      <w:r w:rsidR="284E3D33">
        <w:t xml:space="preserve">against </w:t>
      </w:r>
      <w:r w:rsidR="4EE18076">
        <w:t>AAPT, Soul Communications Pty Ltd, iiNet, Inter</w:t>
      </w:r>
      <w:r w:rsidR="0CA981F7">
        <w:t>node, TransACT Capital Communications</w:t>
      </w:r>
      <w:r w:rsidR="56F699A8">
        <w:t xml:space="preserve">, </w:t>
      </w:r>
      <w:r w:rsidR="1DEE4D9B">
        <w:t xml:space="preserve">and </w:t>
      </w:r>
      <w:r w:rsidR="0CA981F7">
        <w:t>TransACT Communications</w:t>
      </w:r>
      <w:r w:rsidR="619316F4">
        <w:t xml:space="preserve"> </w:t>
      </w:r>
      <w:r w:rsidR="4424023E">
        <w:t xml:space="preserve">– </w:t>
      </w:r>
      <w:r w:rsidR="320E4A67">
        <w:t>providers that</w:t>
      </w:r>
      <w:r w:rsidR="4424023E">
        <w:t xml:space="preserve"> TPG acquired</w:t>
      </w:r>
      <w:r w:rsidR="08FA31D9">
        <w:t xml:space="preserve"> </w:t>
      </w:r>
      <w:r w:rsidR="4424023E">
        <w:t xml:space="preserve">between 9 December 2013 and </w:t>
      </w:r>
      <w:r w:rsidR="23B77F21">
        <w:t>13 March 2015.</w:t>
      </w:r>
      <w:r w:rsidR="04017712">
        <w:t xml:space="preserve"> </w:t>
      </w:r>
      <w:r w:rsidR="006C38D1">
        <w:t>Further, a</w:t>
      </w:r>
      <w:r w:rsidR="1F1714CC">
        <w:t xml:space="preserve">s noted at the beginning of section D, the 8 enforcement actions described here exclude </w:t>
      </w:r>
      <w:r w:rsidR="744CC20E">
        <w:t>all actions against Vodafone</w:t>
      </w:r>
      <w:r w:rsidR="1C12ED0B">
        <w:t xml:space="preserve"> </w:t>
      </w:r>
      <w:r w:rsidR="008F6FED">
        <w:t>made before its merger with</w:t>
      </w:r>
      <w:r w:rsidR="7576F667">
        <w:t xml:space="preserve"> TPG </w:t>
      </w:r>
      <w:r w:rsidR="1C12ED0B">
        <w:t xml:space="preserve">in </w:t>
      </w:r>
      <w:r w:rsidR="7576F667">
        <w:t>2020</w:t>
      </w:r>
      <w:r w:rsidR="1C12ED0B">
        <w:t xml:space="preserve"> (see separate note </w:t>
      </w:r>
      <w:r w:rsidR="5A97F829">
        <w:t xml:space="preserve">on TPG Group </w:t>
      </w:r>
      <w:r w:rsidR="1C12ED0B">
        <w:t>below).</w:t>
      </w:r>
      <w:r w:rsidR="007759F5">
        <w:t xml:space="preserve"> </w:t>
      </w:r>
    </w:p>
    <w:p w14:paraId="5D4A643B" w14:textId="15EEF4B5" w:rsidR="005A4293" w:rsidRPr="00D5418E" w:rsidRDefault="00D5418E" w:rsidP="00D5418E">
      <w:pPr>
        <w:pStyle w:val="Heading3"/>
      </w:pPr>
      <w:bookmarkStart w:id="192" w:name="_Toc146201053"/>
      <w:bookmarkStart w:id="193" w:name="_Toc161836186"/>
      <w:r>
        <w:lastRenderedPageBreak/>
        <w:t>6</w:t>
      </w:r>
      <w:r w:rsidR="00AB777F">
        <w:tab/>
      </w:r>
      <w:r w:rsidR="005A4293" w:rsidRPr="00D5418E">
        <w:rPr>
          <w:rStyle w:val="Heading4Char"/>
          <w:rFonts w:ascii="Arial" w:hAnsi="Arial"/>
          <w:i w:val="0"/>
          <w:iCs w:val="0"/>
        </w:rPr>
        <w:t xml:space="preserve">Enforcement </w:t>
      </w:r>
      <w:r w:rsidR="00B575EC" w:rsidRPr="00D5418E">
        <w:rPr>
          <w:rStyle w:val="Heading4Char"/>
          <w:rFonts w:ascii="Arial" w:hAnsi="Arial"/>
          <w:i w:val="0"/>
          <w:iCs w:val="0"/>
        </w:rPr>
        <w:t>A</w:t>
      </w:r>
      <w:r w:rsidR="005A4293" w:rsidRPr="00D5418E">
        <w:rPr>
          <w:rStyle w:val="Heading4Char"/>
          <w:rFonts w:ascii="Arial" w:hAnsi="Arial"/>
          <w:i w:val="0"/>
          <w:iCs w:val="0"/>
        </w:rPr>
        <w:t xml:space="preserve">ctions </w:t>
      </w:r>
      <w:r w:rsidR="00B575EC" w:rsidRPr="00D5418E">
        <w:rPr>
          <w:rStyle w:val="Heading4Char"/>
          <w:rFonts w:ascii="Arial" w:hAnsi="Arial"/>
          <w:i w:val="0"/>
          <w:iCs w:val="0"/>
        </w:rPr>
        <w:t>A</w:t>
      </w:r>
      <w:r w:rsidR="005A4293" w:rsidRPr="00D5418E">
        <w:rPr>
          <w:rStyle w:val="Heading4Char"/>
          <w:rFonts w:ascii="Arial" w:hAnsi="Arial"/>
          <w:i w:val="0"/>
          <w:iCs w:val="0"/>
        </w:rPr>
        <w:t>gainst Vodafone</w:t>
      </w:r>
      <w:bookmarkEnd w:id="192"/>
      <w:bookmarkEnd w:id="193"/>
    </w:p>
    <w:p w14:paraId="09F41191" w14:textId="1A142741" w:rsidR="005A4293" w:rsidRDefault="24810A54" w:rsidP="00734124">
      <w:r>
        <w:t xml:space="preserve">The </w:t>
      </w:r>
      <w:r w:rsidR="1FEAA1B3">
        <w:t>8</w:t>
      </w:r>
      <w:r>
        <w:t xml:space="preserve"> enforcement actions against Vodafone included 3 formal warnings, </w:t>
      </w:r>
      <w:r w:rsidR="1FEAA1B3">
        <w:t>3</w:t>
      </w:r>
      <w:r>
        <w:t xml:space="preserve"> directions to comply and 1 remedial direction. </w:t>
      </w:r>
      <w:r w:rsidR="00554649">
        <w:t>T</w:t>
      </w:r>
      <w:r w:rsidR="00D11F2F">
        <w:t>he ACMA</w:t>
      </w:r>
      <w:r>
        <w:t xml:space="preserve"> </w:t>
      </w:r>
      <w:r w:rsidR="1FEAA1B3">
        <w:t>also</w:t>
      </w:r>
      <w:r>
        <w:t xml:space="preserve"> accept</w:t>
      </w:r>
      <w:r w:rsidR="1FEAA1B3">
        <w:t>ed</w:t>
      </w:r>
      <w:r>
        <w:t xml:space="preserve"> </w:t>
      </w:r>
      <w:r w:rsidR="004C0401">
        <w:t xml:space="preserve">1 </w:t>
      </w:r>
      <w:r>
        <w:t>enforceable undertaking from Vodafone. No civil penalties were imposed.</w:t>
      </w:r>
    </w:p>
    <w:p w14:paraId="18F9A5F5" w14:textId="2415B948" w:rsidR="00917490" w:rsidRPr="00734124" w:rsidRDefault="1FEAA1B3" w:rsidP="00917490">
      <w:pPr>
        <w:rPr>
          <w:rFonts w:cs="Calibri"/>
          <w:lang w:eastAsia="en-AU"/>
        </w:rPr>
      </w:pPr>
      <w:r w:rsidRPr="005A4293">
        <w:rPr>
          <w:lang w:eastAsia="en-AU"/>
        </w:rPr>
        <w:t>The enforcement actions were taken in 2011-12 (</w:t>
      </w:r>
      <w:r>
        <w:rPr>
          <w:lang w:eastAsia="en-AU"/>
        </w:rPr>
        <w:t>2</w:t>
      </w:r>
      <w:r w:rsidRPr="005A4293">
        <w:rPr>
          <w:lang w:eastAsia="en-AU"/>
        </w:rPr>
        <w:t>), 2012-13</w:t>
      </w:r>
      <w:r>
        <w:rPr>
          <w:lang w:eastAsia="en-AU"/>
        </w:rPr>
        <w:t xml:space="preserve"> </w:t>
      </w:r>
      <w:r w:rsidRPr="005A4293">
        <w:rPr>
          <w:lang w:eastAsia="en-AU"/>
        </w:rPr>
        <w:t>(1), 20</w:t>
      </w:r>
      <w:r>
        <w:rPr>
          <w:lang w:eastAsia="en-AU"/>
        </w:rPr>
        <w:t>17-</w:t>
      </w:r>
      <w:r w:rsidRPr="005A4293">
        <w:rPr>
          <w:lang w:eastAsia="en-AU"/>
        </w:rPr>
        <w:t>18 (1)</w:t>
      </w:r>
      <w:r>
        <w:rPr>
          <w:lang w:eastAsia="en-AU"/>
        </w:rPr>
        <w:t xml:space="preserve"> and</w:t>
      </w:r>
      <w:r w:rsidRPr="005A4293">
        <w:rPr>
          <w:lang w:eastAsia="en-AU"/>
        </w:rPr>
        <w:t xml:space="preserve"> 20</w:t>
      </w:r>
      <w:r>
        <w:rPr>
          <w:lang w:eastAsia="en-AU"/>
        </w:rPr>
        <w:t>18-</w:t>
      </w:r>
      <w:r w:rsidRPr="005A4293">
        <w:rPr>
          <w:lang w:eastAsia="en-AU"/>
        </w:rPr>
        <w:t>19</w:t>
      </w:r>
      <w:r>
        <w:rPr>
          <w:lang w:eastAsia="en-AU"/>
        </w:rPr>
        <w:t xml:space="preserve"> </w:t>
      </w:r>
      <w:r w:rsidRPr="005A4293">
        <w:rPr>
          <w:lang w:eastAsia="en-AU"/>
        </w:rPr>
        <w:t>(</w:t>
      </w:r>
      <w:r>
        <w:rPr>
          <w:lang w:eastAsia="en-AU"/>
        </w:rPr>
        <w:t>4</w:t>
      </w:r>
      <w:r w:rsidRPr="005A4293">
        <w:rPr>
          <w:lang w:eastAsia="en-AU"/>
        </w:rPr>
        <w:t>)</w:t>
      </w:r>
      <w:r w:rsidR="0031782A">
        <w:rPr>
          <w:lang w:eastAsia="en-AU"/>
        </w:rPr>
        <w:t>.</w:t>
      </w:r>
      <w:r w:rsidRPr="005A4293">
        <w:rPr>
          <w:lang w:eastAsia="en-AU"/>
        </w:rPr>
        <w:t xml:space="preserve"> </w:t>
      </w:r>
    </w:p>
    <w:p w14:paraId="40A734E7" w14:textId="77777777" w:rsidR="005A4293" w:rsidRPr="005A4293" w:rsidRDefault="005A4293" w:rsidP="001556EF">
      <w:pPr>
        <w:rPr>
          <w:rFonts w:eastAsia="Times New Roman" w:cs="Calibri"/>
          <w:lang w:eastAsia="en-AU"/>
        </w:rPr>
      </w:pPr>
      <w:r w:rsidRPr="005A4293">
        <w:rPr>
          <w:rFonts w:eastAsia="Times New Roman" w:cs="Calibri"/>
          <w:lang w:eastAsia="en-AU"/>
        </w:rPr>
        <w:t>The enforcement action against Vodafone concerned breaches of:</w:t>
      </w:r>
    </w:p>
    <w:p w14:paraId="69A5674B" w14:textId="77777777" w:rsidR="005A4293" w:rsidRPr="005A4293" w:rsidRDefault="3C6A3794" w:rsidP="00734124">
      <w:pPr>
        <w:pStyle w:val="Bullets"/>
        <w:spacing w:after="0"/>
        <w:rPr>
          <w:lang w:eastAsia="en-AU"/>
        </w:rPr>
      </w:pPr>
      <w:r w:rsidRPr="27E57E23">
        <w:rPr>
          <w:lang w:eastAsia="en-AU"/>
        </w:rPr>
        <w:t>the TCP Code</w:t>
      </w:r>
    </w:p>
    <w:p w14:paraId="7381855A" w14:textId="625537CA" w:rsidR="005A4293" w:rsidRPr="005A4293" w:rsidRDefault="00AA7AED" w:rsidP="00734124">
      <w:pPr>
        <w:pStyle w:val="Bullets"/>
        <w:spacing w:after="0"/>
        <w:rPr>
          <w:lang w:eastAsia="en-AU"/>
        </w:rPr>
      </w:pPr>
      <w:r>
        <w:rPr>
          <w:lang w:eastAsia="en-AU"/>
        </w:rPr>
        <w:t>Tel Act</w:t>
      </w:r>
      <w:r w:rsidR="1D8037E6" w:rsidRPr="27E57E23">
        <w:rPr>
          <w:lang w:eastAsia="en-AU"/>
        </w:rPr>
        <w:t xml:space="preserve"> </w:t>
      </w:r>
      <w:r w:rsidR="3C6A3794" w:rsidRPr="27E57E23">
        <w:rPr>
          <w:lang w:eastAsia="en-AU"/>
        </w:rPr>
        <w:t>IPND obligations</w:t>
      </w:r>
      <w:r w:rsidR="1D8037E6" w:rsidRPr="27E57E23">
        <w:rPr>
          <w:lang w:eastAsia="en-AU"/>
        </w:rPr>
        <w:t xml:space="preserve"> and </w:t>
      </w:r>
      <w:r w:rsidR="02C25D85" w:rsidRPr="27E57E23">
        <w:rPr>
          <w:lang w:eastAsia="en-AU"/>
        </w:rPr>
        <w:t>the IPND Code</w:t>
      </w:r>
    </w:p>
    <w:p w14:paraId="4BB83D3B" w14:textId="35D45D97" w:rsidR="00917490" w:rsidRDefault="3C6A3794" w:rsidP="00734124">
      <w:pPr>
        <w:pStyle w:val="Bullets"/>
        <w:spacing w:after="0"/>
        <w:rPr>
          <w:lang w:eastAsia="en-AU"/>
        </w:rPr>
      </w:pPr>
      <w:r w:rsidRPr="27E57E23">
        <w:rPr>
          <w:lang w:eastAsia="en-AU"/>
        </w:rPr>
        <w:t>the Telecommunications (Consumer Complaints Handling) Industry Standard 2018</w:t>
      </w:r>
    </w:p>
    <w:p w14:paraId="4AE5D59D" w14:textId="322420CD" w:rsidR="005A4293" w:rsidRPr="005A4293" w:rsidRDefault="02C25D85" w:rsidP="00734124">
      <w:pPr>
        <w:pStyle w:val="Bullets"/>
        <w:spacing w:after="0"/>
        <w:rPr>
          <w:lang w:eastAsia="en-AU"/>
        </w:rPr>
      </w:pPr>
      <w:r w:rsidRPr="27E57E23">
        <w:rPr>
          <w:lang w:eastAsia="en-AU"/>
        </w:rPr>
        <w:t>the Telecommunications (Service Provider – Identity Checks for Prepaid Mobile Carriage Services) Determination 2013</w:t>
      </w:r>
      <w:r w:rsidR="6CD093B6" w:rsidRPr="27E57E23">
        <w:rPr>
          <w:lang w:eastAsia="en-AU"/>
        </w:rPr>
        <w:t>.</w:t>
      </w:r>
    </w:p>
    <w:p w14:paraId="6E40D50E" w14:textId="77777777" w:rsidR="005A4293" w:rsidRPr="005A4293" w:rsidRDefault="005A4293" w:rsidP="005A4293">
      <w:pPr>
        <w:spacing w:after="0" w:line="240" w:lineRule="auto"/>
        <w:textAlignment w:val="baseline"/>
        <w:rPr>
          <w:rFonts w:ascii="Calibri" w:eastAsia="Times New Roman" w:hAnsi="Calibri" w:cs="Calibri"/>
          <w:lang w:eastAsia="en-AU"/>
        </w:rPr>
      </w:pPr>
    </w:p>
    <w:p w14:paraId="2CDDF8A0" w14:textId="1A2A7930" w:rsidR="005A4293" w:rsidRPr="00734124" w:rsidDel="00917490" w:rsidRDefault="24810A54" w:rsidP="00734124">
      <w:pPr>
        <w:rPr>
          <w:rFonts w:ascii="Times New Roman" w:hAnsi="Times New Roman" w:cs="Times New Roman"/>
          <w:sz w:val="24"/>
          <w:szCs w:val="24"/>
          <w:lang w:eastAsia="en-AU"/>
        </w:rPr>
      </w:pPr>
      <w:r w:rsidRPr="47ACCDB0">
        <w:rPr>
          <w:lang w:eastAsia="en-AU"/>
        </w:rPr>
        <w:t>Vodafone’s breaches involved failures to:</w:t>
      </w:r>
    </w:p>
    <w:p w14:paraId="10CB90D7" w14:textId="77777777" w:rsidR="005A4293" w:rsidRPr="005A4293" w:rsidRDefault="3C6A3794" w:rsidP="00734124">
      <w:pPr>
        <w:pStyle w:val="Bullets"/>
        <w:spacing w:after="0"/>
        <w:rPr>
          <w:lang w:eastAsia="en-AU"/>
        </w:rPr>
      </w:pPr>
      <w:r w:rsidRPr="27E57E23">
        <w:rPr>
          <w:lang w:eastAsia="en-AU"/>
        </w:rPr>
        <w:t>provide charging information</w:t>
      </w:r>
    </w:p>
    <w:p w14:paraId="0FFEA358" w14:textId="71126364" w:rsidR="005A4293" w:rsidRPr="005A4293" w:rsidRDefault="3C6A3794" w:rsidP="00734124">
      <w:pPr>
        <w:pStyle w:val="Bullets"/>
        <w:spacing w:after="0"/>
        <w:rPr>
          <w:lang w:eastAsia="en-AU"/>
        </w:rPr>
      </w:pPr>
      <w:r w:rsidRPr="27E57E23">
        <w:rPr>
          <w:lang w:eastAsia="en-AU"/>
        </w:rPr>
        <w:t>submit update</w:t>
      </w:r>
      <w:r w:rsidR="0CF9CA01" w:rsidRPr="27E57E23">
        <w:rPr>
          <w:lang w:eastAsia="en-AU"/>
        </w:rPr>
        <w:t>d</w:t>
      </w:r>
      <w:r w:rsidRPr="27E57E23">
        <w:rPr>
          <w:lang w:eastAsia="en-AU"/>
        </w:rPr>
        <w:t xml:space="preserve"> data for the IPND manager</w:t>
      </w:r>
    </w:p>
    <w:p w14:paraId="36CD2D2D" w14:textId="2F17475E" w:rsidR="005A4293" w:rsidRPr="005A4293" w:rsidRDefault="3C6A3794" w:rsidP="00734124">
      <w:pPr>
        <w:pStyle w:val="Bullets"/>
        <w:spacing w:after="0"/>
        <w:rPr>
          <w:lang w:eastAsia="en-AU"/>
        </w:rPr>
      </w:pPr>
      <w:r w:rsidRPr="27E57E23">
        <w:rPr>
          <w:lang w:eastAsia="en-AU"/>
        </w:rPr>
        <w:t xml:space="preserve">establish effective </w:t>
      </w:r>
      <w:r w:rsidR="001158C9" w:rsidRPr="27E57E23">
        <w:rPr>
          <w:lang w:eastAsia="en-AU"/>
        </w:rPr>
        <w:t>complaint</w:t>
      </w:r>
      <w:r w:rsidR="008F1062" w:rsidRPr="27E57E23">
        <w:rPr>
          <w:lang w:eastAsia="en-AU"/>
        </w:rPr>
        <w:t>s</w:t>
      </w:r>
      <w:r w:rsidR="001158C9" w:rsidRPr="27E57E23">
        <w:rPr>
          <w:lang w:eastAsia="en-AU"/>
        </w:rPr>
        <w:t>-handling</w:t>
      </w:r>
      <w:r w:rsidRPr="27E57E23">
        <w:rPr>
          <w:lang w:eastAsia="en-AU"/>
        </w:rPr>
        <w:t xml:space="preserve"> processes; and</w:t>
      </w:r>
    </w:p>
    <w:p w14:paraId="784AF8C0" w14:textId="77777777" w:rsidR="005A4293" w:rsidRPr="005A4293" w:rsidRDefault="3C6A3794" w:rsidP="00734124">
      <w:pPr>
        <w:pStyle w:val="Bullets"/>
        <w:spacing w:after="0"/>
        <w:rPr>
          <w:lang w:eastAsia="en-AU"/>
        </w:rPr>
      </w:pPr>
      <w:r w:rsidRPr="27E57E23">
        <w:rPr>
          <w:lang w:eastAsia="en-AU"/>
        </w:rPr>
        <w:t xml:space="preserve">provide accurate consumer information and descriptions of telecommunications products. </w:t>
      </w:r>
    </w:p>
    <w:p w14:paraId="6F35E30B" w14:textId="77777777" w:rsidR="005A4293" w:rsidRPr="005A4293" w:rsidRDefault="005A4293" w:rsidP="005A4293">
      <w:pPr>
        <w:spacing w:after="0" w:line="240" w:lineRule="auto"/>
        <w:ind w:left="720"/>
        <w:textAlignment w:val="baseline"/>
        <w:rPr>
          <w:rFonts w:ascii="Calibri" w:eastAsia="Times New Roman" w:hAnsi="Calibri" w:cs="Calibri"/>
          <w:lang w:eastAsia="en-AU"/>
        </w:rPr>
      </w:pPr>
    </w:p>
    <w:p w14:paraId="464BC8EB" w14:textId="3DBBB9B3" w:rsidR="005A4293" w:rsidRPr="005A4293" w:rsidRDefault="61BAFAA0" w:rsidP="00734124">
      <w:pPr>
        <w:rPr>
          <w:rFonts w:ascii="Times New Roman" w:hAnsi="Times New Roman" w:cs="Times New Roman"/>
          <w:sz w:val="24"/>
          <w:szCs w:val="24"/>
          <w:lang w:eastAsia="en-AU"/>
        </w:rPr>
      </w:pPr>
      <w:r w:rsidRPr="47ACCDB0">
        <w:rPr>
          <w:lang w:eastAsia="en-AU"/>
        </w:rPr>
        <w:t>Voda</w:t>
      </w:r>
      <w:r w:rsidR="152B7E0C" w:rsidRPr="47ACCDB0">
        <w:rPr>
          <w:lang w:eastAsia="en-AU"/>
        </w:rPr>
        <w:t>f</w:t>
      </w:r>
      <w:r w:rsidRPr="47ACCDB0">
        <w:rPr>
          <w:lang w:eastAsia="en-AU"/>
        </w:rPr>
        <w:t>one’s breaches of the IPND</w:t>
      </w:r>
      <w:r w:rsidR="675252FC" w:rsidRPr="47ACCDB0">
        <w:rPr>
          <w:lang w:eastAsia="en-AU"/>
        </w:rPr>
        <w:t>-related</w:t>
      </w:r>
      <w:r w:rsidRPr="47ACCDB0">
        <w:rPr>
          <w:lang w:eastAsia="en-AU"/>
        </w:rPr>
        <w:t xml:space="preserve"> obligations resulted in both a direction to comply and a remedial direction. Vodafone also contravened the Telecommunications (Consumer Complaints Handling) Industry Standard 2018 by failing to include matters such as timeframes, escalation, and consumer rights in its compliant </w:t>
      </w:r>
      <w:r w:rsidR="001158C9">
        <w:rPr>
          <w:lang w:eastAsia="en-AU"/>
        </w:rPr>
        <w:t>complaint</w:t>
      </w:r>
      <w:r w:rsidR="008F1062">
        <w:rPr>
          <w:lang w:eastAsia="en-AU"/>
        </w:rPr>
        <w:t>s</w:t>
      </w:r>
      <w:r w:rsidR="001158C9">
        <w:rPr>
          <w:lang w:eastAsia="en-AU"/>
        </w:rPr>
        <w:t>-handling</w:t>
      </w:r>
      <w:r w:rsidRPr="47ACCDB0">
        <w:rPr>
          <w:lang w:eastAsia="en-AU"/>
        </w:rPr>
        <w:t xml:space="preserve"> process. To date, breaches of the Complaints Standard often result in formal warnings from the </w:t>
      </w:r>
      <w:r w:rsidR="00D11F2F">
        <w:rPr>
          <w:lang w:eastAsia="en-AU"/>
        </w:rPr>
        <w:t>ACMA</w:t>
      </w:r>
      <w:r w:rsidRPr="47ACCDB0">
        <w:rPr>
          <w:lang w:eastAsia="en-AU"/>
        </w:rPr>
        <w:t>, which was also the case for Vodafone’s breach.</w:t>
      </w:r>
    </w:p>
    <w:p w14:paraId="3749E6C3" w14:textId="3213A17E" w:rsidR="002F76CF" w:rsidRPr="005A4293" w:rsidRDefault="66E41C95" w:rsidP="7EFE6C20">
      <w:r w:rsidRPr="47ACCDB0">
        <w:rPr>
          <w:lang w:eastAsia="en-AU"/>
        </w:rPr>
        <w:t xml:space="preserve">As mentioned earlier, Vodafone </w:t>
      </w:r>
      <w:r w:rsidR="00815E09" w:rsidRPr="12EC14AA">
        <w:rPr>
          <w:lang w:eastAsia="en-AU"/>
        </w:rPr>
        <w:t>merged with</w:t>
      </w:r>
      <w:r w:rsidRPr="47ACCDB0">
        <w:rPr>
          <w:lang w:eastAsia="en-AU"/>
        </w:rPr>
        <w:t xml:space="preserve"> TPG in 2020, but we </w:t>
      </w:r>
      <w:r w:rsidR="65988F04" w:rsidRPr="47ACCDB0">
        <w:rPr>
          <w:lang w:eastAsia="en-AU"/>
        </w:rPr>
        <w:t xml:space="preserve">have treated them as </w:t>
      </w:r>
      <w:r w:rsidRPr="47ACCDB0">
        <w:rPr>
          <w:lang w:eastAsia="en-AU"/>
        </w:rPr>
        <w:t>separate providers here</w:t>
      </w:r>
      <w:r w:rsidR="00F946BD" w:rsidRPr="12EC14AA">
        <w:rPr>
          <w:lang w:eastAsia="en-AU"/>
        </w:rPr>
        <w:t xml:space="preserve"> due to their independence from one another for</w:t>
      </w:r>
      <w:r w:rsidRPr="47ACCDB0">
        <w:rPr>
          <w:lang w:eastAsia="en-AU"/>
        </w:rPr>
        <w:t xml:space="preserve"> most of the</w:t>
      </w:r>
      <w:r w:rsidR="00F946BD" w:rsidRPr="12EC14AA">
        <w:rPr>
          <w:lang w:eastAsia="en-AU"/>
        </w:rPr>
        <w:t xml:space="preserve"> report’s</w:t>
      </w:r>
      <w:r w:rsidRPr="47ACCDB0">
        <w:rPr>
          <w:lang w:eastAsia="en-AU"/>
        </w:rPr>
        <w:t xml:space="preserve"> timespan</w:t>
      </w:r>
      <w:r w:rsidR="38370A91" w:rsidRPr="47ACCDB0">
        <w:rPr>
          <w:lang w:eastAsia="en-AU"/>
        </w:rPr>
        <w:t>.</w:t>
      </w:r>
      <w:r w:rsidR="007A3C6D">
        <w:rPr>
          <w:lang w:eastAsia="en-AU"/>
        </w:rPr>
        <w:t xml:space="preserve"> </w:t>
      </w:r>
      <w:r w:rsidR="00CA57E8">
        <w:t>It should be noted</w:t>
      </w:r>
      <w:r w:rsidR="00B378DD">
        <w:t>, however, that since the merger, one action</w:t>
      </w:r>
      <w:r w:rsidR="00CA57E8">
        <w:t xml:space="preserve"> made against TPG Telecom was in relation to the Vodafone brand.</w:t>
      </w:r>
      <w:r w:rsidR="004D13CB">
        <w:rPr>
          <w:rStyle w:val="FootnoteReference"/>
        </w:rPr>
        <w:footnoteReference w:id="224"/>
      </w:r>
      <w:r w:rsidR="00CA57E8">
        <w:t xml:space="preserve"> As noted above, this has been counted against the overall TPG numbers</w:t>
      </w:r>
      <w:r w:rsidR="0059211B">
        <w:t xml:space="preserve"> and is not reflected in </w:t>
      </w:r>
      <w:r w:rsidR="00232334">
        <w:t>the count of enforcement actions against Vodafone</w:t>
      </w:r>
      <w:r w:rsidR="00EE7D79">
        <w:t xml:space="preserve"> in this section</w:t>
      </w:r>
      <w:r w:rsidR="00CA57E8">
        <w:t xml:space="preserve">. </w:t>
      </w:r>
      <w:r w:rsidR="00B378DD">
        <w:t>This enforcement action was a direction to comply</w:t>
      </w:r>
      <w:r w:rsidR="00E46C38">
        <w:t>,</w:t>
      </w:r>
      <w:r w:rsidR="00B378DD">
        <w:t xml:space="preserve"> </w:t>
      </w:r>
      <w:r w:rsidR="00F41055">
        <w:t xml:space="preserve">given </w:t>
      </w:r>
      <w:r w:rsidR="00B378DD">
        <w:t>fo</w:t>
      </w:r>
      <w:r w:rsidR="00225E00">
        <w:t>r</w:t>
      </w:r>
      <w:r w:rsidR="00B378DD">
        <w:t xml:space="preserve"> </w:t>
      </w:r>
      <w:r w:rsidR="00D67999">
        <w:t>failing to adhere to the TCP Code's debt and credit management provisions</w:t>
      </w:r>
      <w:r w:rsidR="00F41055">
        <w:t>.</w:t>
      </w:r>
      <w:r w:rsidR="002B68DA">
        <w:t xml:space="preserve"> See the separate note on TPG Group below for more information.</w:t>
      </w:r>
    </w:p>
    <w:p w14:paraId="44AF8C22" w14:textId="678F22E7" w:rsidR="7BDDBEDD" w:rsidRDefault="00D5418E" w:rsidP="00D5418E">
      <w:pPr>
        <w:pStyle w:val="Heading3"/>
      </w:pPr>
      <w:bookmarkStart w:id="194" w:name="_Toc161836187"/>
      <w:r>
        <w:t>7</w:t>
      </w:r>
      <w:r w:rsidR="00AB777F">
        <w:tab/>
      </w:r>
      <w:r w:rsidR="7EA013BF">
        <w:t>Enforcement Actions Against Do</w:t>
      </w:r>
      <w:r w:rsidR="00124450">
        <w:t>d</w:t>
      </w:r>
      <w:r w:rsidR="7EA013BF">
        <w:t>o</w:t>
      </w:r>
      <w:bookmarkEnd w:id="194"/>
    </w:p>
    <w:p w14:paraId="1DDA36BE" w14:textId="532D8DA4" w:rsidR="0114E9E1" w:rsidRDefault="26402740" w:rsidP="00355F90">
      <w:r>
        <w:t xml:space="preserve">The </w:t>
      </w:r>
      <w:r w:rsidR="215971A5">
        <w:t>7</w:t>
      </w:r>
      <w:r>
        <w:t xml:space="preserve"> enforcement investigations against Do</w:t>
      </w:r>
      <w:r w:rsidR="00554649">
        <w:t>d</w:t>
      </w:r>
      <w:r>
        <w:t xml:space="preserve">o included 6 formal warnings. </w:t>
      </w:r>
      <w:r w:rsidR="00356067">
        <w:t>T</w:t>
      </w:r>
      <w:r w:rsidR="00D11F2F">
        <w:t>he ACMA</w:t>
      </w:r>
      <w:r>
        <w:t xml:space="preserve"> accepted </w:t>
      </w:r>
      <w:r w:rsidR="00BE12E8">
        <w:t xml:space="preserve">1 </w:t>
      </w:r>
      <w:r>
        <w:t>enforceable undertaking from Do</w:t>
      </w:r>
      <w:r w:rsidR="00554649">
        <w:t>d</w:t>
      </w:r>
      <w:r>
        <w:t>o.</w:t>
      </w:r>
    </w:p>
    <w:p w14:paraId="314E6F87" w14:textId="71FAE555" w:rsidR="00F85EBA" w:rsidRDefault="215971A5" w:rsidP="40F8949C">
      <w:r>
        <w:t xml:space="preserve">The </w:t>
      </w:r>
      <w:r w:rsidR="00BE12E8">
        <w:t>7</w:t>
      </w:r>
      <w:r>
        <w:t xml:space="preserve"> enforcement actions were taken in </w:t>
      </w:r>
      <w:r w:rsidR="41FBA334">
        <w:t xml:space="preserve">2013-14 (1), </w:t>
      </w:r>
      <w:r>
        <w:t>2014-15 (</w:t>
      </w:r>
      <w:r w:rsidR="41FBA334">
        <w:t>1</w:t>
      </w:r>
      <w:r>
        <w:t>), 2018</w:t>
      </w:r>
      <w:r w:rsidR="41FBA334">
        <w:t>-19</w:t>
      </w:r>
      <w:r>
        <w:t xml:space="preserve"> (</w:t>
      </w:r>
      <w:r w:rsidR="41FBA334">
        <w:t>2</w:t>
      </w:r>
      <w:r>
        <w:t>)</w:t>
      </w:r>
      <w:r w:rsidR="41FBA334">
        <w:t xml:space="preserve"> and</w:t>
      </w:r>
      <w:r>
        <w:t xml:space="preserve"> 2019</w:t>
      </w:r>
      <w:r w:rsidR="41FBA334">
        <w:t xml:space="preserve">-20 </w:t>
      </w:r>
      <w:r>
        <w:t>(</w:t>
      </w:r>
      <w:r w:rsidR="41FBA334">
        <w:t>3</w:t>
      </w:r>
      <w:r>
        <w:t>)</w:t>
      </w:r>
      <w:r w:rsidR="41FBA334">
        <w:t>.</w:t>
      </w:r>
      <w:r>
        <w:t xml:space="preserve"> </w:t>
      </w:r>
    </w:p>
    <w:p w14:paraId="5C19086C" w14:textId="42FE4FF6" w:rsidR="0A519879" w:rsidRDefault="0A519879" w:rsidP="40F8949C">
      <w:r>
        <w:t>The enforcement actions concerned breaches of:</w:t>
      </w:r>
    </w:p>
    <w:p w14:paraId="79D2F3A7" w14:textId="413CE2B1" w:rsidR="6CB7877D" w:rsidRDefault="00BE12E8" w:rsidP="001019BA">
      <w:pPr>
        <w:pStyle w:val="ListParagraph"/>
        <w:numPr>
          <w:ilvl w:val="0"/>
          <w:numId w:val="7"/>
        </w:numPr>
      </w:pPr>
      <w:r>
        <w:lastRenderedPageBreak/>
        <w:t xml:space="preserve">the </w:t>
      </w:r>
      <w:r w:rsidR="6C4C8AF1">
        <w:t>Telecommunications (Consumer Complaints Handling) Industry Standard 2018</w:t>
      </w:r>
    </w:p>
    <w:p w14:paraId="4BC766EA" w14:textId="0B6645A5" w:rsidR="0047350E" w:rsidRPr="0047350E" w:rsidRDefault="6C4C8AF1" w:rsidP="001019BA">
      <w:pPr>
        <w:pStyle w:val="ListParagraph"/>
        <w:numPr>
          <w:ilvl w:val="0"/>
          <w:numId w:val="7"/>
        </w:numPr>
      </w:pPr>
      <w:r>
        <w:t xml:space="preserve">the </w:t>
      </w:r>
      <w:r w:rsidR="00AA7AED">
        <w:t>Tel Act</w:t>
      </w:r>
      <w:r w:rsidR="00325AAA">
        <w:t xml:space="preserve"> </w:t>
      </w:r>
      <w:r>
        <w:t>IPND rules</w:t>
      </w:r>
      <w:r w:rsidR="00325AAA">
        <w:t xml:space="preserve"> and </w:t>
      </w:r>
      <w:r w:rsidR="215971A5">
        <w:t xml:space="preserve">the IPND </w:t>
      </w:r>
      <w:r w:rsidR="41FBA334">
        <w:t>Code</w:t>
      </w:r>
    </w:p>
    <w:p w14:paraId="57512A14" w14:textId="5351EE7D" w:rsidR="00F85EBA" w:rsidRDefault="41FBA334" w:rsidP="001019BA">
      <w:pPr>
        <w:pStyle w:val="ListParagraph"/>
        <w:numPr>
          <w:ilvl w:val="0"/>
          <w:numId w:val="7"/>
        </w:numPr>
      </w:pPr>
      <w:r>
        <w:t>the</w:t>
      </w:r>
      <w:r w:rsidR="215971A5">
        <w:t xml:space="preserve"> TCP Code</w:t>
      </w:r>
    </w:p>
    <w:p w14:paraId="7D22889A" w14:textId="442B374A" w:rsidR="0047350E" w:rsidRDefault="41FBA334" w:rsidP="001019BA">
      <w:pPr>
        <w:pStyle w:val="ListParagraph"/>
        <w:numPr>
          <w:ilvl w:val="0"/>
          <w:numId w:val="7"/>
        </w:numPr>
      </w:pPr>
      <w:r>
        <w:t>the priority assistance requirements</w:t>
      </w:r>
    </w:p>
    <w:p w14:paraId="75F02FD2" w14:textId="584AF51D" w:rsidR="0114E9E1" w:rsidRDefault="41FBA334" w:rsidP="001019BA">
      <w:pPr>
        <w:pStyle w:val="ListParagraph"/>
        <w:numPr>
          <w:ilvl w:val="0"/>
          <w:numId w:val="7"/>
        </w:numPr>
      </w:pPr>
      <w:r>
        <w:t>the Telecommunications Service Provider (NBN Service Migration) Determination 2018.</w:t>
      </w:r>
    </w:p>
    <w:p w14:paraId="4B6BAEDB" w14:textId="3BC777FD" w:rsidR="00E34A3A" w:rsidRDefault="00325AAA" w:rsidP="00D96950">
      <w:r>
        <w:t xml:space="preserve">The enforceable undertaking </w:t>
      </w:r>
      <w:r w:rsidR="004D7DA4">
        <w:t>was accepted following Do</w:t>
      </w:r>
      <w:r w:rsidR="00554649">
        <w:t>d</w:t>
      </w:r>
      <w:r w:rsidR="004D7DA4">
        <w:t xml:space="preserve">o’s breach of the Telecommunications Service Provider (NBN Service Migration) Determination 2018. In the undertaking, </w:t>
      </w:r>
      <w:r w:rsidR="0044097D">
        <w:t xml:space="preserve">among other things, </w:t>
      </w:r>
      <w:r w:rsidR="004D7DA4">
        <w:t>Do</w:t>
      </w:r>
      <w:r w:rsidR="00554649">
        <w:t>d</w:t>
      </w:r>
      <w:r w:rsidR="004D7DA4">
        <w:t xml:space="preserve">o promised to </w:t>
      </w:r>
      <w:r w:rsidR="0044097D">
        <w:t xml:space="preserve">maintain the voluntary and remedial improvements it had already made to its systems and processes prior to </w:t>
      </w:r>
      <w:r w:rsidR="00D11F2F">
        <w:t>the ACMA</w:t>
      </w:r>
      <w:r w:rsidR="0044097D">
        <w:t xml:space="preserve"> issuing its findings and </w:t>
      </w:r>
      <w:r w:rsidR="001E1F18">
        <w:t xml:space="preserve">to </w:t>
      </w:r>
      <w:r w:rsidR="0044097D">
        <w:t>review the effectiveness of those improvements for four consecutive quarters.</w:t>
      </w:r>
    </w:p>
    <w:p w14:paraId="1AB458DC" w14:textId="7002082D" w:rsidR="3D15C8CE" w:rsidRPr="00D5418E" w:rsidRDefault="545A7E58" w:rsidP="00D5418E">
      <w:pPr>
        <w:pStyle w:val="Heading3"/>
      </w:pPr>
      <w:bookmarkStart w:id="195" w:name="_Toc161836188"/>
      <w:r>
        <w:t>8</w:t>
      </w:r>
      <w:r w:rsidR="00AB777F">
        <w:tab/>
      </w:r>
      <w:r w:rsidR="27054D78">
        <w:t>Enforcement Actions Against Exetel</w:t>
      </w:r>
      <w:bookmarkEnd w:id="195"/>
    </w:p>
    <w:p w14:paraId="5523F8A6" w14:textId="24BD37DE" w:rsidR="40F8949C" w:rsidRDefault="27054D78" w:rsidP="40F8949C">
      <w:r>
        <w:t xml:space="preserve">The </w:t>
      </w:r>
      <w:r w:rsidR="41FBA334">
        <w:t xml:space="preserve">6 </w:t>
      </w:r>
      <w:r>
        <w:t>enforcement actions against Exetel consisted of: 2 formal warnings, 2 directions to comply and 2 infringement notices</w:t>
      </w:r>
      <w:r w:rsidR="41FBA334">
        <w:t xml:space="preserve"> (totalling $25,920)</w:t>
      </w:r>
      <w:r>
        <w:t xml:space="preserve">. </w:t>
      </w:r>
      <w:r w:rsidR="00664AD7">
        <w:t>T</w:t>
      </w:r>
      <w:r w:rsidR="00D11F2F">
        <w:t>he ACMA</w:t>
      </w:r>
      <w:r>
        <w:t xml:space="preserve"> </w:t>
      </w:r>
      <w:r w:rsidR="41FBA334">
        <w:t xml:space="preserve">did not </w:t>
      </w:r>
      <w:r>
        <w:t xml:space="preserve">accept enforceable undertakings </w:t>
      </w:r>
      <w:r w:rsidR="41FBA334">
        <w:t xml:space="preserve">from </w:t>
      </w:r>
      <w:r>
        <w:t>Exetel.</w:t>
      </w:r>
    </w:p>
    <w:p w14:paraId="6597C0EE" w14:textId="41DAD8A9" w:rsidR="00443F75" w:rsidRDefault="027281DC" w:rsidP="00443F75">
      <w:r>
        <w:t>The enforcement actions were taken in 2018-19 (2), 2019-20 (2) and 2022-23 (2).</w:t>
      </w:r>
    </w:p>
    <w:p w14:paraId="12A39AE2" w14:textId="681E8932" w:rsidR="40F8949C" w:rsidRDefault="40F8949C" w:rsidP="40F8949C">
      <w:r>
        <w:t>The enforcement actions concerned breaches of:</w:t>
      </w:r>
    </w:p>
    <w:p w14:paraId="7FF05769" w14:textId="15BD5C85" w:rsidR="40F8949C" w:rsidRDefault="40F8949C" w:rsidP="001019BA">
      <w:pPr>
        <w:pStyle w:val="ListParagraph"/>
        <w:numPr>
          <w:ilvl w:val="0"/>
          <w:numId w:val="6"/>
        </w:numPr>
        <w:rPr>
          <w:szCs w:val="21"/>
        </w:rPr>
      </w:pPr>
      <w:r w:rsidRPr="40F8949C">
        <w:rPr>
          <w:szCs w:val="21"/>
        </w:rPr>
        <w:t>the TCP Code</w:t>
      </w:r>
      <w:r w:rsidR="00D31A25">
        <w:rPr>
          <w:szCs w:val="21"/>
        </w:rPr>
        <w:t xml:space="preserve"> and </w:t>
      </w:r>
      <w:r w:rsidR="00D31A25">
        <w:t>a direction to comply with this code</w:t>
      </w:r>
    </w:p>
    <w:p w14:paraId="0CB8BE29" w14:textId="5E7A8FB6" w:rsidR="40F8949C" w:rsidRPr="00B24418" w:rsidRDefault="27054D78" w:rsidP="001019BA">
      <w:pPr>
        <w:pStyle w:val="ListParagraph"/>
        <w:numPr>
          <w:ilvl w:val="0"/>
          <w:numId w:val="6"/>
        </w:numPr>
      </w:pPr>
      <w:r w:rsidRPr="00B24418">
        <w:t>the Telecommunications (Consumer Complaints) Record-Keeping Rules 2018</w:t>
      </w:r>
    </w:p>
    <w:p w14:paraId="695B72FD" w14:textId="17C778E1" w:rsidR="0047350E" w:rsidRDefault="41FBA334" w:rsidP="001019BA">
      <w:pPr>
        <w:pStyle w:val="ListParagraph"/>
        <w:numPr>
          <w:ilvl w:val="0"/>
          <w:numId w:val="6"/>
        </w:numPr>
      </w:pPr>
      <w:r>
        <w:t>the priority assistance requirements</w:t>
      </w:r>
      <w:r w:rsidR="00D31A25">
        <w:t>.</w:t>
      </w:r>
    </w:p>
    <w:p w14:paraId="49764A50" w14:textId="0EC80032" w:rsidR="002F76CF" w:rsidRPr="00B24418" w:rsidRDefault="004D7DA4" w:rsidP="47ACCDB0">
      <w:r>
        <w:t xml:space="preserve">The infringement notices were issued following breaches of a direction to comply with the TCP </w:t>
      </w:r>
      <w:r w:rsidRPr="00B24418">
        <w:t>Code and the Telecommunications (Consumer Complaints) Record-Keeping Rules 2018.</w:t>
      </w:r>
    </w:p>
    <w:p w14:paraId="6A242E25" w14:textId="57279738" w:rsidR="612867DB" w:rsidRDefault="00D5418E" w:rsidP="00D5418E">
      <w:pPr>
        <w:pStyle w:val="Heading3"/>
      </w:pPr>
      <w:bookmarkStart w:id="196" w:name="_Toc161836189"/>
      <w:r>
        <w:t>9</w:t>
      </w:r>
      <w:r w:rsidR="00AB777F">
        <w:tab/>
      </w:r>
      <w:r w:rsidR="7EA013BF">
        <w:t xml:space="preserve">Enforcement Actions Against </w:t>
      </w:r>
      <w:proofErr w:type="spellStart"/>
      <w:r w:rsidR="5D910EFD">
        <w:t>iTalk</w:t>
      </w:r>
      <w:r w:rsidR="4D7E205F">
        <w:t>BB</w:t>
      </w:r>
      <w:bookmarkEnd w:id="196"/>
      <w:proofErr w:type="spellEnd"/>
    </w:p>
    <w:p w14:paraId="08527562" w14:textId="02421542" w:rsidR="00903333" w:rsidRDefault="00664AD7" w:rsidP="00355F90">
      <w:r>
        <w:t>T</w:t>
      </w:r>
      <w:r w:rsidR="00D11F2F">
        <w:t>he ACMA</w:t>
      </w:r>
      <w:r w:rsidR="75A66DA0">
        <w:t xml:space="preserve"> took 6 enforcement actions against </w:t>
      </w:r>
      <w:proofErr w:type="spellStart"/>
      <w:r w:rsidR="75A66DA0">
        <w:t>iTalk</w:t>
      </w:r>
      <w:r w:rsidR="1E43E6D5">
        <w:t>BB</w:t>
      </w:r>
      <w:proofErr w:type="spellEnd"/>
      <w:r w:rsidR="75A66DA0">
        <w:t xml:space="preserve">: </w:t>
      </w:r>
      <w:r w:rsidR="5741C6B5">
        <w:t>2</w:t>
      </w:r>
      <w:r w:rsidR="7F157B29">
        <w:t xml:space="preserve"> formal warnings,</w:t>
      </w:r>
      <w:r w:rsidR="55435611">
        <w:t xml:space="preserve"> </w:t>
      </w:r>
      <w:r w:rsidR="798A62BF">
        <w:t>3</w:t>
      </w:r>
      <w:r w:rsidR="75A66DA0">
        <w:t xml:space="preserve"> directions to comply</w:t>
      </w:r>
      <w:r w:rsidR="0B96E708">
        <w:t xml:space="preserve"> and 1 infringement notice</w:t>
      </w:r>
      <w:r w:rsidR="32E001D1">
        <w:t xml:space="preserve"> </w:t>
      </w:r>
      <w:r w:rsidR="003439E0">
        <w:t xml:space="preserve">with </w:t>
      </w:r>
      <w:r w:rsidR="027281DC">
        <w:t xml:space="preserve">the value of the infringement notice </w:t>
      </w:r>
      <w:r w:rsidR="003439E0">
        <w:t>being</w:t>
      </w:r>
      <w:r w:rsidR="027281DC">
        <w:t xml:space="preserve"> unknown</w:t>
      </w:r>
      <w:r w:rsidR="32E001D1">
        <w:t>.</w:t>
      </w:r>
      <w:r w:rsidR="00BCC960">
        <w:t xml:space="preserve"> </w:t>
      </w:r>
      <w:r>
        <w:t>T</w:t>
      </w:r>
      <w:r w:rsidR="00D11F2F">
        <w:t>he ACMA</w:t>
      </w:r>
      <w:r w:rsidR="00BCC960">
        <w:t xml:space="preserve"> </w:t>
      </w:r>
      <w:r w:rsidR="55435611">
        <w:t xml:space="preserve">did not </w:t>
      </w:r>
      <w:r w:rsidR="00BCC960">
        <w:t>accep</w:t>
      </w:r>
      <w:r w:rsidR="00D96950">
        <w:t>t</w:t>
      </w:r>
      <w:r w:rsidR="55435611">
        <w:t xml:space="preserve"> any</w:t>
      </w:r>
      <w:r w:rsidR="00BCC960">
        <w:t xml:space="preserve"> enforceable undertakings </w:t>
      </w:r>
      <w:r w:rsidR="55435611">
        <w:t xml:space="preserve">from </w:t>
      </w:r>
      <w:proofErr w:type="spellStart"/>
      <w:r w:rsidR="00BCC960">
        <w:t>iTalkBB</w:t>
      </w:r>
      <w:proofErr w:type="spellEnd"/>
      <w:r w:rsidR="00BCC960">
        <w:t>.</w:t>
      </w:r>
    </w:p>
    <w:p w14:paraId="1C03DA59" w14:textId="127AAAA4" w:rsidR="00443F75" w:rsidRDefault="027281DC" w:rsidP="47ACCDB0">
      <w:r>
        <w:t xml:space="preserve">The 6 enforcement actions were taken in 2012-13 (1), 2013-14 (1), 2014-15 (1), 2015-16 (2), and 2017-18 (1). </w:t>
      </w:r>
    </w:p>
    <w:p w14:paraId="202DB1CD" w14:textId="7FFDF494" w:rsidR="007F204F" w:rsidRDefault="027281DC" w:rsidP="40F8949C">
      <w:r>
        <w:t>It appears that a</w:t>
      </w:r>
      <w:r w:rsidR="77D8BC2A">
        <w:t xml:space="preserve">ll </w:t>
      </w:r>
      <w:r w:rsidR="1F70947A">
        <w:t xml:space="preserve">enforcement actions against </w:t>
      </w:r>
      <w:proofErr w:type="spellStart"/>
      <w:r w:rsidR="1F70947A">
        <w:t>iTalk</w:t>
      </w:r>
      <w:r w:rsidR="000B4A8D">
        <w:t>BB</w:t>
      </w:r>
      <w:proofErr w:type="spellEnd"/>
      <w:r w:rsidR="1F70947A">
        <w:t xml:space="preserve"> concerned breaches of</w:t>
      </w:r>
      <w:r w:rsidR="716149A3">
        <w:t xml:space="preserve"> </w:t>
      </w:r>
      <w:r w:rsidR="55F77B87">
        <w:t>the TCP Code</w:t>
      </w:r>
      <w:r w:rsidR="185EE581">
        <w:t>, including the provision of compliance documentation to CommCom</w:t>
      </w:r>
      <w:r w:rsidR="3F420AAF">
        <w:t xml:space="preserve">, </w:t>
      </w:r>
      <w:r w:rsidR="00A5581A">
        <w:t xml:space="preserve">the provision of </w:t>
      </w:r>
      <w:r w:rsidR="3F420AAF">
        <w:t>critical information summaries to consumers</w:t>
      </w:r>
      <w:r w:rsidR="00325AAA">
        <w:t>,</w:t>
      </w:r>
      <w:r w:rsidR="3F420AAF">
        <w:t xml:space="preserve"> and direct debt payment obligations.</w:t>
      </w:r>
      <w:r w:rsidR="043B234A">
        <w:t xml:space="preserve"> The infringement notice was issued following </w:t>
      </w:r>
      <w:r w:rsidR="00325AAA">
        <w:t xml:space="preserve">breach of a </w:t>
      </w:r>
      <w:r w:rsidR="043B234A">
        <w:t>direction to comply with the TCP Code.</w:t>
      </w:r>
      <w:r w:rsidR="00E62368">
        <w:rPr>
          <w:rStyle w:val="FootnoteReference"/>
        </w:rPr>
        <w:footnoteReference w:id="225"/>
      </w:r>
    </w:p>
    <w:p w14:paraId="0A1EAEEA" w14:textId="5D939B1C" w:rsidR="002F76CF" w:rsidRDefault="06FB076F" w:rsidP="002F76CF">
      <w:pPr>
        <w:pStyle w:val="Heading3"/>
      </w:pPr>
      <w:bookmarkStart w:id="197" w:name="_Toc161836190"/>
      <w:r>
        <w:t>10</w:t>
      </w:r>
      <w:r w:rsidR="00AB777F">
        <w:tab/>
      </w:r>
      <w:r>
        <w:t>Enforcement Actions Against MyRepublic</w:t>
      </w:r>
      <w:bookmarkEnd w:id="197"/>
    </w:p>
    <w:p w14:paraId="042492C1" w14:textId="06689418" w:rsidR="002F76CF" w:rsidRDefault="00664AD7" w:rsidP="40F8949C">
      <w:r>
        <w:t>T</w:t>
      </w:r>
      <w:r w:rsidR="00D11F2F">
        <w:t>he ACMA</w:t>
      </w:r>
      <w:r w:rsidR="027281DC">
        <w:t xml:space="preserve"> took 6 enforcement actions against MyRepublic: all 6 actions were formal warnings.</w:t>
      </w:r>
    </w:p>
    <w:p w14:paraId="50490794" w14:textId="4A7A7DB4" w:rsidR="00443F75" w:rsidRDefault="027281DC" w:rsidP="47ACCDB0">
      <w:r>
        <w:lastRenderedPageBreak/>
        <w:t xml:space="preserve">The 6 enforcement actions were taken in </w:t>
      </w:r>
      <w:r w:rsidR="55435611">
        <w:t>2018-19 (3), 2019-20 (2) and 2022-23 (1).</w:t>
      </w:r>
    </w:p>
    <w:p w14:paraId="704B4806" w14:textId="12A01174" w:rsidR="002F76CF" w:rsidRDefault="55435611" w:rsidP="47ACCDB0">
      <w:r>
        <w:t>The enforcement actions concerned breaches of:</w:t>
      </w:r>
    </w:p>
    <w:p w14:paraId="21CA5760" w14:textId="6E60BDB5" w:rsidR="00847C47" w:rsidRDefault="55435611" w:rsidP="001019BA">
      <w:pPr>
        <w:pStyle w:val="ListParagraph"/>
        <w:numPr>
          <w:ilvl w:val="0"/>
          <w:numId w:val="59"/>
        </w:numPr>
      </w:pPr>
      <w:r>
        <w:t>the TCP Code, including the provision of compliance documentation to CommCom</w:t>
      </w:r>
    </w:p>
    <w:p w14:paraId="70304E2F" w14:textId="7600D674" w:rsidR="00847C47" w:rsidRDefault="55435611" w:rsidP="001019BA">
      <w:pPr>
        <w:pStyle w:val="ListParagraph"/>
        <w:numPr>
          <w:ilvl w:val="0"/>
          <w:numId w:val="59"/>
        </w:numPr>
      </w:pPr>
      <w:r>
        <w:t xml:space="preserve">the </w:t>
      </w:r>
      <w:r w:rsidR="00AA7AED">
        <w:t>Tel Act</w:t>
      </w:r>
      <w:r w:rsidR="004D7DA4">
        <w:t xml:space="preserve"> </w:t>
      </w:r>
      <w:r>
        <w:t>IPND rules</w:t>
      </w:r>
      <w:r w:rsidR="004D7DA4">
        <w:t xml:space="preserve"> and </w:t>
      </w:r>
      <w:r>
        <w:t>the IPND Code</w:t>
      </w:r>
    </w:p>
    <w:p w14:paraId="15529747" w14:textId="19EFEA18" w:rsidR="00847C47" w:rsidRDefault="55435611" w:rsidP="001019BA">
      <w:pPr>
        <w:pStyle w:val="ListParagraph"/>
        <w:numPr>
          <w:ilvl w:val="0"/>
          <w:numId w:val="59"/>
        </w:numPr>
      </w:pPr>
      <w:r>
        <w:t>the priority assistance requirements</w:t>
      </w:r>
    </w:p>
    <w:p w14:paraId="3AC4DCB7" w14:textId="272B9D9C" w:rsidR="00E34A3A" w:rsidRPr="00847C47" w:rsidRDefault="55435611" w:rsidP="001019BA">
      <w:pPr>
        <w:pStyle w:val="ListParagraph"/>
        <w:numPr>
          <w:ilvl w:val="0"/>
          <w:numId w:val="59"/>
        </w:numPr>
      </w:pPr>
      <w:r>
        <w:t>the Telecommunications (Consumer Complaints Handling) Industry Standard 2018.</w:t>
      </w:r>
    </w:p>
    <w:p w14:paraId="1E77EE91" w14:textId="10F56145" w:rsidR="002F76CF" w:rsidRDefault="06FB076F" w:rsidP="002F76CF">
      <w:pPr>
        <w:pStyle w:val="Heading3"/>
      </w:pPr>
      <w:bookmarkStart w:id="198" w:name="_Toc161836191"/>
      <w:r>
        <w:t>11</w:t>
      </w:r>
      <w:r w:rsidR="00AB777F">
        <w:tab/>
      </w:r>
      <w:r>
        <w:t>Enforcement Actions Against Southern Phone Company</w:t>
      </w:r>
      <w:bookmarkEnd w:id="198"/>
    </w:p>
    <w:p w14:paraId="16282DF6" w14:textId="34429C41" w:rsidR="002F76CF" w:rsidRDefault="00E939EF" w:rsidP="40F8949C">
      <w:r>
        <w:t>T</w:t>
      </w:r>
      <w:r w:rsidR="00D11F2F">
        <w:t>he ACMA</w:t>
      </w:r>
      <w:r w:rsidR="55435611">
        <w:t xml:space="preserve"> took 6 enforcement actions against Southern Phone Company: 1 formal warning and 4 directions to comply</w:t>
      </w:r>
      <w:r w:rsidR="00E3443C">
        <w:t>.</w:t>
      </w:r>
      <w:r w:rsidR="55435611">
        <w:t xml:space="preserve"> </w:t>
      </w:r>
      <w:r>
        <w:t>T</w:t>
      </w:r>
      <w:r w:rsidR="00D11F2F">
        <w:t>he ACMA</w:t>
      </w:r>
      <w:r w:rsidR="55435611">
        <w:t xml:space="preserve"> accepted </w:t>
      </w:r>
      <w:r w:rsidR="00E3443C">
        <w:t xml:space="preserve">1 </w:t>
      </w:r>
      <w:r w:rsidR="55435611">
        <w:t>enforceable undertaking from Southern Phone Company.</w:t>
      </w:r>
    </w:p>
    <w:p w14:paraId="60F1A92C" w14:textId="339E3AAE" w:rsidR="00847C47" w:rsidRDefault="55435611" w:rsidP="47ACCDB0">
      <w:r>
        <w:t>The 6 enforcement actions were taken in 2014-15 (2), 2017-18 (1), 2018-19 (1), 2021-22 (1) and 2022-23 (1).</w:t>
      </w:r>
    </w:p>
    <w:p w14:paraId="583DE8F2" w14:textId="38BAB394" w:rsidR="00847C47" w:rsidRDefault="55435611" w:rsidP="47ACCDB0">
      <w:r>
        <w:t>The enforcement actions concerned breaches of:</w:t>
      </w:r>
    </w:p>
    <w:p w14:paraId="6D881160" w14:textId="5174E9FF" w:rsidR="00847C47" w:rsidRDefault="55435611" w:rsidP="001019BA">
      <w:pPr>
        <w:pStyle w:val="ListParagraph"/>
        <w:numPr>
          <w:ilvl w:val="0"/>
          <w:numId w:val="60"/>
        </w:numPr>
      </w:pPr>
      <w:r>
        <w:t>the TCP Code</w:t>
      </w:r>
    </w:p>
    <w:p w14:paraId="0D41C3B7" w14:textId="6416BB94" w:rsidR="00847C47" w:rsidRDefault="55435611" w:rsidP="001019BA">
      <w:pPr>
        <w:pStyle w:val="ListParagraph"/>
        <w:numPr>
          <w:ilvl w:val="0"/>
          <w:numId w:val="60"/>
        </w:numPr>
      </w:pPr>
      <w:r>
        <w:t xml:space="preserve">the </w:t>
      </w:r>
      <w:r w:rsidR="00AA7AED">
        <w:t>Tel Act</w:t>
      </w:r>
      <w:r w:rsidR="00E514A8">
        <w:t xml:space="preserve"> IPND obligations and the </w:t>
      </w:r>
      <w:r>
        <w:t>IPND code</w:t>
      </w:r>
    </w:p>
    <w:p w14:paraId="0E9A4B07" w14:textId="4566C52E" w:rsidR="00EC463E" w:rsidRPr="00847C47" w:rsidRDefault="55435611" w:rsidP="001019BA">
      <w:pPr>
        <w:pStyle w:val="ListParagraph"/>
        <w:numPr>
          <w:ilvl w:val="0"/>
          <w:numId w:val="60"/>
        </w:numPr>
      </w:pPr>
      <w:r>
        <w:t>the priority assistance requirements.</w:t>
      </w:r>
    </w:p>
    <w:p w14:paraId="049E1607" w14:textId="06D9A351" w:rsidR="673CAFAF" w:rsidRDefault="06FB076F" w:rsidP="00355F90">
      <w:pPr>
        <w:pStyle w:val="Heading3"/>
      </w:pPr>
      <w:bookmarkStart w:id="199" w:name="_Toc161836192"/>
      <w:r>
        <w:t>Additional Note on t</w:t>
      </w:r>
      <w:r w:rsidR="6B213E21">
        <w:t>he TPG Group</w:t>
      </w:r>
      <w:bookmarkEnd w:id="199"/>
    </w:p>
    <w:p w14:paraId="6FCDB567" w14:textId="21DFE7B0" w:rsidR="001A7B9F" w:rsidRDefault="00860B46" w:rsidP="2433C7D0">
      <w:pPr>
        <w:rPr>
          <w:rFonts w:eastAsia="Arial" w:cs="Arial"/>
          <w:szCs w:val="21"/>
        </w:rPr>
      </w:pPr>
      <w:bookmarkStart w:id="200" w:name="_Toc139031363"/>
      <w:bookmarkStart w:id="201" w:name="_Toc139024720"/>
      <w:bookmarkStart w:id="202" w:name="_Toc139024399"/>
      <w:bookmarkStart w:id="203" w:name="_Toc146201054"/>
      <w:r>
        <w:rPr>
          <w:rFonts w:eastAsia="Arial" w:cs="Arial"/>
          <w:color w:val="000000" w:themeColor="text1"/>
        </w:rPr>
        <w:t>In June 2020, TPG</w:t>
      </w:r>
      <w:r w:rsidR="00EF13CF">
        <w:rPr>
          <w:rFonts w:eastAsia="Arial" w:cs="Arial"/>
          <w:color w:val="000000" w:themeColor="text1"/>
        </w:rPr>
        <w:t xml:space="preserve"> Telecom</w:t>
      </w:r>
      <w:r>
        <w:rPr>
          <w:rFonts w:eastAsia="Arial" w:cs="Arial"/>
          <w:color w:val="000000" w:themeColor="text1"/>
        </w:rPr>
        <w:t xml:space="preserve"> </w:t>
      </w:r>
      <w:r w:rsidR="005E2F17">
        <w:rPr>
          <w:rFonts w:eastAsia="Arial" w:cs="Arial"/>
          <w:color w:val="000000" w:themeColor="text1"/>
        </w:rPr>
        <w:t>and Vodafone</w:t>
      </w:r>
      <w:r w:rsidR="00EF13CF">
        <w:rPr>
          <w:rFonts w:eastAsia="Arial" w:cs="Arial"/>
          <w:color w:val="000000" w:themeColor="text1"/>
        </w:rPr>
        <w:t xml:space="preserve"> Hutchison Australia</w:t>
      </w:r>
      <w:r w:rsidR="005E2F17">
        <w:rPr>
          <w:rFonts w:eastAsia="Arial" w:cs="Arial"/>
          <w:color w:val="000000" w:themeColor="text1"/>
        </w:rPr>
        <w:t xml:space="preserve"> </w:t>
      </w:r>
      <w:r w:rsidR="00681BCF">
        <w:rPr>
          <w:rFonts w:eastAsia="Arial" w:cs="Arial"/>
          <w:color w:val="000000" w:themeColor="text1"/>
        </w:rPr>
        <w:t>merged by</w:t>
      </w:r>
      <w:r w:rsidR="00EF13CF">
        <w:rPr>
          <w:rFonts w:eastAsia="Arial" w:cs="Arial"/>
          <w:color w:val="000000" w:themeColor="text1"/>
        </w:rPr>
        <w:t xml:space="preserve"> way of a scheme of arrangement. </w:t>
      </w:r>
      <w:r w:rsidR="7B261E6F" w:rsidRPr="22311E23">
        <w:rPr>
          <w:rFonts w:eastAsia="Arial" w:cs="Arial"/>
          <w:color w:val="000000" w:themeColor="text1"/>
        </w:rPr>
        <w:t xml:space="preserve">In view of the significant market </w:t>
      </w:r>
      <w:r w:rsidR="7B261E6F" w:rsidRPr="007D7A70">
        <w:rPr>
          <w:rFonts w:eastAsia="Arial" w:cs="Arial"/>
          <w:color w:val="000000" w:themeColor="text1"/>
          <w:szCs w:val="21"/>
        </w:rPr>
        <w:t xml:space="preserve">share now held by </w:t>
      </w:r>
      <w:r w:rsidR="00F466BD">
        <w:rPr>
          <w:rFonts w:eastAsia="Arial" w:cs="Arial"/>
          <w:color w:val="000000" w:themeColor="text1"/>
          <w:szCs w:val="21"/>
        </w:rPr>
        <w:t xml:space="preserve">the </w:t>
      </w:r>
      <w:r w:rsidR="00EF13CF">
        <w:rPr>
          <w:rFonts w:eastAsia="Arial" w:cs="Arial"/>
          <w:color w:val="000000" w:themeColor="text1"/>
          <w:szCs w:val="21"/>
        </w:rPr>
        <w:t>merged entity</w:t>
      </w:r>
      <w:r w:rsidR="003B6068">
        <w:rPr>
          <w:rFonts w:eastAsia="Arial" w:cs="Arial"/>
          <w:color w:val="000000" w:themeColor="text1"/>
          <w:szCs w:val="21"/>
        </w:rPr>
        <w:t xml:space="preserve"> (referred to here as the TPG </w:t>
      </w:r>
      <w:r w:rsidR="00E939EF">
        <w:rPr>
          <w:rFonts w:eastAsia="Arial" w:cs="Arial"/>
          <w:color w:val="000000" w:themeColor="text1"/>
          <w:szCs w:val="21"/>
        </w:rPr>
        <w:t>g</w:t>
      </w:r>
      <w:r w:rsidR="003B6068">
        <w:rPr>
          <w:rFonts w:eastAsia="Arial" w:cs="Arial"/>
          <w:color w:val="000000" w:themeColor="text1"/>
          <w:szCs w:val="21"/>
        </w:rPr>
        <w:t>roup for simplicity)</w:t>
      </w:r>
      <w:r w:rsidR="7B261E6F" w:rsidRPr="00843523">
        <w:rPr>
          <w:rFonts w:eastAsia="Arial" w:cs="Arial"/>
          <w:szCs w:val="21"/>
        </w:rPr>
        <w:t xml:space="preserve">, here we </w:t>
      </w:r>
      <w:r w:rsidR="7B261E6F" w:rsidRPr="007D7A70">
        <w:rPr>
          <w:rFonts w:eastAsia="Arial" w:cs="Arial"/>
          <w:szCs w:val="21"/>
        </w:rPr>
        <w:t xml:space="preserve">provide a short summary of the enforcement actions taken against providers </w:t>
      </w:r>
      <w:r w:rsidR="00BC17AA" w:rsidRPr="007D7A70">
        <w:rPr>
          <w:rFonts w:eastAsia="Arial" w:cs="Arial"/>
          <w:szCs w:val="21"/>
        </w:rPr>
        <w:t>that make up</w:t>
      </w:r>
      <w:r w:rsidR="7B261E6F" w:rsidRPr="007D7A70">
        <w:rPr>
          <w:rFonts w:eastAsia="Arial" w:cs="Arial"/>
          <w:szCs w:val="21"/>
        </w:rPr>
        <w:t xml:space="preserve"> the TPG</w:t>
      </w:r>
      <w:r w:rsidR="00E97F45">
        <w:rPr>
          <w:rFonts w:eastAsia="Arial" w:cs="Arial"/>
          <w:szCs w:val="21"/>
        </w:rPr>
        <w:t xml:space="preserve"> </w:t>
      </w:r>
      <w:r w:rsidR="00E939EF">
        <w:rPr>
          <w:rFonts w:eastAsia="Arial" w:cs="Arial"/>
          <w:szCs w:val="21"/>
        </w:rPr>
        <w:t>g</w:t>
      </w:r>
      <w:r w:rsidR="7B261E6F" w:rsidRPr="007D7A70">
        <w:rPr>
          <w:rFonts w:eastAsia="Arial" w:cs="Arial"/>
          <w:szCs w:val="21"/>
        </w:rPr>
        <w:t xml:space="preserve">roup during the period of this report. </w:t>
      </w:r>
      <w:r w:rsidR="00E0145D">
        <w:rPr>
          <w:rFonts w:eastAsia="Arial" w:cs="Arial"/>
          <w:szCs w:val="21"/>
        </w:rPr>
        <w:t xml:space="preserve">This includes </w:t>
      </w:r>
      <w:r w:rsidR="00675131">
        <w:rPr>
          <w:rFonts w:eastAsia="Arial" w:cs="Arial"/>
          <w:szCs w:val="21"/>
        </w:rPr>
        <w:t xml:space="preserve">the enforcement </w:t>
      </w:r>
      <w:r w:rsidR="00DF4205">
        <w:rPr>
          <w:rFonts w:eastAsia="Arial" w:cs="Arial"/>
          <w:szCs w:val="21"/>
        </w:rPr>
        <w:t>actions against</w:t>
      </w:r>
      <w:r w:rsidR="00675131">
        <w:rPr>
          <w:rFonts w:eastAsia="Arial" w:cs="Arial"/>
          <w:szCs w:val="21"/>
        </w:rPr>
        <w:t xml:space="preserve"> the pre-merger TPG and Vodafone companies</w:t>
      </w:r>
      <w:r w:rsidR="0097316C">
        <w:rPr>
          <w:rFonts w:eastAsia="Arial" w:cs="Arial"/>
          <w:szCs w:val="21"/>
        </w:rPr>
        <w:t>,</w:t>
      </w:r>
      <w:r w:rsidR="00675131">
        <w:rPr>
          <w:rFonts w:eastAsia="Arial" w:cs="Arial"/>
          <w:szCs w:val="21"/>
        </w:rPr>
        <w:t xml:space="preserve"> </w:t>
      </w:r>
      <w:r w:rsidR="0097316C">
        <w:rPr>
          <w:rFonts w:eastAsia="Arial" w:cs="Arial"/>
          <w:szCs w:val="21"/>
        </w:rPr>
        <w:t xml:space="preserve">their subsidiaries, and the </w:t>
      </w:r>
      <w:r w:rsidR="00130336">
        <w:rPr>
          <w:rFonts w:eastAsia="Arial" w:cs="Arial"/>
          <w:szCs w:val="21"/>
        </w:rPr>
        <w:t>other service providers</w:t>
      </w:r>
      <w:r w:rsidR="0097316C">
        <w:rPr>
          <w:rFonts w:eastAsia="Arial" w:cs="Arial"/>
          <w:szCs w:val="21"/>
        </w:rPr>
        <w:t xml:space="preserve"> they acquired</w:t>
      </w:r>
      <w:r w:rsidR="00EA5D2B">
        <w:rPr>
          <w:rFonts w:eastAsia="Arial" w:cs="Arial"/>
          <w:szCs w:val="21"/>
        </w:rPr>
        <w:t xml:space="preserve"> over the period. </w:t>
      </w:r>
      <w:r w:rsidR="7B261E6F" w:rsidRPr="22311E23">
        <w:rPr>
          <w:rFonts w:eastAsia="Arial" w:cs="Arial"/>
        </w:rPr>
        <w:t>The</w:t>
      </w:r>
      <w:r w:rsidR="00ED76BD">
        <w:rPr>
          <w:rFonts w:eastAsia="Arial" w:cs="Arial"/>
        </w:rPr>
        <w:t xml:space="preserve"> companies they acquired</w:t>
      </w:r>
      <w:r w:rsidR="001B4B66">
        <w:rPr>
          <w:rFonts w:eastAsia="Arial" w:cs="Arial"/>
        </w:rPr>
        <w:t xml:space="preserve">, and which </w:t>
      </w:r>
      <w:r w:rsidR="009312F4">
        <w:rPr>
          <w:rFonts w:eastAsia="Arial" w:cs="Arial"/>
        </w:rPr>
        <w:t>were the subject of enforcement actions,</w:t>
      </w:r>
      <w:r w:rsidR="00ED76BD">
        <w:rPr>
          <w:rFonts w:eastAsia="Arial" w:cs="Arial"/>
        </w:rPr>
        <w:t xml:space="preserve"> are </w:t>
      </w:r>
      <w:r w:rsidR="7B261E6F" w:rsidRPr="22311E23">
        <w:rPr>
          <w:rFonts w:eastAsia="Arial" w:cs="Arial"/>
        </w:rPr>
        <w:t>AAPT, Agile, Chime, iiNet, Internode, PowerTel, Soul Communications, TransACT Capital Communications, Tran</w:t>
      </w:r>
      <w:r w:rsidR="08C502F3" w:rsidRPr="22311E23">
        <w:rPr>
          <w:rFonts w:eastAsia="Arial" w:cs="Arial"/>
        </w:rPr>
        <w:t>s</w:t>
      </w:r>
      <w:r w:rsidR="7B261E6F" w:rsidRPr="22311E23">
        <w:rPr>
          <w:rFonts w:eastAsia="Arial" w:cs="Arial"/>
        </w:rPr>
        <w:t>ACT Communications, and West</w:t>
      </w:r>
      <w:r w:rsidR="009E1963">
        <w:rPr>
          <w:rFonts w:eastAsia="Arial" w:cs="Arial"/>
        </w:rPr>
        <w:t>n</w:t>
      </w:r>
      <w:r w:rsidR="7B261E6F" w:rsidRPr="22311E23">
        <w:rPr>
          <w:rFonts w:eastAsia="Arial" w:cs="Arial"/>
        </w:rPr>
        <w:t xml:space="preserve">et. </w:t>
      </w:r>
      <w:r w:rsidR="001A7617">
        <w:rPr>
          <w:rFonts w:eastAsia="Arial" w:cs="Arial"/>
          <w:szCs w:val="21"/>
        </w:rPr>
        <w:t>Most of these companies were acquired by TPG or a company that was</w:t>
      </w:r>
      <w:r w:rsidR="005B7624">
        <w:rPr>
          <w:rFonts w:eastAsia="Arial" w:cs="Arial"/>
          <w:szCs w:val="21"/>
        </w:rPr>
        <w:t xml:space="preserve"> later</w:t>
      </w:r>
      <w:r w:rsidR="001A7617">
        <w:rPr>
          <w:rFonts w:eastAsia="Arial" w:cs="Arial"/>
          <w:szCs w:val="21"/>
        </w:rPr>
        <w:t xml:space="preserve"> acquired by TPG</w:t>
      </w:r>
      <w:r w:rsidR="005B7624">
        <w:rPr>
          <w:rFonts w:eastAsia="Arial" w:cs="Arial"/>
          <w:szCs w:val="21"/>
        </w:rPr>
        <w:t>, such as iiNet</w:t>
      </w:r>
      <w:r w:rsidR="001A7617">
        <w:rPr>
          <w:rFonts w:eastAsia="Arial" w:cs="Arial"/>
          <w:szCs w:val="21"/>
        </w:rPr>
        <w:t xml:space="preserve">. </w:t>
      </w:r>
    </w:p>
    <w:p w14:paraId="46BCCE9E" w14:textId="075D98D1" w:rsidR="76BA5913" w:rsidRDefault="00FA064C" w:rsidP="2433C7D0">
      <w:pPr>
        <w:rPr>
          <w:rFonts w:eastAsia="Arial" w:cs="Arial"/>
          <w:color w:val="000000" w:themeColor="text1"/>
        </w:rPr>
      </w:pPr>
      <w:r w:rsidRPr="12EC14AA">
        <w:rPr>
          <w:rFonts w:eastAsia="Arial" w:cs="Arial"/>
        </w:rPr>
        <w:t xml:space="preserve">We </w:t>
      </w:r>
      <w:r w:rsidR="00BF2ABF" w:rsidRPr="12EC14AA">
        <w:rPr>
          <w:rFonts w:eastAsia="Arial" w:cs="Arial"/>
        </w:rPr>
        <w:t>conduct</w:t>
      </w:r>
      <w:r w:rsidRPr="12EC14AA">
        <w:rPr>
          <w:rFonts w:eastAsia="Arial" w:cs="Arial"/>
        </w:rPr>
        <w:t xml:space="preserve"> this</w:t>
      </w:r>
      <w:r w:rsidR="005B7624" w:rsidRPr="12EC14AA">
        <w:rPr>
          <w:rFonts w:eastAsia="Arial" w:cs="Arial"/>
        </w:rPr>
        <w:t xml:space="preserve"> analysis</w:t>
      </w:r>
      <w:r w:rsidRPr="12EC14AA">
        <w:rPr>
          <w:rFonts w:eastAsia="Arial" w:cs="Arial"/>
        </w:rPr>
        <w:t xml:space="preserve"> in an effort to present an overall picture of </w:t>
      </w:r>
      <w:r w:rsidR="00D11F2F">
        <w:rPr>
          <w:rFonts w:eastAsia="Arial" w:cs="Arial"/>
        </w:rPr>
        <w:t>the ACMA</w:t>
      </w:r>
      <w:r w:rsidRPr="12EC14AA">
        <w:rPr>
          <w:rFonts w:eastAsia="Arial" w:cs="Arial"/>
        </w:rPr>
        <w:t xml:space="preserve">’s enforcement activities in relation to </w:t>
      </w:r>
      <w:r w:rsidR="005B7624" w:rsidRPr="12EC14AA">
        <w:rPr>
          <w:rFonts w:eastAsia="Arial" w:cs="Arial"/>
        </w:rPr>
        <w:t>what is now the</w:t>
      </w:r>
      <w:r w:rsidRPr="12EC14AA">
        <w:rPr>
          <w:rFonts w:eastAsia="Arial" w:cs="Arial"/>
        </w:rPr>
        <w:t xml:space="preserve"> TPG </w:t>
      </w:r>
      <w:r w:rsidR="00E939EF">
        <w:rPr>
          <w:rFonts w:eastAsia="Arial" w:cs="Arial"/>
        </w:rPr>
        <w:t>g</w:t>
      </w:r>
      <w:r w:rsidRPr="12EC14AA">
        <w:rPr>
          <w:rFonts w:eastAsia="Arial" w:cs="Arial"/>
        </w:rPr>
        <w:t xml:space="preserve">roup. </w:t>
      </w:r>
      <w:r w:rsidR="7B261E6F" w:rsidRPr="22311E23">
        <w:rPr>
          <w:rFonts w:eastAsia="Arial" w:cs="Arial"/>
        </w:rPr>
        <w:t xml:space="preserve">The data reflects the number of enforcement actions taken against </w:t>
      </w:r>
      <w:r w:rsidR="005B7624" w:rsidRPr="12EC14AA">
        <w:rPr>
          <w:rFonts w:eastAsia="Arial" w:cs="Arial"/>
        </w:rPr>
        <w:t>each company since</w:t>
      </w:r>
      <w:r w:rsidR="7B261E6F" w:rsidRPr="22311E23">
        <w:rPr>
          <w:rFonts w:eastAsia="Arial" w:cs="Arial"/>
        </w:rPr>
        <w:t xml:space="preserve"> </w:t>
      </w:r>
      <w:r w:rsidR="007B4B11" w:rsidRPr="12EC14AA">
        <w:rPr>
          <w:rFonts w:eastAsia="Arial" w:cs="Arial"/>
        </w:rPr>
        <w:t xml:space="preserve">it was acquired </w:t>
      </w:r>
      <w:r w:rsidR="00AE42F0" w:rsidRPr="12EC14AA">
        <w:rPr>
          <w:rFonts w:eastAsia="Arial" w:cs="Arial"/>
        </w:rPr>
        <w:t>by</w:t>
      </w:r>
      <w:r w:rsidR="001A7B9F" w:rsidRPr="12EC14AA">
        <w:rPr>
          <w:rFonts w:eastAsia="Arial" w:cs="Arial"/>
        </w:rPr>
        <w:t xml:space="preserve"> </w:t>
      </w:r>
      <w:r w:rsidR="00AE42F0" w:rsidRPr="12EC14AA">
        <w:rPr>
          <w:rFonts w:eastAsia="Arial" w:cs="Arial"/>
        </w:rPr>
        <w:t>TPG or Vodafone</w:t>
      </w:r>
      <w:r w:rsidR="7B261E6F" w:rsidRPr="22311E23">
        <w:rPr>
          <w:rFonts w:eastAsia="Arial" w:cs="Arial"/>
        </w:rPr>
        <w:t>.</w:t>
      </w:r>
      <w:r w:rsidR="00FC68A5" w:rsidRPr="12EC14AA">
        <w:rPr>
          <w:rFonts w:eastAsia="Arial" w:cs="Arial"/>
          <w:color w:val="000000" w:themeColor="text1"/>
        </w:rPr>
        <w:t xml:space="preserve"> </w:t>
      </w:r>
      <w:r w:rsidR="00374CFD" w:rsidRPr="12EC14AA">
        <w:rPr>
          <w:rFonts w:eastAsia="Arial" w:cs="Arial"/>
          <w:color w:val="000000" w:themeColor="text1"/>
        </w:rPr>
        <w:t>This means enforcement actions while the company was independent or owned</w:t>
      </w:r>
      <w:r w:rsidR="003C4ED0" w:rsidRPr="12EC14AA">
        <w:rPr>
          <w:rFonts w:eastAsia="Arial" w:cs="Arial"/>
          <w:color w:val="000000" w:themeColor="text1"/>
        </w:rPr>
        <w:t xml:space="preserve"> by a</w:t>
      </w:r>
      <w:r w:rsidR="00D26E0F" w:rsidRPr="12EC14AA">
        <w:rPr>
          <w:rFonts w:eastAsia="Arial" w:cs="Arial"/>
          <w:color w:val="000000" w:themeColor="text1"/>
        </w:rPr>
        <w:t xml:space="preserve"> non-TPG Group company are not counted.</w:t>
      </w:r>
      <w:r w:rsidR="005A250C" w:rsidRPr="12EC14AA">
        <w:rPr>
          <w:rFonts w:eastAsia="Arial" w:cs="Arial"/>
          <w:color w:val="000000" w:themeColor="text1"/>
        </w:rPr>
        <w:t xml:space="preserve"> For example, </w:t>
      </w:r>
      <w:r w:rsidR="00843523" w:rsidRPr="12EC14AA">
        <w:rPr>
          <w:rFonts w:eastAsia="Arial" w:cs="Arial"/>
          <w:color w:val="000000" w:themeColor="text1"/>
        </w:rPr>
        <w:t>TPG acquired control of</w:t>
      </w:r>
      <w:r w:rsidR="005A250C" w:rsidRPr="12EC14AA">
        <w:rPr>
          <w:rFonts w:eastAsia="Arial" w:cs="Arial"/>
          <w:color w:val="000000" w:themeColor="text1"/>
        </w:rPr>
        <w:t xml:space="preserve"> AAPT</w:t>
      </w:r>
      <w:r w:rsidR="00BB6EA4" w:rsidRPr="12EC14AA">
        <w:rPr>
          <w:rFonts w:eastAsia="Arial" w:cs="Arial"/>
          <w:color w:val="000000" w:themeColor="text1"/>
        </w:rPr>
        <w:t>’s consumer division</w:t>
      </w:r>
      <w:r w:rsidR="002E13CF" w:rsidRPr="12EC14AA">
        <w:rPr>
          <w:rFonts w:eastAsia="Arial" w:cs="Arial"/>
          <w:color w:val="000000" w:themeColor="text1"/>
        </w:rPr>
        <w:t xml:space="preserve"> in August 2015 when TPG purchased iiNet</w:t>
      </w:r>
      <w:r w:rsidR="00EE4668" w:rsidRPr="12EC14AA">
        <w:rPr>
          <w:rFonts w:eastAsia="Arial" w:cs="Arial"/>
          <w:color w:val="000000" w:themeColor="text1"/>
        </w:rPr>
        <w:t xml:space="preserve"> – </w:t>
      </w:r>
      <w:r w:rsidR="002E13CF" w:rsidRPr="12EC14AA">
        <w:rPr>
          <w:rFonts w:eastAsia="Arial" w:cs="Arial"/>
          <w:color w:val="000000" w:themeColor="text1"/>
        </w:rPr>
        <w:t xml:space="preserve">which at the time </w:t>
      </w:r>
      <w:r w:rsidR="00843523" w:rsidRPr="12EC14AA">
        <w:rPr>
          <w:rFonts w:eastAsia="Arial" w:cs="Arial"/>
          <w:color w:val="000000" w:themeColor="text1"/>
        </w:rPr>
        <w:t>controlled</w:t>
      </w:r>
      <w:r w:rsidR="002E13CF" w:rsidRPr="12EC14AA">
        <w:rPr>
          <w:rFonts w:eastAsia="Arial" w:cs="Arial"/>
          <w:color w:val="000000" w:themeColor="text1"/>
        </w:rPr>
        <w:t xml:space="preserve"> AAPT. As </w:t>
      </w:r>
      <w:r w:rsidR="00EE4668" w:rsidRPr="12EC14AA">
        <w:rPr>
          <w:rFonts w:eastAsia="Arial" w:cs="Arial"/>
          <w:color w:val="000000" w:themeColor="text1"/>
        </w:rPr>
        <w:t>enforcement actions against AAPT are only counted</w:t>
      </w:r>
      <w:r w:rsidR="00FA2384" w:rsidRPr="12EC14AA">
        <w:rPr>
          <w:rFonts w:eastAsia="Arial" w:cs="Arial"/>
          <w:color w:val="000000" w:themeColor="text1"/>
        </w:rPr>
        <w:t xml:space="preserve"> in this section</w:t>
      </w:r>
      <w:r w:rsidR="00EE4668" w:rsidRPr="12EC14AA">
        <w:rPr>
          <w:rFonts w:eastAsia="Arial" w:cs="Arial"/>
          <w:color w:val="000000" w:themeColor="text1"/>
        </w:rPr>
        <w:t xml:space="preserve"> if occurring after August 2015</w:t>
      </w:r>
      <w:r w:rsidR="00843523" w:rsidRPr="12EC14AA">
        <w:rPr>
          <w:rFonts w:eastAsia="Arial" w:cs="Arial"/>
          <w:color w:val="000000" w:themeColor="text1"/>
        </w:rPr>
        <w:t>, a formal warning issued to AAPT in 2012-13 is not included here</w:t>
      </w:r>
      <w:r w:rsidR="00EE4668" w:rsidRPr="12EC14AA">
        <w:rPr>
          <w:rFonts w:eastAsia="Arial" w:cs="Arial"/>
          <w:color w:val="000000" w:themeColor="text1"/>
        </w:rPr>
        <w:t>.</w:t>
      </w:r>
      <w:r w:rsidR="00FD6479">
        <w:rPr>
          <w:rStyle w:val="FootnoteReference"/>
          <w:rFonts w:eastAsia="Arial" w:cs="Arial"/>
          <w:color w:val="000000" w:themeColor="text1"/>
        </w:rPr>
        <w:footnoteReference w:id="226"/>
      </w:r>
      <w:r w:rsidR="005C25C0" w:rsidRPr="12EC14AA">
        <w:rPr>
          <w:rFonts w:eastAsia="Arial" w:cs="Arial"/>
          <w:color w:val="000000" w:themeColor="text1"/>
        </w:rPr>
        <w:t xml:space="preserve"> </w:t>
      </w:r>
    </w:p>
    <w:p w14:paraId="0DDDEFBC" w14:textId="63FEAB28" w:rsidR="00C74195" w:rsidRPr="00D26E0F" w:rsidRDefault="00C74195" w:rsidP="2433C7D0">
      <w:pPr>
        <w:rPr>
          <w:rFonts w:eastAsia="Arial" w:cs="Arial"/>
          <w:color w:val="000000" w:themeColor="text1"/>
        </w:rPr>
      </w:pPr>
      <w:r>
        <w:rPr>
          <w:rFonts w:eastAsia="Arial" w:cs="Arial"/>
          <w:color w:val="000000" w:themeColor="text1"/>
        </w:rPr>
        <w:t xml:space="preserve">We start this analysis by </w:t>
      </w:r>
      <w:r w:rsidR="00F46D55">
        <w:rPr>
          <w:rFonts w:eastAsia="Arial" w:cs="Arial"/>
          <w:color w:val="000000" w:themeColor="text1"/>
        </w:rPr>
        <w:t>addressing</w:t>
      </w:r>
      <w:r>
        <w:rPr>
          <w:rFonts w:eastAsia="Arial" w:cs="Arial"/>
          <w:color w:val="000000" w:themeColor="text1"/>
        </w:rPr>
        <w:t xml:space="preserve"> the enforcement actions </w:t>
      </w:r>
      <w:r w:rsidR="00093FDB">
        <w:rPr>
          <w:rFonts w:eastAsia="Arial" w:cs="Arial"/>
          <w:color w:val="000000" w:themeColor="text1"/>
        </w:rPr>
        <w:t>against</w:t>
      </w:r>
      <w:r>
        <w:rPr>
          <w:rFonts w:eastAsia="Arial" w:cs="Arial"/>
          <w:color w:val="000000" w:themeColor="text1"/>
        </w:rPr>
        <w:t xml:space="preserve"> </w:t>
      </w:r>
      <w:r w:rsidR="003435CF">
        <w:rPr>
          <w:rFonts w:eastAsia="Arial" w:cs="Arial"/>
          <w:color w:val="000000" w:themeColor="text1"/>
        </w:rPr>
        <w:t xml:space="preserve">the </w:t>
      </w:r>
      <w:r w:rsidR="006E7F58">
        <w:rPr>
          <w:rFonts w:eastAsia="Arial" w:cs="Arial"/>
          <w:color w:val="000000" w:themeColor="text1"/>
        </w:rPr>
        <w:t>post</w:t>
      </w:r>
      <w:r w:rsidR="004B2530">
        <w:rPr>
          <w:rFonts w:eastAsia="Arial" w:cs="Arial"/>
          <w:color w:val="000000" w:themeColor="text1"/>
        </w:rPr>
        <w:t xml:space="preserve">-merger </w:t>
      </w:r>
      <w:r>
        <w:rPr>
          <w:rFonts w:eastAsia="Arial" w:cs="Arial"/>
          <w:color w:val="000000" w:themeColor="text1"/>
        </w:rPr>
        <w:t>TPG</w:t>
      </w:r>
      <w:r w:rsidR="006E7F58">
        <w:rPr>
          <w:rFonts w:eastAsia="Arial" w:cs="Arial"/>
          <w:color w:val="000000" w:themeColor="text1"/>
        </w:rPr>
        <w:t xml:space="preserve"> </w:t>
      </w:r>
      <w:r w:rsidR="00FD3ED9">
        <w:rPr>
          <w:rFonts w:eastAsia="Arial" w:cs="Arial"/>
          <w:color w:val="000000" w:themeColor="text1"/>
        </w:rPr>
        <w:t>g</w:t>
      </w:r>
      <w:r w:rsidR="006E7F58">
        <w:rPr>
          <w:rFonts w:eastAsia="Arial" w:cs="Arial"/>
          <w:color w:val="000000" w:themeColor="text1"/>
        </w:rPr>
        <w:t>roup</w:t>
      </w:r>
      <w:r w:rsidR="00033429">
        <w:rPr>
          <w:rFonts w:eastAsia="Arial" w:cs="Arial"/>
          <w:color w:val="000000" w:themeColor="text1"/>
        </w:rPr>
        <w:t xml:space="preserve"> (item 1)</w:t>
      </w:r>
      <w:r w:rsidR="006E7F58">
        <w:rPr>
          <w:rFonts w:eastAsia="Arial" w:cs="Arial"/>
          <w:color w:val="000000" w:themeColor="text1"/>
        </w:rPr>
        <w:t>.</w:t>
      </w:r>
      <w:r>
        <w:rPr>
          <w:rFonts w:eastAsia="Arial" w:cs="Arial"/>
          <w:color w:val="000000" w:themeColor="text1"/>
        </w:rPr>
        <w:t xml:space="preserve"> </w:t>
      </w:r>
      <w:r w:rsidR="004B0410">
        <w:rPr>
          <w:rFonts w:eastAsia="Arial" w:cs="Arial"/>
          <w:color w:val="000000" w:themeColor="text1"/>
        </w:rPr>
        <w:t xml:space="preserve">We then highlight the </w:t>
      </w:r>
      <w:r w:rsidR="006C0AEF">
        <w:rPr>
          <w:rFonts w:eastAsia="Arial" w:cs="Arial"/>
          <w:color w:val="000000" w:themeColor="text1"/>
        </w:rPr>
        <w:t xml:space="preserve">pre-merger </w:t>
      </w:r>
      <w:r w:rsidR="004B2530">
        <w:rPr>
          <w:rFonts w:eastAsia="Arial" w:cs="Arial"/>
          <w:color w:val="000000" w:themeColor="text1"/>
        </w:rPr>
        <w:t xml:space="preserve">enforcement actions made against </w:t>
      </w:r>
      <w:r w:rsidR="00033429">
        <w:rPr>
          <w:rFonts w:eastAsia="Arial" w:cs="Arial"/>
          <w:color w:val="000000" w:themeColor="text1"/>
        </w:rPr>
        <w:t xml:space="preserve">TPG </w:t>
      </w:r>
      <w:r w:rsidR="00033429" w:rsidRPr="00033429">
        <w:rPr>
          <w:rFonts w:eastAsia="Arial" w:cs="Arial"/>
          <w:color w:val="000000" w:themeColor="text1"/>
        </w:rPr>
        <w:t xml:space="preserve">and </w:t>
      </w:r>
      <w:r w:rsidR="00033429" w:rsidRPr="00033429">
        <w:rPr>
          <w:rFonts w:eastAsia="Arial" w:cs="Arial"/>
          <w:color w:val="000000" w:themeColor="text1"/>
        </w:rPr>
        <w:lastRenderedPageBreak/>
        <w:t>Vodafone</w:t>
      </w:r>
      <w:r w:rsidR="006C0AEF">
        <w:rPr>
          <w:rFonts w:eastAsia="Arial" w:cs="Arial"/>
          <w:color w:val="000000" w:themeColor="text1"/>
        </w:rPr>
        <w:t xml:space="preserve"> –</w:t>
      </w:r>
      <w:r w:rsidR="00144CD1">
        <w:rPr>
          <w:rFonts w:eastAsia="Arial" w:cs="Arial"/>
          <w:color w:val="000000" w:themeColor="text1"/>
        </w:rPr>
        <w:t xml:space="preserve"> the main providers making up the group</w:t>
      </w:r>
      <w:r w:rsidR="00033429" w:rsidRPr="00033429">
        <w:rPr>
          <w:rFonts w:eastAsia="Arial" w:cs="Arial"/>
          <w:color w:val="000000" w:themeColor="text1"/>
        </w:rPr>
        <w:t xml:space="preserve"> (items </w:t>
      </w:r>
      <w:r w:rsidR="00144CD1">
        <w:rPr>
          <w:rFonts w:eastAsia="Arial" w:cs="Arial"/>
          <w:color w:val="000000" w:themeColor="text1"/>
        </w:rPr>
        <w:t>2</w:t>
      </w:r>
      <w:r w:rsidR="00033429" w:rsidRPr="00033429">
        <w:rPr>
          <w:rFonts w:eastAsia="Arial" w:cs="Arial"/>
          <w:color w:val="000000" w:themeColor="text1"/>
        </w:rPr>
        <w:t xml:space="preserve"> &amp; </w:t>
      </w:r>
      <w:r w:rsidR="00144CD1">
        <w:rPr>
          <w:rFonts w:eastAsia="Arial" w:cs="Arial"/>
          <w:color w:val="000000" w:themeColor="text1"/>
        </w:rPr>
        <w:t>3</w:t>
      </w:r>
      <w:r w:rsidR="00033429" w:rsidRPr="00033429">
        <w:rPr>
          <w:rFonts w:eastAsia="Arial" w:cs="Arial"/>
          <w:color w:val="000000" w:themeColor="text1"/>
        </w:rPr>
        <w:t>).</w:t>
      </w:r>
      <w:r w:rsidR="00144CD1">
        <w:rPr>
          <w:rFonts w:eastAsia="Arial" w:cs="Arial"/>
          <w:color w:val="000000" w:themeColor="text1"/>
        </w:rPr>
        <w:t xml:space="preserve"> </w:t>
      </w:r>
      <w:r w:rsidR="00E04CED">
        <w:rPr>
          <w:rFonts w:eastAsia="Arial" w:cs="Arial"/>
          <w:color w:val="000000" w:themeColor="text1"/>
        </w:rPr>
        <w:t xml:space="preserve">We follow this by providing the enforcement actions made against </w:t>
      </w:r>
      <w:r w:rsidR="009D4690">
        <w:rPr>
          <w:rFonts w:eastAsia="Arial" w:cs="Arial"/>
          <w:color w:val="000000" w:themeColor="text1"/>
        </w:rPr>
        <w:t>companies</w:t>
      </w:r>
      <w:r w:rsidR="00847CB7">
        <w:rPr>
          <w:rFonts w:eastAsia="Arial" w:cs="Arial"/>
          <w:color w:val="000000" w:themeColor="text1"/>
        </w:rPr>
        <w:t xml:space="preserve"> </w:t>
      </w:r>
      <w:r w:rsidR="00843523">
        <w:rPr>
          <w:rFonts w:eastAsia="Arial" w:cs="Arial"/>
          <w:color w:val="000000" w:themeColor="text1"/>
        </w:rPr>
        <w:t>acquired by</w:t>
      </w:r>
      <w:r w:rsidR="00847CB7">
        <w:rPr>
          <w:rFonts w:eastAsia="Arial" w:cs="Arial"/>
          <w:color w:val="000000" w:themeColor="text1"/>
        </w:rPr>
        <w:t xml:space="preserve"> TPG</w:t>
      </w:r>
      <w:r w:rsidR="00843523">
        <w:rPr>
          <w:rFonts w:eastAsia="Arial" w:cs="Arial"/>
          <w:color w:val="000000" w:themeColor="text1"/>
        </w:rPr>
        <w:t xml:space="preserve"> and </w:t>
      </w:r>
      <w:r w:rsidR="00847CB7">
        <w:rPr>
          <w:rFonts w:eastAsia="Arial" w:cs="Arial"/>
          <w:color w:val="000000" w:themeColor="text1"/>
        </w:rPr>
        <w:t xml:space="preserve">Vodafone </w:t>
      </w:r>
      <w:r w:rsidR="00942F82">
        <w:rPr>
          <w:rFonts w:eastAsia="Arial" w:cs="Arial"/>
          <w:color w:val="000000" w:themeColor="text1"/>
        </w:rPr>
        <w:t>over the reporting period</w:t>
      </w:r>
      <w:r w:rsidR="009D4690">
        <w:rPr>
          <w:rFonts w:eastAsia="Arial" w:cs="Arial"/>
          <w:color w:val="000000" w:themeColor="text1"/>
        </w:rPr>
        <w:t xml:space="preserve"> </w:t>
      </w:r>
      <w:r w:rsidR="00847CB7">
        <w:rPr>
          <w:rFonts w:eastAsia="Arial" w:cs="Arial"/>
          <w:color w:val="000000" w:themeColor="text1"/>
        </w:rPr>
        <w:t xml:space="preserve">(items 4 onwards). A </w:t>
      </w:r>
      <w:r w:rsidR="009E350C">
        <w:rPr>
          <w:rFonts w:eastAsia="Arial" w:cs="Arial"/>
          <w:color w:val="000000" w:themeColor="text1"/>
        </w:rPr>
        <w:t>count and breakdown of enforcement actions across the group is provided at the end of this section.</w:t>
      </w:r>
    </w:p>
    <w:p w14:paraId="487575B3" w14:textId="51295717" w:rsidR="006E7F58" w:rsidRPr="002A58FD" w:rsidRDefault="006E7F58" w:rsidP="001019BA">
      <w:pPr>
        <w:pStyle w:val="ListParagraph"/>
        <w:numPr>
          <w:ilvl w:val="0"/>
          <w:numId w:val="4"/>
        </w:numPr>
        <w:spacing w:after="0"/>
        <w:rPr>
          <w:rFonts w:eastAsia="Arial" w:cs="Arial"/>
          <w:szCs w:val="21"/>
        </w:rPr>
      </w:pPr>
      <w:r>
        <w:rPr>
          <w:rFonts w:eastAsia="Arial" w:cs="Arial"/>
          <w:b/>
        </w:rPr>
        <w:t xml:space="preserve">TPG </w:t>
      </w:r>
      <w:r w:rsidR="00FD3ED9">
        <w:rPr>
          <w:rFonts w:eastAsia="Arial" w:cs="Arial"/>
          <w:b/>
        </w:rPr>
        <w:t>g</w:t>
      </w:r>
      <w:r>
        <w:rPr>
          <w:rFonts w:eastAsia="Arial" w:cs="Arial"/>
          <w:b/>
        </w:rPr>
        <w:t xml:space="preserve">roup (post-merger): </w:t>
      </w:r>
      <w:r>
        <w:rPr>
          <w:rFonts w:eastAsia="Arial" w:cs="Arial"/>
          <w:bCs/>
        </w:rPr>
        <w:t xml:space="preserve">Since the merger in 2020, </w:t>
      </w:r>
      <w:r w:rsidR="00D11F2F">
        <w:rPr>
          <w:rFonts w:eastAsia="Arial" w:cs="Arial"/>
          <w:bCs/>
        </w:rPr>
        <w:t>the ACMA</w:t>
      </w:r>
      <w:r>
        <w:rPr>
          <w:rFonts w:eastAsia="Arial" w:cs="Arial"/>
          <w:bCs/>
        </w:rPr>
        <w:t xml:space="preserve"> has taken a total of 3 enforcement actions against the merged entity. This includes 2 enforcement actions against TPG Telecom (the group’s Australian parent company) and 1 enforcement action against TPG Internet (a subsidiary providing internet and mobile services under the TPG brand). The enforcement actions</w:t>
      </w:r>
      <w:r w:rsidR="000814FC">
        <w:rPr>
          <w:rFonts w:eastAsia="Arial" w:cs="Arial"/>
          <w:bCs/>
        </w:rPr>
        <w:t xml:space="preserve"> against TPG Telecom</w:t>
      </w:r>
      <w:r>
        <w:rPr>
          <w:rFonts w:eastAsia="Arial" w:cs="Arial"/>
          <w:bCs/>
        </w:rPr>
        <w:t xml:space="preserve"> include an enforceable undertaking</w:t>
      </w:r>
      <w:r w:rsidR="00390ED3">
        <w:rPr>
          <w:rFonts w:eastAsia="Arial" w:cs="Arial"/>
          <w:bCs/>
        </w:rPr>
        <w:t xml:space="preserve"> accepted by </w:t>
      </w:r>
      <w:r w:rsidR="00D11F2F">
        <w:rPr>
          <w:rFonts w:eastAsia="Arial" w:cs="Arial"/>
          <w:bCs/>
        </w:rPr>
        <w:t>the ACMA</w:t>
      </w:r>
      <w:r>
        <w:rPr>
          <w:rFonts w:eastAsia="Arial" w:cs="Arial"/>
          <w:bCs/>
        </w:rPr>
        <w:t xml:space="preserve"> in December 2022 for contraventions of the </w:t>
      </w:r>
      <w:r w:rsidR="001B2AB8" w:rsidRPr="001B2AB8">
        <w:rPr>
          <w:rFonts w:eastAsia="Arial" w:cs="Arial"/>
          <w:bCs/>
        </w:rPr>
        <w:t xml:space="preserve">Telecommunications (Service Provider — </w:t>
      </w:r>
      <w:r w:rsidRPr="0032523A">
        <w:rPr>
          <w:rFonts w:eastAsia="Arial" w:cs="Arial"/>
          <w:bCs/>
        </w:rPr>
        <w:t xml:space="preserve">Identity Checks for Prepaid Mobile </w:t>
      </w:r>
      <w:r w:rsidR="001B2AB8" w:rsidRPr="001B2AB8">
        <w:rPr>
          <w:rFonts w:eastAsia="Arial" w:cs="Arial"/>
          <w:bCs/>
        </w:rPr>
        <w:t xml:space="preserve">Carriage </w:t>
      </w:r>
      <w:r w:rsidRPr="0032523A">
        <w:rPr>
          <w:rFonts w:eastAsia="Arial" w:cs="Arial"/>
          <w:bCs/>
        </w:rPr>
        <w:t>Services</w:t>
      </w:r>
      <w:r w:rsidR="001B2AB8" w:rsidRPr="001B2AB8">
        <w:rPr>
          <w:rFonts w:eastAsia="Arial" w:cs="Arial"/>
          <w:bCs/>
        </w:rPr>
        <w:t>)</w:t>
      </w:r>
      <w:r w:rsidRPr="0032523A">
        <w:rPr>
          <w:rFonts w:eastAsia="Arial" w:cs="Arial"/>
          <w:bCs/>
        </w:rPr>
        <w:t xml:space="preserve"> Determination</w:t>
      </w:r>
      <w:r>
        <w:rPr>
          <w:rFonts w:eastAsia="Arial" w:cs="Arial"/>
          <w:bCs/>
        </w:rPr>
        <w:t xml:space="preserve"> </w:t>
      </w:r>
      <w:r w:rsidR="001B2AB8" w:rsidRPr="001B2AB8">
        <w:rPr>
          <w:rFonts w:eastAsia="Arial" w:cs="Arial"/>
          <w:bCs/>
        </w:rPr>
        <w:t>2017</w:t>
      </w:r>
      <w:r>
        <w:rPr>
          <w:rFonts w:eastAsia="Arial" w:cs="Arial"/>
          <w:bCs/>
        </w:rPr>
        <w:t xml:space="preserve"> in connection with the group’s Lebara brand</w:t>
      </w:r>
      <w:r w:rsidR="00AE68E7">
        <w:rPr>
          <w:rFonts w:eastAsia="Arial" w:cs="Arial"/>
          <w:bCs/>
        </w:rPr>
        <w:t xml:space="preserve"> </w:t>
      </w:r>
      <w:r w:rsidR="00F256CF">
        <w:rPr>
          <w:rFonts w:eastAsia="Arial" w:cs="Arial"/>
          <w:bCs/>
        </w:rPr>
        <w:t xml:space="preserve">(acquired by Vodafone in 2016) </w:t>
      </w:r>
      <w:r w:rsidR="00AE68E7">
        <w:rPr>
          <w:rFonts w:eastAsia="Arial" w:cs="Arial"/>
          <w:bCs/>
        </w:rPr>
        <w:t>and</w:t>
      </w:r>
      <w:r>
        <w:rPr>
          <w:rFonts w:eastAsia="Arial" w:cs="Arial"/>
          <w:bCs/>
        </w:rPr>
        <w:t xml:space="preserve"> a direction to comply with the TCP code in June 2023 for services provided </w:t>
      </w:r>
      <w:r w:rsidR="0033458D">
        <w:rPr>
          <w:rFonts w:eastAsia="Arial" w:cs="Arial"/>
          <w:bCs/>
        </w:rPr>
        <w:t>by</w:t>
      </w:r>
      <w:r>
        <w:rPr>
          <w:rFonts w:eastAsia="Arial" w:cs="Arial"/>
          <w:bCs/>
        </w:rPr>
        <w:t xml:space="preserve"> the Vodafone brand</w:t>
      </w:r>
      <w:r w:rsidR="00AE68E7">
        <w:rPr>
          <w:rFonts w:eastAsia="Arial" w:cs="Arial"/>
          <w:bCs/>
        </w:rPr>
        <w:t xml:space="preserve">. </w:t>
      </w:r>
      <w:r w:rsidR="00FD3ED9">
        <w:rPr>
          <w:rFonts w:eastAsia="Arial" w:cs="Arial"/>
          <w:bCs/>
        </w:rPr>
        <w:t>T</w:t>
      </w:r>
      <w:r w:rsidR="00D11F2F">
        <w:rPr>
          <w:rFonts w:eastAsia="Arial" w:cs="Arial"/>
          <w:bCs/>
        </w:rPr>
        <w:t>he ACMA</w:t>
      </w:r>
      <w:r w:rsidR="009C5CFB">
        <w:rPr>
          <w:rFonts w:eastAsia="Arial" w:cs="Arial"/>
          <w:bCs/>
        </w:rPr>
        <w:t xml:space="preserve"> also </w:t>
      </w:r>
      <w:r w:rsidR="00871EC0" w:rsidRPr="0044299A">
        <w:rPr>
          <w:rFonts w:eastAsia="Arial" w:cs="Arial"/>
          <w:b/>
        </w:rPr>
        <w:t xml:space="preserve"> </w:t>
      </w:r>
      <w:r w:rsidR="00871EC0" w:rsidRPr="0044299A">
        <w:rPr>
          <w:rFonts w:eastAsia="Arial" w:cs="Arial"/>
          <w:bCs/>
        </w:rPr>
        <w:t xml:space="preserve">accepted an </w:t>
      </w:r>
      <w:r w:rsidR="00871EC0" w:rsidRPr="006C4644">
        <w:rPr>
          <w:rFonts w:eastAsia="Arial" w:cs="Arial"/>
          <w:bCs/>
        </w:rPr>
        <w:t>enforceable undertaking</w:t>
      </w:r>
      <w:r w:rsidR="00871EC0">
        <w:rPr>
          <w:rFonts w:eastAsia="Arial" w:cs="Arial"/>
          <w:bCs/>
        </w:rPr>
        <w:t xml:space="preserve"> from</w:t>
      </w:r>
      <w:r w:rsidR="005E7AA9" w:rsidRPr="002A58FD">
        <w:rPr>
          <w:rFonts w:eastAsia="Arial" w:cs="Arial"/>
          <w:bCs/>
        </w:rPr>
        <w:t xml:space="preserve"> TPG Internet</w:t>
      </w:r>
      <w:r w:rsidRPr="002A58FD">
        <w:rPr>
          <w:rFonts w:eastAsia="Arial" w:cs="Arial"/>
          <w:bCs/>
        </w:rPr>
        <w:t xml:space="preserve"> to address contraventions of the </w:t>
      </w:r>
      <w:r w:rsidR="00133047" w:rsidRPr="2433C7D0">
        <w:rPr>
          <w:rFonts w:eastAsia="Arial" w:cs="Arial"/>
          <w:szCs w:val="21"/>
        </w:rPr>
        <w:t>Telecommunications Service Provider (</w:t>
      </w:r>
      <w:r w:rsidRPr="2433C7D0">
        <w:rPr>
          <w:rFonts w:eastAsia="Arial" w:cs="Arial"/>
          <w:szCs w:val="21"/>
        </w:rPr>
        <w:t>NBN Service Migration</w:t>
      </w:r>
      <w:r w:rsidR="00133047" w:rsidRPr="2433C7D0">
        <w:rPr>
          <w:rFonts w:eastAsia="Arial" w:cs="Arial"/>
          <w:szCs w:val="21"/>
        </w:rPr>
        <w:t>)</w:t>
      </w:r>
      <w:r w:rsidRPr="2433C7D0">
        <w:rPr>
          <w:rFonts w:eastAsia="Arial" w:cs="Arial"/>
          <w:szCs w:val="21"/>
        </w:rPr>
        <w:t xml:space="preserve"> Determination</w:t>
      </w:r>
      <w:r w:rsidR="00133047" w:rsidRPr="2433C7D0">
        <w:rPr>
          <w:rFonts w:eastAsia="Arial" w:cs="Arial"/>
          <w:szCs w:val="21"/>
        </w:rPr>
        <w:t xml:space="preserve"> 2018</w:t>
      </w:r>
      <w:r w:rsidRPr="002A58FD">
        <w:rPr>
          <w:rFonts w:eastAsia="Arial" w:cs="Arial"/>
          <w:bCs/>
        </w:rPr>
        <w:t>.</w:t>
      </w:r>
    </w:p>
    <w:p w14:paraId="1E03D13F" w14:textId="71F1E0A3" w:rsidR="00FE4174" w:rsidRPr="00FE4174" w:rsidRDefault="00FE4174" w:rsidP="001019BA">
      <w:pPr>
        <w:pStyle w:val="ListParagraph"/>
        <w:numPr>
          <w:ilvl w:val="0"/>
          <w:numId w:val="4"/>
        </w:numPr>
        <w:spacing w:after="0"/>
        <w:rPr>
          <w:rFonts w:eastAsia="Arial" w:cs="Arial"/>
          <w:szCs w:val="21"/>
        </w:rPr>
      </w:pPr>
      <w:r>
        <w:rPr>
          <w:rFonts w:eastAsia="Arial" w:cs="Arial"/>
          <w:b/>
        </w:rPr>
        <w:t xml:space="preserve">TPG </w:t>
      </w:r>
      <w:r w:rsidR="003435CF">
        <w:rPr>
          <w:rFonts w:eastAsia="Arial" w:cs="Arial"/>
          <w:b/>
        </w:rPr>
        <w:t xml:space="preserve">(pre-merger): </w:t>
      </w:r>
      <w:r w:rsidR="00D11F2F">
        <w:rPr>
          <w:rFonts w:eastAsia="Arial" w:cs="Arial"/>
          <w:bCs/>
        </w:rPr>
        <w:t>the ACMA</w:t>
      </w:r>
      <w:r>
        <w:rPr>
          <w:rFonts w:eastAsia="Arial" w:cs="Arial"/>
          <w:bCs/>
        </w:rPr>
        <w:t xml:space="preserve"> took 5 enforcement actions against TPG prior to the merger. These included 2 formal warnings, 1 direction to comply and 1 civil penalty order by the Federal Court.</w:t>
      </w:r>
      <w:r w:rsidR="003F06B1">
        <w:rPr>
          <w:rFonts w:eastAsia="Arial" w:cs="Arial"/>
          <w:bCs/>
        </w:rPr>
        <w:t xml:space="preserve"> </w:t>
      </w:r>
      <w:r w:rsidR="00306E61">
        <w:rPr>
          <w:rFonts w:eastAsia="Arial" w:cs="Arial"/>
          <w:bCs/>
        </w:rPr>
        <w:t>T</w:t>
      </w:r>
      <w:r w:rsidR="00D11F2F">
        <w:rPr>
          <w:rFonts w:eastAsia="Arial" w:cs="Arial"/>
          <w:bCs/>
        </w:rPr>
        <w:t>he ACMA</w:t>
      </w:r>
      <w:r w:rsidR="003F06B1">
        <w:rPr>
          <w:rFonts w:eastAsia="Arial" w:cs="Arial"/>
          <w:bCs/>
        </w:rPr>
        <w:t xml:space="preserve"> also accepted 1 enforceable undertaking.</w:t>
      </w:r>
    </w:p>
    <w:p w14:paraId="108CE323" w14:textId="2C10175E" w:rsidR="001D0BA8" w:rsidRPr="0071353D" w:rsidRDefault="00FE4174" w:rsidP="001019BA">
      <w:pPr>
        <w:pStyle w:val="ListParagraph"/>
        <w:numPr>
          <w:ilvl w:val="0"/>
          <w:numId w:val="4"/>
        </w:numPr>
        <w:spacing w:after="0"/>
        <w:rPr>
          <w:rFonts w:eastAsia="Arial" w:cs="Arial"/>
          <w:szCs w:val="21"/>
        </w:rPr>
      </w:pPr>
      <w:r w:rsidRPr="0008457C">
        <w:rPr>
          <w:rFonts w:eastAsia="Arial" w:cs="Arial"/>
          <w:b/>
        </w:rPr>
        <w:t>Vodafone</w:t>
      </w:r>
      <w:r w:rsidR="00E126D7">
        <w:rPr>
          <w:rFonts w:eastAsia="Arial" w:cs="Arial"/>
          <w:b/>
        </w:rPr>
        <w:t xml:space="preserve"> (pre-merger)</w:t>
      </w:r>
      <w:r w:rsidR="0008457C">
        <w:rPr>
          <w:rFonts w:eastAsia="Arial" w:cs="Arial"/>
          <w:b/>
        </w:rPr>
        <w:t>:</w:t>
      </w:r>
      <w:r w:rsidRPr="0008457C">
        <w:rPr>
          <w:rFonts w:eastAsia="Arial" w:cs="Arial"/>
          <w:b/>
        </w:rPr>
        <w:t xml:space="preserve"> </w:t>
      </w:r>
      <w:r w:rsidR="0008457C" w:rsidRPr="002A58FD">
        <w:rPr>
          <w:rFonts w:eastAsia="Arial" w:cs="Arial"/>
          <w:bCs/>
        </w:rPr>
        <w:t>as</w:t>
      </w:r>
      <w:r w:rsidR="0008457C" w:rsidRPr="0008457C">
        <w:rPr>
          <w:rFonts w:eastAsia="Arial" w:cs="Arial"/>
          <w:bCs/>
        </w:rPr>
        <w:t xml:space="preserve"> detailed above, </w:t>
      </w:r>
      <w:r w:rsidR="00D11F2F">
        <w:rPr>
          <w:rFonts w:eastAsia="Arial" w:cs="Arial"/>
          <w:bCs/>
        </w:rPr>
        <w:t>the ACMA</w:t>
      </w:r>
      <w:r w:rsidR="0008457C" w:rsidRPr="0008457C">
        <w:rPr>
          <w:rFonts w:eastAsia="Arial" w:cs="Arial"/>
          <w:bCs/>
        </w:rPr>
        <w:t xml:space="preserve"> took 8 enforcement actions against Vodafone, including 3 formal warnings, 3 directions to comply and 1 remedial direction. </w:t>
      </w:r>
      <w:r w:rsidR="00306E61">
        <w:rPr>
          <w:rFonts w:eastAsia="Arial" w:cs="Arial"/>
          <w:bCs/>
        </w:rPr>
        <w:t>T</w:t>
      </w:r>
      <w:r w:rsidR="00D11F2F">
        <w:rPr>
          <w:rFonts w:eastAsia="Arial" w:cs="Arial"/>
          <w:bCs/>
        </w:rPr>
        <w:t>he ACMA</w:t>
      </w:r>
      <w:r w:rsidR="0008457C" w:rsidRPr="0008457C">
        <w:rPr>
          <w:rFonts w:eastAsia="Arial" w:cs="Arial"/>
          <w:bCs/>
        </w:rPr>
        <w:t xml:space="preserve"> also accepted 1 enforceable undertaking.</w:t>
      </w:r>
      <w:r w:rsidR="0095228C">
        <w:rPr>
          <w:rFonts w:eastAsia="Arial" w:cs="Arial"/>
          <w:bCs/>
        </w:rPr>
        <w:t xml:space="preserve"> Since Vodafone </w:t>
      </w:r>
      <w:r w:rsidRPr="002A58FD">
        <w:rPr>
          <w:rFonts w:eastAsia="Arial" w:cs="Arial"/>
          <w:bCs/>
        </w:rPr>
        <w:t xml:space="preserve">formed the TPG Telecom Group with its merger with TPG in June 2020, enforcement actions tied to the Vodafone brand have been directed against </w:t>
      </w:r>
      <w:r w:rsidR="0095228C">
        <w:rPr>
          <w:rFonts w:eastAsia="Arial" w:cs="Arial"/>
          <w:bCs/>
        </w:rPr>
        <w:t>TPG Telecom,</w:t>
      </w:r>
      <w:r w:rsidRPr="002A58FD">
        <w:rPr>
          <w:rFonts w:eastAsia="Arial" w:cs="Arial"/>
          <w:bCs/>
        </w:rPr>
        <w:t xml:space="preserve"> the group’s parent company.</w:t>
      </w:r>
    </w:p>
    <w:p w14:paraId="35AA0AB1" w14:textId="149A0E87" w:rsidR="001D0BA8" w:rsidRPr="001556EF" w:rsidRDefault="0071353D" w:rsidP="001019BA">
      <w:pPr>
        <w:pStyle w:val="ListParagraph"/>
        <w:numPr>
          <w:ilvl w:val="0"/>
          <w:numId w:val="4"/>
        </w:numPr>
        <w:spacing w:after="0"/>
        <w:rPr>
          <w:rFonts w:eastAsia="Arial" w:cs="Arial"/>
        </w:rPr>
      </w:pPr>
      <w:r w:rsidRPr="12EC14AA">
        <w:rPr>
          <w:rFonts w:eastAsia="Arial" w:cs="Arial"/>
          <w:b/>
          <w:bCs/>
        </w:rPr>
        <w:t>Soul Communications</w:t>
      </w:r>
      <w:r w:rsidRPr="12EC14AA">
        <w:rPr>
          <w:rFonts w:eastAsia="Arial" w:cs="Arial"/>
        </w:rPr>
        <w:t xml:space="preserve"> resulted from the merger of TPG and Soul in 2008-09</w:t>
      </w:r>
      <w:r w:rsidRPr="12EC14AA">
        <w:rPr>
          <w:rFonts w:eastAsia="Arial" w:cs="Arial"/>
          <w:color w:val="000000" w:themeColor="text1"/>
        </w:rPr>
        <w:t>.</w:t>
      </w:r>
      <w:r w:rsidRPr="20A218B4">
        <w:rPr>
          <w:rStyle w:val="FootnoteReference"/>
          <w:rFonts w:eastAsia="Arial" w:cs="Arial"/>
          <w:color w:val="000000" w:themeColor="text1"/>
        </w:rPr>
        <w:footnoteReference w:id="227"/>
      </w:r>
      <w:r w:rsidRPr="12EC14AA">
        <w:rPr>
          <w:rFonts w:eastAsia="Arial" w:cs="Arial"/>
          <w:color w:val="000000" w:themeColor="text1"/>
        </w:rPr>
        <w:t xml:space="preserve"> </w:t>
      </w:r>
      <w:r w:rsidR="00306E61">
        <w:rPr>
          <w:rFonts w:eastAsia="Arial" w:cs="Arial"/>
        </w:rPr>
        <w:t>T</w:t>
      </w:r>
      <w:r w:rsidR="00D11F2F">
        <w:rPr>
          <w:rFonts w:eastAsia="Arial" w:cs="Arial"/>
        </w:rPr>
        <w:t>he ACMA</w:t>
      </w:r>
      <w:r w:rsidRPr="12EC14AA">
        <w:rPr>
          <w:rFonts w:eastAsia="Arial" w:cs="Arial"/>
        </w:rPr>
        <w:t xml:space="preserve"> has taken 2 enforcement actions against Soul since its acquisition by TPG. The first was an enforceable undertaking in May 2010 after </w:t>
      </w:r>
      <w:r w:rsidR="00D11F2F">
        <w:rPr>
          <w:rFonts w:eastAsia="Arial" w:cs="Arial"/>
        </w:rPr>
        <w:t>the ACMA</w:t>
      </w:r>
      <w:r w:rsidRPr="12EC14AA">
        <w:rPr>
          <w:rFonts w:eastAsia="Arial" w:cs="Arial"/>
        </w:rPr>
        <w:t xml:space="preserve"> determined Soul Communications had breached the </w:t>
      </w:r>
      <w:r w:rsidR="00AA7AED">
        <w:rPr>
          <w:rFonts w:eastAsia="Arial" w:cs="Arial"/>
        </w:rPr>
        <w:t>Tel Act</w:t>
      </w:r>
      <w:r w:rsidRPr="12EC14AA">
        <w:rPr>
          <w:rFonts w:eastAsia="Arial" w:cs="Arial"/>
        </w:rPr>
        <w:t xml:space="preserve">’s IPND rules. The second action was a direction to comply with the TCP Code in April 2010. </w:t>
      </w:r>
    </w:p>
    <w:p w14:paraId="320C141D" w14:textId="350F5E59" w:rsidR="00252336" w:rsidRPr="002A58FD" w:rsidRDefault="00436C4C" w:rsidP="001019BA">
      <w:pPr>
        <w:pStyle w:val="ListParagraph"/>
        <w:numPr>
          <w:ilvl w:val="0"/>
          <w:numId w:val="4"/>
        </w:numPr>
        <w:spacing w:after="0"/>
        <w:rPr>
          <w:rFonts w:eastAsia="Arial" w:cs="Arial"/>
          <w:color w:val="000000" w:themeColor="text1"/>
          <w:szCs w:val="21"/>
        </w:rPr>
      </w:pPr>
      <w:r w:rsidRPr="12EC14AA">
        <w:rPr>
          <w:rFonts w:eastAsia="Arial" w:cs="Arial"/>
          <w:b/>
          <w:bCs/>
          <w:color w:val="000000" w:themeColor="text1"/>
        </w:rPr>
        <w:t>PowerTel</w:t>
      </w:r>
      <w:r w:rsidRPr="12EC14AA">
        <w:rPr>
          <w:rFonts w:eastAsia="Arial" w:cs="Arial"/>
          <w:color w:val="000000" w:themeColor="text1"/>
        </w:rPr>
        <w:t xml:space="preserve"> was acquired by TPG in December 2013 when it purchased Telecom New Zealand Australia Pty Limited.</w:t>
      </w:r>
      <w:r w:rsidRPr="20A218B4">
        <w:rPr>
          <w:rStyle w:val="FootnoteReference"/>
          <w:rFonts w:eastAsia="Arial" w:cs="Arial"/>
          <w:color w:val="000000" w:themeColor="text1"/>
        </w:rPr>
        <w:footnoteReference w:id="228"/>
      </w:r>
      <w:r w:rsidRPr="12EC14AA">
        <w:rPr>
          <w:rFonts w:eastAsia="Arial" w:cs="Arial"/>
          <w:color w:val="000000" w:themeColor="text1"/>
        </w:rPr>
        <w:t xml:space="preserve"> </w:t>
      </w:r>
      <w:r w:rsidR="00306E61">
        <w:rPr>
          <w:rFonts w:eastAsia="Arial" w:cs="Arial"/>
          <w:color w:val="000000" w:themeColor="text1"/>
        </w:rPr>
        <w:t>T</w:t>
      </w:r>
      <w:r w:rsidR="00D11F2F">
        <w:rPr>
          <w:rFonts w:eastAsia="Arial" w:cs="Arial"/>
          <w:color w:val="000000" w:themeColor="text1"/>
        </w:rPr>
        <w:t>he ACMA</w:t>
      </w:r>
      <w:r w:rsidRPr="12EC14AA">
        <w:rPr>
          <w:rFonts w:eastAsia="Arial" w:cs="Arial"/>
          <w:color w:val="000000" w:themeColor="text1"/>
        </w:rPr>
        <w:t xml:space="preserve"> took 2 enforcement actions against PowerTel in </w:t>
      </w:r>
      <w:r w:rsidRPr="12EC14AA">
        <w:rPr>
          <w:rFonts w:eastAsia="Arial" w:cs="Arial"/>
        </w:rPr>
        <w:t xml:space="preserve">February 2019: 1 direction to comply and 1 remedial direction. PowerTel had contravened the IPND Code and the </w:t>
      </w:r>
      <w:r w:rsidR="00AA7AED">
        <w:rPr>
          <w:rFonts w:eastAsia="Arial" w:cs="Arial"/>
        </w:rPr>
        <w:t>Tel Act</w:t>
      </w:r>
      <w:r w:rsidRPr="12EC14AA">
        <w:rPr>
          <w:rFonts w:eastAsia="Arial" w:cs="Arial"/>
        </w:rPr>
        <w:t>’s IPND rules.</w:t>
      </w:r>
    </w:p>
    <w:p w14:paraId="3EFF4F12" w14:textId="0CC25B04" w:rsidR="00114DCB" w:rsidRPr="002A58FD" w:rsidRDefault="00114DCB" w:rsidP="001019BA">
      <w:pPr>
        <w:pStyle w:val="ListParagraph"/>
        <w:numPr>
          <w:ilvl w:val="0"/>
          <w:numId w:val="4"/>
        </w:numPr>
        <w:spacing w:after="0"/>
        <w:rPr>
          <w:rFonts w:eastAsia="Arial" w:cs="Arial"/>
          <w:szCs w:val="21"/>
        </w:rPr>
      </w:pPr>
      <w:r w:rsidRPr="12EC14AA">
        <w:rPr>
          <w:rFonts w:eastAsia="Arial" w:cs="Arial"/>
          <w:b/>
          <w:bCs/>
          <w:color w:val="000000" w:themeColor="text1"/>
        </w:rPr>
        <w:t>iiNet</w:t>
      </w:r>
      <w:r w:rsidRPr="12EC14AA">
        <w:rPr>
          <w:rFonts w:eastAsia="Arial" w:cs="Arial"/>
          <w:color w:val="000000" w:themeColor="text1"/>
        </w:rPr>
        <w:t xml:space="preserve"> has been owned by TPG since August 2015.</w:t>
      </w:r>
      <w:r w:rsidR="00874E97" w:rsidRPr="20A218B4">
        <w:rPr>
          <w:rStyle w:val="FootnoteReference"/>
          <w:rFonts w:eastAsia="Arial" w:cs="Arial"/>
        </w:rPr>
        <w:footnoteReference w:id="229"/>
      </w:r>
      <w:r w:rsidRPr="12EC14AA">
        <w:rPr>
          <w:rFonts w:eastAsia="Arial" w:cs="Arial"/>
          <w:color w:val="000000" w:themeColor="text1"/>
        </w:rPr>
        <w:t xml:space="preserve"> In total, </w:t>
      </w:r>
      <w:r w:rsidR="00D11F2F">
        <w:rPr>
          <w:rFonts w:eastAsia="Arial" w:cs="Arial"/>
          <w:color w:val="000000" w:themeColor="text1"/>
        </w:rPr>
        <w:t>the ACMA</w:t>
      </w:r>
      <w:r w:rsidRPr="12EC14AA">
        <w:rPr>
          <w:rFonts w:eastAsia="Arial" w:cs="Arial"/>
          <w:color w:val="000000" w:themeColor="text1"/>
        </w:rPr>
        <w:t xml:space="preserve"> has taken 2 enforcement actions against iiNet </w:t>
      </w:r>
      <w:r w:rsidR="00FF56B2" w:rsidRPr="12EC14AA">
        <w:rPr>
          <w:rFonts w:eastAsia="Arial" w:cs="Arial"/>
          <w:color w:val="000000" w:themeColor="text1"/>
        </w:rPr>
        <w:t>since</w:t>
      </w:r>
      <w:r w:rsidRPr="12EC14AA">
        <w:rPr>
          <w:rFonts w:eastAsia="Arial" w:cs="Arial"/>
          <w:color w:val="000000" w:themeColor="text1"/>
        </w:rPr>
        <w:t xml:space="preserve"> its acquisition by TPG. They consisted of 1 formal warning and 1 remedial direction. In December 2018, iiNet was found to have breached the Telecommunications (Consumer Complaints Handling) Industry Standard 2018, which resulted in the formal warning. In November 2019, it was found to have breached the </w:t>
      </w:r>
      <w:r w:rsidRPr="12EC14AA">
        <w:rPr>
          <w:rFonts w:eastAsia="Arial" w:cs="Arial"/>
        </w:rPr>
        <w:t>Telecommunications (NBN Continuity of Service) Industry Standard 2018 and</w:t>
      </w:r>
      <w:r w:rsidRPr="12EC14AA">
        <w:rPr>
          <w:rFonts w:eastAsia="Arial" w:cs="Arial"/>
          <w:color w:val="000000" w:themeColor="text1"/>
        </w:rPr>
        <w:t xml:space="preserve"> </w:t>
      </w:r>
      <w:r w:rsidRPr="12EC14AA">
        <w:rPr>
          <w:rFonts w:eastAsia="Arial" w:cs="Arial"/>
        </w:rPr>
        <w:t>Telecommunications Service Provider (NBN Service Migration) Determination 2018, which resulted in the remedial direction.</w:t>
      </w:r>
    </w:p>
    <w:p w14:paraId="09CBD10A" w14:textId="78AC78FC" w:rsidR="76BA5913" w:rsidRPr="00C9645C" w:rsidRDefault="7B261E6F" w:rsidP="001019BA">
      <w:pPr>
        <w:pStyle w:val="ListParagraph"/>
        <w:numPr>
          <w:ilvl w:val="0"/>
          <w:numId w:val="4"/>
        </w:numPr>
        <w:spacing w:after="0"/>
        <w:rPr>
          <w:rFonts w:eastAsia="Arial" w:cs="Arial"/>
          <w:color w:val="000000" w:themeColor="text1"/>
          <w:szCs w:val="21"/>
        </w:rPr>
      </w:pPr>
      <w:r w:rsidRPr="12EC14AA">
        <w:rPr>
          <w:rFonts w:eastAsia="Arial" w:cs="Arial"/>
          <w:b/>
          <w:bCs/>
          <w:color w:val="000000" w:themeColor="text1"/>
        </w:rPr>
        <w:lastRenderedPageBreak/>
        <w:t>AA</w:t>
      </w:r>
      <w:r w:rsidRPr="12EC14AA">
        <w:rPr>
          <w:rFonts w:eastAsia="Arial" w:cs="Arial"/>
          <w:b/>
          <w:bCs/>
        </w:rPr>
        <w:t>PT</w:t>
      </w:r>
      <w:r w:rsidR="00BE1EAE" w:rsidRPr="27E57E23">
        <w:rPr>
          <w:rFonts w:eastAsia="Arial" w:cs="Arial"/>
          <w:b/>
          <w:bCs/>
        </w:rPr>
        <w:t>’s</w:t>
      </w:r>
      <w:r w:rsidR="00BE1EAE" w:rsidRPr="27E57E23">
        <w:rPr>
          <w:rFonts w:eastAsia="Arial" w:cs="Arial"/>
        </w:rPr>
        <w:t xml:space="preserve"> consumer division</w:t>
      </w:r>
      <w:r w:rsidRPr="20A218B4">
        <w:rPr>
          <w:rFonts w:eastAsia="Arial" w:cs="Arial"/>
        </w:rPr>
        <w:t xml:space="preserve"> was acquired by iiNet in October 2010</w:t>
      </w:r>
      <w:r w:rsidR="00C9645C" w:rsidRPr="20A218B4">
        <w:rPr>
          <w:rStyle w:val="FootnoteReference"/>
          <w:rFonts w:eastAsia="Arial" w:cs="Arial"/>
        </w:rPr>
        <w:footnoteReference w:id="230"/>
      </w:r>
      <w:r w:rsidRPr="20A218B4">
        <w:rPr>
          <w:rFonts w:eastAsia="Arial" w:cs="Arial"/>
        </w:rPr>
        <w:t xml:space="preserve"> and </w:t>
      </w:r>
      <w:r w:rsidR="005C25C0" w:rsidRPr="27E57E23">
        <w:rPr>
          <w:rFonts w:eastAsia="Arial" w:cs="Arial"/>
        </w:rPr>
        <w:t>was then acquired by</w:t>
      </w:r>
      <w:r w:rsidRPr="20A218B4">
        <w:rPr>
          <w:rFonts w:eastAsia="Arial" w:cs="Arial"/>
        </w:rPr>
        <w:t xml:space="preserve"> TPG </w:t>
      </w:r>
      <w:r w:rsidR="008B7BB6" w:rsidRPr="27E57E23">
        <w:rPr>
          <w:rFonts w:eastAsia="Arial" w:cs="Arial"/>
        </w:rPr>
        <w:t>with</w:t>
      </w:r>
      <w:r w:rsidRPr="20A218B4">
        <w:rPr>
          <w:rFonts w:eastAsia="Arial" w:cs="Arial"/>
        </w:rPr>
        <w:t xml:space="preserve"> TPG</w:t>
      </w:r>
      <w:r w:rsidR="008B7BB6" w:rsidRPr="27E57E23">
        <w:rPr>
          <w:rFonts w:eastAsia="Arial" w:cs="Arial"/>
        </w:rPr>
        <w:t>’s</w:t>
      </w:r>
      <w:r w:rsidRPr="20A218B4">
        <w:rPr>
          <w:rFonts w:eastAsia="Arial" w:cs="Arial"/>
        </w:rPr>
        <w:t xml:space="preserve"> purchase</w:t>
      </w:r>
      <w:r w:rsidR="008B7BB6" w:rsidRPr="27E57E23">
        <w:rPr>
          <w:rFonts w:eastAsia="Arial" w:cs="Arial"/>
        </w:rPr>
        <w:t xml:space="preserve"> of</w:t>
      </w:r>
      <w:r w:rsidRPr="20A218B4">
        <w:rPr>
          <w:rFonts w:eastAsia="Arial" w:cs="Arial"/>
        </w:rPr>
        <w:t xml:space="preserve"> iiNet. </w:t>
      </w:r>
      <w:r w:rsidR="00306E61">
        <w:rPr>
          <w:rFonts w:eastAsia="Arial" w:cs="Arial"/>
        </w:rPr>
        <w:t>T</w:t>
      </w:r>
      <w:r w:rsidR="00D11F2F">
        <w:rPr>
          <w:rFonts w:eastAsia="Arial" w:cs="Arial"/>
        </w:rPr>
        <w:t>he ACMA</w:t>
      </w:r>
      <w:r w:rsidRPr="20A218B4">
        <w:rPr>
          <w:rFonts w:eastAsia="Arial" w:cs="Arial"/>
        </w:rPr>
        <w:t xml:space="preserve"> took 2 enforcement actions against AAPT in February 2019: 1 direction to comply and 1 remedial direction. AAPT had contravened the IPND Code and the </w:t>
      </w:r>
      <w:r w:rsidR="00AA7AED">
        <w:rPr>
          <w:rFonts w:eastAsia="Arial" w:cs="Arial"/>
        </w:rPr>
        <w:t>Tel Act</w:t>
      </w:r>
      <w:r w:rsidRPr="20A218B4">
        <w:rPr>
          <w:rFonts w:eastAsia="Arial" w:cs="Arial"/>
        </w:rPr>
        <w:t xml:space="preserve">’s IPND rules. </w:t>
      </w:r>
      <w:r w:rsidRPr="20A218B4">
        <w:rPr>
          <w:rFonts w:eastAsia="Arial" w:cs="Arial"/>
          <w:color w:val="000000" w:themeColor="text1"/>
        </w:rPr>
        <w:t xml:space="preserve"> </w:t>
      </w:r>
    </w:p>
    <w:p w14:paraId="23B3C231" w14:textId="4E1429A5" w:rsidR="76BA5913" w:rsidRPr="00C9645C" w:rsidRDefault="7B261E6F" w:rsidP="001019BA">
      <w:pPr>
        <w:pStyle w:val="ListParagraph"/>
        <w:numPr>
          <w:ilvl w:val="0"/>
          <w:numId w:val="4"/>
        </w:numPr>
        <w:spacing w:after="0"/>
        <w:rPr>
          <w:rFonts w:eastAsia="Arial" w:cs="Arial"/>
          <w:color w:val="000000" w:themeColor="text1"/>
          <w:szCs w:val="21"/>
        </w:rPr>
      </w:pPr>
      <w:r w:rsidRPr="12EC14AA">
        <w:rPr>
          <w:rFonts w:eastAsia="Arial" w:cs="Arial"/>
          <w:b/>
          <w:bCs/>
          <w:color w:val="000000" w:themeColor="text1"/>
        </w:rPr>
        <w:t>Agile</w:t>
      </w:r>
      <w:r w:rsidRPr="20A218B4">
        <w:rPr>
          <w:rFonts w:eastAsia="Arial" w:cs="Arial"/>
          <w:color w:val="000000" w:themeColor="text1"/>
        </w:rPr>
        <w:t xml:space="preserve"> </w:t>
      </w:r>
      <w:r w:rsidRPr="20A218B4">
        <w:rPr>
          <w:rFonts w:eastAsia="Arial" w:cs="Arial"/>
        </w:rPr>
        <w:t>was acquired by iiNet in December 2011</w:t>
      </w:r>
      <w:r w:rsidR="00DD681F" w:rsidRPr="20A218B4">
        <w:rPr>
          <w:rStyle w:val="FootnoteReference"/>
          <w:rFonts w:eastAsia="Arial" w:cs="Arial"/>
        </w:rPr>
        <w:footnoteReference w:id="231"/>
      </w:r>
      <w:r w:rsidRPr="20A218B4">
        <w:rPr>
          <w:rFonts w:eastAsia="Arial" w:cs="Arial"/>
        </w:rPr>
        <w:t xml:space="preserve"> and by TPG in August 2015 when TPG purchased iiNet. </w:t>
      </w:r>
      <w:r w:rsidR="001A6EBC">
        <w:rPr>
          <w:rFonts w:eastAsia="Arial" w:cs="Arial"/>
        </w:rPr>
        <w:t>T</w:t>
      </w:r>
      <w:r w:rsidR="00D11F2F">
        <w:rPr>
          <w:rFonts w:eastAsia="Arial" w:cs="Arial"/>
        </w:rPr>
        <w:t>he ACMA</w:t>
      </w:r>
      <w:r w:rsidRPr="20A218B4">
        <w:rPr>
          <w:rFonts w:eastAsia="Arial" w:cs="Arial"/>
        </w:rPr>
        <w:t xml:space="preserve"> took 2 enforcement actions against Agile in February 2019: 1 direction to comply and 1 remedial direction. Agile had contravened the IPND Code and the </w:t>
      </w:r>
      <w:r w:rsidR="00AA7AED">
        <w:rPr>
          <w:rFonts w:eastAsia="Arial" w:cs="Arial"/>
        </w:rPr>
        <w:t>Tel Act</w:t>
      </w:r>
      <w:r w:rsidRPr="20A218B4">
        <w:rPr>
          <w:rFonts w:eastAsia="Arial" w:cs="Arial"/>
        </w:rPr>
        <w:t>’s IPND rules.</w:t>
      </w:r>
      <w:r w:rsidRPr="20A218B4">
        <w:rPr>
          <w:rFonts w:eastAsia="Arial" w:cs="Arial"/>
          <w:color w:val="000000" w:themeColor="text1"/>
        </w:rPr>
        <w:t xml:space="preserve"> </w:t>
      </w:r>
    </w:p>
    <w:p w14:paraId="26B73F00" w14:textId="4975FA67" w:rsidR="76BA5913" w:rsidRDefault="7B261E6F" w:rsidP="001019BA">
      <w:pPr>
        <w:pStyle w:val="ListParagraph"/>
        <w:numPr>
          <w:ilvl w:val="0"/>
          <w:numId w:val="4"/>
        </w:numPr>
        <w:spacing w:after="0"/>
        <w:rPr>
          <w:rFonts w:eastAsia="Arial" w:cs="Arial"/>
          <w:color w:val="000000" w:themeColor="text1"/>
          <w:szCs w:val="21"/>
        </w:rPr>
      </w:pPr>
      <w:r w:rsidRPr="12EC14AA">
        <w:rPr>
          <w:rFonts w:eastAsia="Arial" w:cs="Arial"/>
          <w:b/>
          <w:bCs/>
          <w:color w:val="000000" w:themeColor="text1"/>
        </w:rPr>
        <w:t>Chime</w:t>
      </w:r>
      <w:r w:rsidRPr="20A218B4">
        <w:rPr>
          <w:rFonts w:eastAsia="Arial" w:cs="Arial"/>
          <w:color w:val="000000" w:themeColor="text1"/>
        </w:rPr>
        <w:t xml:space="preserve"> </w:t>
      </w:r>
      <w:r w:rsidRPr="20A218B4">
        <w:rPr>
          <w:rFonts w:eastAsia="Arial" w:cs="Arial"/>
        </w:rPr>
        <w:t>was launched by iiNet in 2001</w:t>
      </w:r>
      <w:r w:rsidR="0041738C" w:rsidRPr="20A218B4">
        <w:rPr>
          <w:rStyle w:val="FootnoteReference"/>
          <w:rFonts w:eastAsia="Arial" w:cs="Arial"/>
        </w:rPr>
        <w:footnoteReference w:id="232"/>
      </w:r>
      <w:r w:rsidRPr="20A218B4">
        <w:rPr>
          <w:rFonts w:eastAsia="Arial" w:cs="Arial"/>
        </w:rPr>
        <w:t xml:space="preserve"> and was acquired by TPG in August 2015 when TPG purchased iiNet. </w:t>
      </w:r>
      <w:r w:rsidR="001A6EBC">
        <w:rPr>
          <w:rFonts w:eastAsia="Arial" w:cs="Arial"/>
        </w:rPr>
        <w:t>T</w:t>
      </w:r>
      <w:r w:rsidR="00D11F2F">
        <w:rPr>
          <w:rFonts w:eastAsia="Arial" w:cs="Arial"/>
        </w:rPr>
        <w:t>he ACMA</w:t>
      </w:r>
      <w:r w:rsidRPr="20A218B4">
        <w:rPr>
          <w:rFonts w:eastAsia="Arial" w:cs="Arial"/>
        </w:rPr>
        <w:t xml:space="preserve"> took 2 enforcement actions against </w:t>
      </w:r>
      <w:r w:rsidR="00AD07A8" w:rsidRPr="27E57E23">
        <w:rPr>
          <w:rFonts w:eastAsia="Arial" w:cs="Arial"/>
        </w:rPr>
        <w:t xml:space="preserve">Chime </w:t>
      </w:r>
      <w:r w:rsidRPr="20A218B4">
        <w:rPr>
          <w:rFonts w:eastAsia="Arial" w:cs="Arial"/>
        </w:rPr>
        <w:t xml:space="preserve">in February 2019: 1 direction to comply and 1 remedial direction. Like Agile, Chime had contravened the IPND Code and the </w:t>
      </w:r>
      <w:r w:rsidR="00AA7AED">
        <w:rPr>
          <w:rFonts w:eastAsia="Arial" w:cs="Arial"/>
        </w:rPr>
        <w:t>Tel Act</w:t>
      </w:r>
      <w:r w:rsidRPr="20A218B4">
        <w:rPr>
          <w:rFonts w:eastAsia="Arial" w:cs="Arial"/>
        </w:rPr>
        <w:t>’s IPND rules.</w:t>
      </w:r>
      <w:r w:rsidRPr="20A218B4">
        <w:rPr>
          <w:rFonts w:eastAsia="Arial" w:cs="Arial"/>
          <w:color w:val="000000" w:themeColor="text1"/>
        </w:rPr>
        <w:t xml:space="preserve"> </w:t>
      </w:r>
    </w:p>
    <w:p w14:paraId="6072A039" w14:textId="78503F78" w:rsidR="76BA5913" w:rsidRPr="00196EF7" w:rsidRDefault="7B261E6F" w:rsidP="001019BA">
      <w:pPr>
        <w:pStyle w:val="ListParagraph"/>
        <w:numPr>
          <w:ilvl w:val="0"/>
          <w:numId w:val="4"/>
        </w:numPr>
        <w:spacing w:after="0"/>
        <w:rPr>
          <w:rFonts w:eastAsia="Arial" w:cs="Arial"/>
          <w:color w:val="000000" w:themeColor="text1"/>
          <w:szCs w:val="21"/>
        </w:rPr>
      </w:pPr>
      <w:r w:rsidRPr="12EC14AA">
        <w:rPr>
          <w:rFonts w:eastAsia="Arial" w:cs="Arial"/>
          <w:b/>
          <w:bCs/>
          <w:color w:val="000000" w:themeColor="text1"/>
        </w:rPr>
        <w:t>Internode</w:t>
      </w:r>
      <w:r w:rsidRPr="20A218B4">
        <w:rPr>
          <w:rFonts w:eastAsia="Arial" w:cs="Arial"/>
          <w:color w:val="000000" w:themeColor="text1"/>
        </w:rPr>
        <w:t xml:space="preserve"> was acquired by iiNet in December 2011</w:t>
      </w:r>
      <w:r w:rsidR="00196EF7" w:rsidRPr="20A218B4">
        <w:rPr>
          <w:rStyle w:val="FootnoteReference"/>
          <w:rFonts w:eastAsia="Arial" w:cs="Arial"/>
          <w:color w:val="000000" w:themeColor="text1"/>
        </w:rPr>
        <w:footnoteReference w:id="233"/>
      </w:r>
      <w:r w:rsidRPr="20A218B4">
        <w:rPr>
          <w:rFonts w:eastAsia="Arial" w:cs="Arial"/>
          <w:color w:val="000000" w:themeColor="text1"/>
        </w:rPr>
        <w:t xml:space="preserve"> </w:t>
      </w:r>
      <w:r w:rsidR="00196EF7" w:rsidRPr="20A218B4">
        <w:rPr>
          <w:rFonts w:eastAsia="Arial" w:cs="Arial"/>
          <w:color w:val="000000" w:themeColor="text1"/>
        </w:rPr>
        <w:t>a</w:t>
      </w:r>
      <w:r w:rsidRPr="20A218B4">
        <w:rPr>
          <w:rFonts w:eastAsia="Arial" w:cs="Arial"/>
          <w:color w:val="000000" w:themeColor="text1"/>
        </w:rPr>
        <w:t xml:space="preserve">nd by TPG in August 2015 when it purchased iiNet. Since then, </w:t>
      </w:r>
      <w:r w:rsidR="00D11F2F">
        <w:rPr>
          <w:rFonts w:eastAsia="Arial" w:cs="Arial"/>
          <w:color w:val="000000" w:themeColor="text1"/>
        </w:rPr>
        <w:t>the ACMA</w:t>
      </w:r>
      <w:r w:rsidRPr="20A218B4">
        <w:rPr>
          <w:rFonts w:eastAsia="Arial" w:cs="Arial"/>
          <w:color w:val="000000" w:themeColor="text1"/>
        </w:rPr>
        <w:t xml:space="preserve"> has taken 1 enforcement action against Internode. It issued the company with a formal warning in December 2018 for breaching the Telecommunications (Consumer Complaints Handling) Industry Standard 2018.</w:t>
      </w:r>
    </w:p>
    <w:p w14:paraId="74041FB4" w14:textId="50CB18B3" w:rsidR="004C6385" w:rsidRPr="00FE4174" w:rsidRDefault="7B261E6F" w:rsidP="001019BA">
      <w:pPr>
        <w:pStyle w:val="ListParagraph"/>
        <w:numPr>
          <w:ilvl w:val="0"/>
          <w:numId w:val="4"/>
        </w:numPr>
        <w:spacing w:after="0"/>
        <w:rPr>
          <w:rFonts w:eastAsia="Arial" w:cs="Arial"/>
          <w:color w:val="000000" w:themeColor="text1"/>
          <w:szCs w:val="21"/>
        </w:rPr>
      </w:pPr>
      <w:r w:rsidRPr="12EC14AA">
        <w:rPr>
          <w:rFonts w:eastAsia="Arial" w:cs="Arial"/>
          <w:b/>
          <w:bCs/>
        </w:rPr>
        <w:t>TransACT Capital Communications</w:t>
      </w:r>
      <w:r w:rsidRPr="20A218B4">
        <w:rPr>
          <w:rFonts w:eastAsia="Arial" w:cs="Arial"/>
        </w:rPr>
        <w:t xml:space="preserve"> and </w:t>
      </w:r>
      <w:r w:rsidRPr="12EC14AA">
        <w:rPr>
          <w:rFonts w:eastAsia="Arial" w:cs="Arial"/>
          <w:b/>
          <w:bCs/>
        </w:rPr>
        <w:t>TransACT Communications</w:t>
      </w:r>
      <w:r w:rsidRPr="20A218B4">
        <w:rPr>
          <w:rFonts w:eastAsia="Arial" w:cs="Arial"/>
        </w:rPr>
        <w:t xml:space="preserve"> were acquired by iiNet in December 2011</w:t>
      </w:r>
      <w:r w:rsidR="004A355D" w:rsidRPr="20A218B4">
        <w:rPr>
          <w:rStyle w:val="FootnoteReference"/>
          <w:rFonts w:eastAsia="Arial" w:cs="Arial"/>
        </w:rPr>
        <w:footnoteReference w:id="234"/>
      </w:r>
      <w:r w:rsidRPr="20A218B4">
        <w:rPr>
          <w:rFonts w:eastAsia="Arial" w:cs="Arial"/>
        </w:rPr>
        <w:t xml:space="preserve"> </w:t>
      </w:r>
      <w:r w:rsidRPr="20A218B4">
        <w:rPr>
          <w:rFonts w:eastAsia="Arial" w:cs="Arial"/>
          <w:color w:val="000000" w:themeColor="text1"/>
        </w:rPr>
        <w:t xml:space="preserve">and </w:t>
      </w:r>
      <w:r w:rsidR="005C25C0" w:rsidRPr="27E57E23">
        <w:rPr>
          <w:rFonts w:eastAsia="Arial" w:cs="Arial"/>
          <w:color w:val="000000" w:themeColor="text1"/>
        </w:rPr>
        <w:t>by</w:t>
      </w:r>
      <w:r w:rsidR="00797D1E" w:rsidRPr="27E57E23">
        <w:rPr>
          <w:rFonts w:eastAsia="Arial" w:cs="Arial"/>
          <w:color w:val="000000" w:themeColor="text1"/>
        </w:rPr>
        <w:t xml:space="preserve"> </w:t>
      </w:r>
      <w:r w:rsidRPr="20A218B4">
        <w:rPr>
          <w:rFonts w:eastAsia="Arial" w:cs="Arial"/>
          <w:color w:val="000000" w:themeColor="text1"/>
        </w:rPr>
        <w:t>TPG in August 201</w:t>
      </w:r>
      <w:r w:rsidRPr="20A218B4">
        <w:rPr>
          <w:rFonts w:eastAsia="Arial" w:cs="Arial"/>
        </w:rPr>
        <w:t xml:space="preserve">5 when TPG purchased iiNet. </w:t>
      </w:r>
      <w:r w:rsidR="001A6EBC">
        <w:rPr>
          <w:rFonts w:eastAsia="Arial" w:cs="Arial"/>
        </w:rPr>
        <w:t>T</w:t>
      </w:r>
      <w:r w:rsidR="00D11F2F">
        <w:rPr>
          <w:rFonts w:eastAsia="Arial" w:cs="Arial"/>
        </w:rPr>
        <w:t>he ACMA</w:t>
      </w:r>
      <w:r w:rsidRPr="20A218B4">
        <w:rPr>
          <w:rFonts w:eastAsia="Arial" w:cs="Arial"/>
        </w:rPr>
        <w:t xml:space="preserve"> took 4 enforcement actions</w:t>
      </w:r>
      <w:r w:rsidRPr="27E57E23">
        <w:rPr>
          <w:rFonts w:eastAsia="Arial" w:cs="Arial"/>
        </w:rPr>
        <w:t xml:space="preserve"> </w:t>
      </w:r>
      <w:r w:rsidR="00995FE3" w:rsidRPr="27E57E23">
        <w:rPr>
          <w:rFonts w:eastAsia="Arial" w:cs="Arial"/>
        </w:rPr>
        <w:t>in total</w:t>
      </w:r>
      <w:r w:rsidRPr="20A218B4">
        <w:rPr>
          <w:rFonts w:eastAsia="Arial" w:cs="Arial"/>
        </w:rPr>
        <w:t xml:space="preserve"> against the two TransACT companies: 2 directions to comply and 2 remedial directions. Like Agile, Chime, and Powertel, 1 direction to comply and 1 remedial direction were issued against each TransACT company in February 2019 for contravention of the IPND Code and the </w:t>
      </w:r>
      <w:r w:rsidR="00AA7AED">
        <w:rPr>
          <w:rFonts w:eastAsia="Arial" w:cs="Arial"/>
        </w:rPr>
        <w:t>Tel Act</w:t>
      </w:r>
      <w:r w:rsidRPr="20A218B4">
        <w:rPr>
          <w:rFonts w:eastAsia="Arial" w:cs="Arial"/>
        </w:rPr>
        <w:t>’s IPND rules.</w:t>
      </w:r>
      <w:r w:rsidRPr="20A218B4">
        <w:rPr>
          <w:rFonts w:eastAsia="Arial" w:cs="Arial"/>
          <w:color w:val="000000" w:themeColor="text1"/>
        </w:rPr>
        <w:t xml:space="preserve"> </w:t>
      </w:r>
    </w:p>
    <w:p w14:paraId="50931E7D" w14:textId="7847423E" w:rsidR="0074797B" w:rsidRPr="00166ACE" w:rsidRDefault="7B261E6F" w:rsidP="001019BA">
      <w:pPr>
        <w:pStyle w:val="ListParagraph"/>
        <w:numPr>
          <w:ilvl w:val="0"/>
          <w:numId w:val="4"/>
        </w:numPr>
        <w:spacing w:after="0"/>
        <w:rPr>
          <w:rFonts w:eastAsia="Arial" w:cs="Arial"/>
          <w:color w:val="000000" w:themeColor="text1"/>
          <w:szCs w:val="21"/>
        </w:rPr>
      </w:pPr>
      <w:r w:rsidRPr="205997F0">
        <w:rPr>
          <w:rFonts w:eastAsia="Arial" w:cs="Arial"/>
          <w:b/>
          <w:bCs/>
          <w:color w:val="000000" w:themeColor="text1"/>
        </w:rPr>
        <w:t>West</w:t>
      </w:r>
      <w:r w:rsidR="009E1963">
        <w:rPr>
          <w:rFonts w:eastAsia="Arial" w:cs="Arial"/>
          <w:b/>
          <w:bCs/>
          <w:color w:val="000000" w:themeColor="text1"/>
        </w:rPr>
        <w:t>n</w:t>
      </w:r>
      <w:r w:rsidRPr="205997F0">
        <w:rPr>
          <w:rFonts w:eastAsia="Arial" w:cs="Arial"/>
          <w:b/>
          <w:bCs/>
          <w:color w:val="000000" w:themeColor="text1"/>
        </w:rPr>
        <w:t>et</w:t>
      </w:r>
      <w:r w:rsidRPr="20A218B4">
        <w:rPr>
          <w:rFonts w:eastAsia="Arial" w:cs="Arial"/>
          <w:color w:val="000000" w:themeColor="text1"/>
        </w:rPr>
        <w:t xml:space="preserve"> was acquired by iiNet in 2008</w:t>
      </w:r>
      <w:r w:rsidR="004A355D" w:rsidRPr="20A218B4">
        <w:rPr>
          <w:rStyle w:val="FootnoteReference"/>
          <w:rFonts w:eastAsia="Arial" w:cs="Arial"/>
          <w:color w:val="000000" w:themeColor="text1"/>
        </w:rPr>
        <w:footnoteReference w:id="235"/>
      </w:r>
      <w:r w:rsidRPr="20A218B4">
        <w:rPr>
          <w:rFonts w:eastAsia="Arial" w:cs="Arial"/>
          <w:color w:val="000000" w:themeColor="text1"/>
        </w:rPr>
        <w:t xml:space="preserve"> and by TPG in August 2015 when </w:t>
      </w:r>
      <w:r w:rsidR="009C5CFB">
        <w:rPr>
          <w:rFonts w:eastAsia="Arial" w:cs="Arial"/>
          <w:color w:val="000000" w:themeColor="text1"/>
        </w:rPr>
        <w:t xml:space="preserve">TPG </w:t>
      </w:r>
      <w:r w:rsidRPr="20A218B4">
        <w:rPr>
          <w:rFonts w:eastAsia="Arial" w:cs="Arial"/>
          <w:color w:val="000000" w:themeColor="text1"/>
        </w:rPr>
        <w:t xml:space="preserve">purchased iiNet. Since then, </w:t>
      </w:r>
      <w:r w:rsidR="00D11F2F">
        <w:rPr>
          <w:rFonts w:eastAsia="Arial" w:cs="Arial"/>
          <w:color w:val="000000" w:themeColor="text1"/>
        </w:rPr>
        <w:t>the ACMA</w:t>
      </w:r>
      <w:r w:rsidRPr="20A218B4">
        <w:rPr>
          <w:rFonts w:eastAsia="Arial" w:cs="Arial"/>
          <w:color w:val="000000" w:themeColor="text1"/>
        </w:rPr>
        <w:t xml:space="preserve"> has taken 1 enforcement action against West</w:t>
      </w:r>
      <w:r w:rsidR="009E1963">
        <w:rPr>
          <w:rFonts w:eastAsia="Arial" w:cs="Arial"/>
          <w:color w:val="000000" w:themeColor="text1"/>
        </w:rPr>
        <w:t>n</w:t>
      </w:r>
      <w:r w:rsidRPr="20A218B4">
        <w:rPr>
          <w:rFonts w:eastAsia="Arial" w:cs="Arial"/>
          <w:color w:val="000000" w:themeColor="text1"/>
        </w:rPr>
        <w:t xml:space="preserve">et. It issued the company with a formal warning in December 2018 for breaching the Telecommunications (Consumer Complaints Handling) Industry Standard 2018. </w:t>
      </w:r>
    </w:p>
    <w:p w14:paraId="4A8AF7B7" w14:textId="588ADED3" w:rsidR="205997F0" w:rsidRPr="005C25C0" w:rsidRDefault="205997F0" w:rsidP="005C25C0">
      <w:pPr>
        <w:spacing w:after="0"/>
        <w:rPr>
          <w:rFonts w:eastAsia="Arial" w:cs="Arial"/>
          <w:color w:val="000000" w:themeColor="text1"/>
        </w:rPr>
      </w:pPr>
    </w:p>
    <w:p w14:paraId="7A887207" w14:textId="7C8CC0A2" w:rsidR="76BA5913" w:rsidRDefault="7B261E6F" w:rsidP="2433C7D0">
      <w:pPr>
        <w:rPr>
          <w:rFonts w:eastAsia="Arial" w:cs="Arial"/>
          <w:color w:val="000000" w:themeColor="text1"/>
          <w:szCs w:val="21"/>
        </w:rPr>
      </w:pPr>
      <w:r w:rsidRPr="2433C7D0">
        <w:rPr>
          <w:rFonts w:eastAsia="Arial" w:cs="Arial"/>
          <w:color w:val="000000" w:themeColor="text1"/>
          <w:szCs w:val="21"/>
        </w:rPr>
        <w:t>Our review of ASX</w:t>
      </w:r>
      <w:r w:rsidR="00491E41">
        <w:rPr>
          <w:rFonts w:eastAsia="Arial" w:cs="Arial"/>
          <w:color w:val="000000" w:themeColor="text1"/>
          <w:szCs w:val="21"/>
        </w:rPr>
        <w:t>, ASIC</w:t>
      </w:r>
      <w:r w:rsidRPr="2433C7D0">
        <w:rPr>
          <w:rFonts w:eastAsia="Arial" w:cs="Arial"/>
          <w:color w:val="000000" w:themeColor="text1"/>
          <w:szCs w:val="21"/>
        </w:rPr>
        <w:t xml:space="preserve"> and other data suggests that the number of enforcement actions against </w:t>
      </w:r>
      <w:r w:rsidR="008D6C29">
        <w:rPr>
          <w:rFonts w:eastAsia="Arial" w:cs="Arial"/>
          <w:color w:val="000000" w:themeColor="text1"/>
          <w:szCs w:val="21"/>
        </w:rPr>
        <w:t xml:space="preserve">the TPG </w:t>
      </w:r>
      <w:r w:rsidR="00AF410F">
        <w:rPr>
          <w:rFonts w:eastAsia="Arial" w:cs="Arial"/>
          <w:color w:val="000000" w:themeColor="text1"/>
          <w:szCs w:val="21"/>
        </w:rPr>
        <w:t>g</w:t>
      </w:r>
      <w:r w:rsidR="008D6C29">
        <w:rPr>
          <w:rFonts w:eastAsia="Arial" w:cs="Arial"/>
          <w:color w:val="000000" w:themeColor="text1"/>
          <w:szCs w:val="21"/>
        </w:rPr>
        <w:t>roup, including</w:t>
      </w:r>
      <w:r w:rsidR="003E3ED3">
        <w:rPr>
          <w:rFonts w:eastAsia="Arial" w:cs="Arial"/>
          <w:color w:val="000000" w:themeColor="text1"/>
          <w:szCs w:val="21"/>
        </w:rPr>
        <w:t xml:space="preserve"> actions against</w:t>
      </w:r>
      <w:r w:rsidR="008D6C29">
        <w:rPr>
          <w:rFonts w:eastAsia="Arial" w:cs="Arial"/>
          <w:color w:val="000000" w:themeColor="text1"/>
          <w:szCs w:val="21"/>
        </w:rPr>
        <w:t xml:space="preserve"> all subsidiaries </w:t>
      </w:r>
      <w:r w:rsidR="003E3ED3">
        <w:rPr>
          <w:rFonts w:eastAsia="Arial" w:cs="Arial"/>
          <w:color w:val="000000" w:themeColor="text1"/>
          <w:szCs w:val="21"/>
        </w:rPr>
        <w:t xml:space="preserve">while </w:t>
      </w:r>
      <w:r w:rsidR="008D6C29">
        <w:rPr>
          <w:rFonts w:eastAsia="Arial" w:cs="Arial"/>
          <w:color w:val="000000" w:themeColor="text1"/>
          <w:szCs w:val="21"/>
        </w:rPr>
        <w:t>under TPG or Vodafone ownership</w:t>
      </w:r>
      <w:r w:rsidR="00704935">
        <w:rPr>
          <w:rFonts w:eastAsia="Arial" w:cs="Arial"/>
          <w:color w:val="000000" w:themeColor="text1"/>
          <w:szCs w:val="21"/>
        </w:rPr>
        <w:t>,</w:t>
      </w:r>
      <w:r w:rsidRPr="2433C7D0">
        <w:rPr>
          <w:rFonts w:eastAsia="Arial" w:cs="Arial"/>
          <w:szCs w:val="21"/>
        </w:rPr>
        <w:t xml:space="preserve"> is </w:t>
      </w:r>
      <w:r w:rsidR="008C4C52">
        <w:rPr>
          <w:rFonts w:eastAsia="Arial" w:cs="Arial"/>
          <w:szCs w:val="21"/>
        </w:rPr>
        <w:t>34</w:t>
      </w:r>
      <w:r w:rsidRPr="2433C7D0">
        <w:rPr>
          <w:rFonts w:eastAsia="Arial" w:cs="Arial"/>
          <w:szCs w:val="21"/>
        </w:rPr>
        <w:t xml:space="preserve">. These </w:t>
      </w:r>
      <w:r w:rsidR="008C4C52">
        <w:rPr>
          <w:rFonts w:eastAsia="Arial" w:cs="Arial"/>
          <w:szCs w:val="21"/>
        </w:rPr>
        <w:t>34</w:t>
      </w:r>
      <w:r w:rsidRPr="2433C7D0">
        <w:rPr>
          <w:rFonts w:eastAsia="Arial" w:cs="Arial"/>
          <w:szCs w:val="21"/>
        </w:rPr>
        <w:t xml:space="preserve"> enforcement actions </w:t>
      </w:r>
      <w:r w:rsidR="00AF410F">
        <w:rPr>
          <w:rFonts w:eastAsia="Arial" w:cs="Arial"/>
          <w:szCs w:val="21"/>
        </w:rPr>
        <w:t>comprise</w:t>
      </w:r>
      <w:r w:rsidRPr="2433C7D0">
        <w:rPr>
          <w:rFonts w:eastAsia="Arial" w:cs="Arial"/>
          <w:szCs w:val="21"/>
        </w:rPr>
        <w:t>:</w:t>
      </w:r>
    </w:p>
    <w:p w14:paraId="24B4CF2D" w14:textId="71E15A96" w:rsidR="76BA5913" w:rsidRDefault="008C4C52" w:rsidP="001019BA">
      <w:pPr>
        <w:pStyle w:val="ListParagraph"/>
        <w:numPr>
          <w:ilvl w:val="0"/>
          <w:numId w:val="3"/>
        </w:numPr>
        <w:spacing w:after="0"/>
        <w:rPr>
          <w:rFonts w:eastAsia="Arial" w:cs="Arial"/>
          <w:color w:val="000000" w:themeColor="text1"/>
          <w:szCs w:val="21"/>
        </w:rPr>
      </w:pPr>
      <w:r>
        <w:rPr>
          <w:rFonts w:eastAsia="Arial" w:cs="Arial"/>
          <w:color w:val="000000" w:themeColor="text1"/>
          <w:szCs w:val="21"/>
        </w:rPr>
        <w:t>8</w:t>
      </w:r>
      <w:r w:rsidR="7B261E6F" w:rsidRPr="2433C7D0">
        <w:rPr>
          <w:rFonts w:eastAsia="Arial" w:cs="Arial"/>
          <w:color w:val="000000" w:themeColor="text1"/>
          <w:szCs w:val="21"/>
        </w:rPr>
        <w:t xml:space="preserve"> formal warnings </w:t>
      </w:r>
    </w:p>
    <w:p w14:paraId="5327FBCE" w14:textId="6D5D2619" w:rsidR="76BA5913" w:rsidRDefault="008C4C52" w:rsidP="001019BA">
      <w:pPr>
        <w:pStyle w:val="ListParagraph"/>
        <w:numPr>
          <w:ilvl w:val="0"/>
          <w:numId w:val="3"/>
        </w:numPr>
        <w:spacing w:after="0"/>
        <w:rPr>
          <w:rFonts w:eastAsia="Arial" w:cs="Arial"/>
          <w:color w:val="000000" w:themeColor="text1"/>
          <w:szCs w:val="21"/>
        </w:rPr>
      </w:pPr>
      <w:r>
        <w:rPr>
          <w:rFonts w:eastAsia="Arial" w:cs="Arial"/>
          <w:color w:val="000000" w:themeColor="text1"/>
          <w:szCs w:val="21"/>
        </w:rPr>
        <w:t>12</w:t>
      </w:r>
      <w:r w:rsidR="7B261E6F" w:rsidRPr="2433C7D0">
        <w:rPr>
          <w:rFonts w:eastAsia="Arial" w:cs="Arial"/>
          <w:szCs w:val="21"/>
        </w:rPr>
        <w:t xml:space="preserve"> directions to comply</w:t>
      </w:r>
      <w:r w:rsidR="7B261E6F" w:rsidRPr="2433C7D0">
        <w:rPr>
          <w:rFonts w:eastAsia="Arial" w:cs="Arial"/>
          <w:color w:val="000000" w:themeColor="text1"/>
          <w:szCs w:val="21"/>
        </w:rPr>
        <w:t xml:space="preserve"> </w:t>
      </w:r>
    </w:p>
    <w:p w14:paraId="2B4411CA" w14:textId="298B85CB" w:rsidR="76BA5913" w:rsidRDefault="00887585" w:rsidP="001019BA">
      <w:pPr>
        <w:pStyle w:val="ListParagraph"/>
        <w:numPr>
          <w:ilvl w:val="0"/>
          <w:numId w:val="2"/>
        </w:numPr>
        <w:spacing w:after="0"/>
        <w:rPr>
          <w:rFonts w:eastAsia="Arial" w:cs="Arial"/>
          <w:color w:val="000000" w:themeColor="text1"/>
          <w:szCs w:val="21"/>
        </w:rPr>
      </w:pPr>
      <w:r>
        <w:rPr>
          <w:rFonts w:eastAsia="Arial" w:cs="Arial"/>
          <w:color w:val="000000" w:themeColor="text1"/>
          <w:szCs w:val="21"/>
        </w:rPr>
        <w:t>8</w:t>
      </w:r>
      <w:r w:rsidR="7B261E6F" w:rsidRPr="2433C7D0">
        <w:rPr>
          <w:rFonts w:eastAsia="Arial" w:cs="Arial"/>
          <w:color w:val="000000" w:themeColor="text1"/>
          <w:szCs w:val="21"/>
        </w:rPr>
        <w:t xml:space="preserve"> </w:t>
      </w:r>
      <w:r w:rsidR="7B261E6F" w:rsidRPr="2433C7D0">
        <w:rPr>
          <w:rFonts w:eastAsia="Arial" w:cs="Arial"/>
          <w:szCs w:val="21"/>
        </w:rPr>
        <w:t>remedial directions</w:t>
      </w:r>
      <w:r w:rsidR="7B261E6F" w:rsidRPr="2433C7D0">
        <w:rPr>
          <w:rFonts w:eastAsia="Arial" w:cs="Arial"/>
          <w:color w:val="000000" w:themeColor="text1"/>
          <w:szCs w:val="21"/>
        </w:rPr>
        <w:t xml:space="preserve"> </w:t>
      </w:r>
    </w:p>
    <w:p w14:paraId="3C276536" w14:textId="25BB215D" w:rsidR="76BA5913" w:rsidRDefault="7B261E6F" w:rsidP="001019BA">
      <w:pPr>
        <w:pStyle w:val="ListParagraph"/>
        <w:numPr>
          <w:ilvl w:val="0"/>
          <w:numId w:val="2"/>
        </w:numPr>
        <w:spacing w:after="0"/>
        <w:rPr>
          <w:rFonts w:eastAsia="Arial" w:cs="Arial"/>
          <w:color w:val="000000" w:themeColor="text1"/>
          <w:szCs w:val="21"/>
        </w:rPr>
      </w:pPr>
      <w:r w:rsidRPr="2433C7D0">
        <w:rPr>
          <w:rFonts w:eastAsia="Arial" w:cs="Arial"/>
          <w:color w:val="000000" w:themeColor="text1"/>
          <w:szCs w:val="21"/>
        </w:rPr>
        <w:t xml:space="preserve">1 </w:t>
      </w:r>
      <w:r w:rsidRPr="2433C7D0">
        <w:rPr>
          <w:rFonts w:eastAsia="Arial" w:cs="Arial"/>
          <w:szCs w:val="21"/>
        </w:rPr>
        <w:t>civil penalty</w:t>
      </w:r>
      <w:r w:rsidRPr="2433C7D0">
        <w:rPr>
          <w:rFonts w:eastAsia="Arial" w:cs="Arial"/>
          <w:color w:val="000000" w:themeColor="text1"/>
          <w:szCs w:val="21"/>
        </w:rPr>
        <w:t xml:space="preserve"> </w:t>
      </w:r>
    </w:p>
    <w:p w14:paraId="04BCE3FC" w14:textId="68988832" w:rsidR="76BA5913" w:rsidRDefault="00ED48A5" w:rsidP="001019BA">
      <w:pPr>
        <w:pStyle w:val="ListParagraph"/>
        <w:numPr>
          <w:ilvl w:val="0"/>
          <w:numId w:val="2"/>
        </w:numPr>
        <w:spacing w:after="0"/>
        <w:rPr>
          <w:rFonts w:eastAsia="Arial" w:cs="Arial"/>
          <w:color w:val="000000" w:themeColor="text1"/>
          <w:szCs w:val="21"/>
        </w:rPr>
      </w:pPr>
      <w:r>
        <w:rPr>
          <w:rFonts w:eastAsia="Arial" w:cs="Arial"/>
          <w:color w:val="000000" w:themeColor="text1"/>
          <w:szCs w:val="21"/>
        </w:rPr>
        <w:t>5</w:t>
      </w:r>
      <w:r w:rsidR="7B261E6F" w:rsidRPr="2433C7D0">
        <w:rPr>
          <w:rFonts w:eastAsia="Arial" w:cs="Arial"/>
          <w:szCs w:val="21"/>
        </w:rPr>
        <w:t xml:space="preserve"> enforceable undertakings.</w:t>
      </w:r>
      <w:r w:rsidR="7B261E6F" w:rsidRPr="2433C7D0">
        <w:rPr>
          <w:rFonts w:eastAsia="Arial" w:cs="Arial"/>
          <w:color w:val="000000" w:themeColor="text1"/>
          <w:szCs w:val="21"/>
        </w:rPr>
        <w:t xml:space="preserve"> </w:t>
      </w:r>
    </w:p>
    <w:p w14:paraId="412BE9E0" w14:textId="43333599" w:rsidR="76BA5913" w:rsidRDefault="0035010E" w:rsidP="2433C7D0">
      <w:pPr>
        <w:rPr>
          <w:rFonts w:eastAsia="Arial" w:cs="Arial"/>
          <w:szCs w:val="21"/>
        </w:rPr>
      </w:pPr>
      <w:r>
        <w:rPr>
          <w:rFonts w:eastAsia="Arial" w:cs="Arial"/>
          <w:szCs w:val="21"/>
        </w:rPr>
        <w:br/>
      </w:r>
      <w:r w:rsidR="7B261E6F" w:rsidRPr="2433C7D0">
        <w:rPr>
          <w:rFonts w:eastAsia="Arial" w:cs="Arial"/>
          <w:szCs w:val="21"/>
        </w:rPr>
        <w:t>The enforcement actions were taken in 2009-10 (</w:t>
      </w:r>
      <w:r w:rsidR="008C2BC6">
        <w:rPr>
          <w:rFonts w:eastAsia="Arial" w:cs="Arial"/>
          <w:szCs w:val="21"/>
        </w:rPr>
        <w:t>3</w:t>
      </w:r>
      <w:r w:rsidR="7B261E6F" w:rsidRPr="2433C7D0">
        <w:rPr>
          <w:rFonts w:eastAsia="Arial" w:cs="Arial"/>
          <w:szCs w:val="21"/>
        </w:rPr>
        <w:t>),</w:t>
      </w:r>
      <w:r w:rsidR="008C2BC6">
        <w:rPr>
          <w:rFonts w:eastAsia="Arial" w:cs="Arial"/>
          <w:szCs w:val="21"/>
        </w:rPr>
        <w:t xml:space="preserve"> 2011-12 (2),</w:t>
      </w:r>
      <w:r w:rsidR="7B261E6F" w:rsidRPr="2433C7D0">
        <w:rPr>
          <w:rFonts w:eastAsia="Arial" w:cs="Arial"/>
          <w:szCs w:val="21"/>
        </w:rPr>
        <w:t xml:space="preserve"> </w:t>
      </w:r>
      <w:r w:rsidR="00E6640A">
        <w:rPr>
          <w:rFonts w:eastAsia="Arial" w:cs="Arial"/>
          <w:szCs w:val="21"/>
        </w:rPr>
        <w:t>2012-13 (1),</w:t>
      </w:r>
      <w:r w:rsidR="00E6640A" w:rsidRPr="2433C7D0">
        <w:rPr>
          <w:rFonts w:eastAsia="Arial" w:cs="Arial"/>
          <w:szCs w:val="21"/>
        </w:rPr>
        <w:t xml:space="preserve"> </w:t>
      </w:r>
      <w:r w:rsidR="7B261E6F" w:rsidRPr="2433C7D0">
        <w:rPr>
          <w:rFonts w:eastAsia="Arial" w:cs="Arial"/>
          <w:szCs w:val="21"/>
        </w:rPr>
        <w:t>2013-14 (1),</w:t>
      </w:r>
      <w:r w:rsidR="00270F6A">
        <w:rPr>
          <w:rFonts w:eastAsia="Arial" w:cs="Arial"/>
          <w:szCs w:val="21"/>
        </w:rPr>
        <w:t xml:space="preserve"> </w:t>
      </w:r>
      <w:r w:rsidR="7B261E6F" w:rsidRPr="2433C7D0">
        <w:rPr>
          <w:rFonts w:eastAsia="Arial" w:cs="Arial"/>
          <w:szCs w:val="21"/>
        </w:rPr>
        <w:t>2017-18 (1), 2018-19 (</w:t>
      </w:r>
      <w:r w:rsidR="00C93C63">
        <w:rPr>
          <w:rFonts w:eastAsia="Arial" w:cs="Arial"/>
          <w:szCs w:val="21"/>
        </w:rPr>
        <w:t>21</w:t>
      </w:r>
      <w:r w:rsidR="7B261E6F" w:rsidRPr="2433C7D0">
        <w:rPr>
          <w:rFonts w:eastAsia="Arial" w:cs="Arial"/>
          <w:szCs w:val="21"/>
        </w:rPr>
        <w:t xml:space="preserve">), 2019-20 (2), 2021-22 (1) and 2022-23 (2).  </w:t>
      </w:r>
    </w:p>
    <w:p w14:paraId="569F47E6" w14:textId="1C32060D" w:rsidR="76BA5913" w:rsidRDefault="7B261E6F" w:rsidP="2433C7D0">
      <w:pPr>
        <w:rPr>
          <w:rFonts w:eastAsia="Arial" w:cs="Arial"/>
          <w:color w:val="000000" w:themeColor="text1"/>
          <w:szCs w:val="21"/>
        </w:rPr>
      </w:pPr>
      <w:r w:rsidRPr="2433C7D0">
        <w:rPr>
          <w:rFonts w:eastAsia="Arial" w:cs="Arial"/>
          <w:color w:val="000000" w:themeColor="text1"/>
          <w:szCs w:val="21"/>
        </w:rPr>
        <w:t xml:space="preserve">In summary, the enforcement actions against the TPG </w:t>
      </w:r>
      <w:r w:rsidR="00AF410F">
        <w:rPr>
          <w:rFonts w:eastAsia="Arial" w:cs="Arial"/>
          <w:color w:val="000000" w:themeColor="text1"/>
          <w:szCs w:val="21"/>
        </w:rPr>
        <w:t>g</w:t>
      </w:r>
      <w:r w:rsidRPr="2433C7D0">
        <w:rPr>
          <w:rFonts w:eastAsia="Arial" w:cs="Arial"/>
          <w:color w:val="000000" w:themeColor="text1"/>
          <w:szCs w:val="21"/>
        </w:rPr>
        <w:t>roup of companies concerned breaches of:</w:t>
      </w:r>
    </w:p>
    <w:p w14:paraId="66DC6327" w14:textId="2E20C600" w:rsidR="76BA5913" w:rsidRDefault="7B261E6F" w:rsidP="001019BA">
      <w:pPr>
        <w:pStyle w:val="ListParagraph"/>
        <w:numPr>
          <w:ilvl w:val="0"/>
          <w:numId w:val="1"/>
        </w:numPr>
        <w:spacing w:after="0"/>
        <w:rPr>
          <w:rFonts w:eastAsia="Arial" w:cs="Arial"/>
          <w:szCs w:val="21"/>
        </w:rPr>
      </w:pPr>
      <w:r w:rsidRPr="2433C7D0">
        <w:rPr>
          <w:rFonts w:eastAsia="Arial" w:cs="Arial"/>
          <w:color w:val="000000" w:themeColor="text1"/>
          <w:szCs w:val="21"/>
        </w:rPr>
        <w:t>t</w:t>
      </w:r>
      <w:r w:rsidRPr="2433C7D0">
        <w:rPr>
          <w:rFonts w:eastAsia="Arial" w:cs="Arial"/>
          <w:szCs w:val="21"/>
        </w:rPr>
        <w:t xml:space="preserve">he IPND Code and the </w:t>
      </w:r>
      <w:r w:rsidR="00AA7AED">
        <w:rPr>
          <w:rFonts w:eastAsia="Arial" w:cs="Arial"/>
          <w:szCs w:val="21"/>
        </w:rPr>
        <w:t>Tel Act</w:t>
      </w:r>
      <w:r w:rsidRPr="2433C7D0">
        <w:rPr>
          <w:rFonts w:eastAsia="Arial" w:cs="Arial"/>
          <w:szCs w:val="21"/>
        </w:rPr>
        <w:t>’s IPND rules</w:t>
      </w:r>
    </w:p>
    <w:p w14:paraId="6BB51C69" w14:textId="684F602F" w:rsidR="76BA5913" w:rsidRDefault="7B261E6F" w:rsidP="001019BA">
      <w:pPr>
        <w:pStyle w:val="ListParagraph"/>
        <w:numPr>
          <w:ilvl w:val="0"/>
          <w:numId w:val="1"/>
        </w:numPr>
        <w:spacing w:after="0"/>
        <w:rPr>
          <w:rFonts w:eastAsia="Arial" w:cs="Arial"/>
          <w:color w:val="000000" w:themeColor="text1"/>
          <w:szCs w:val="21"/>
        </w:rPr>
      </w:pPr>
      <w:r w:rsidRPr="2433C7D0">
        <w:rPr>
          <w:rFonts w:eastAsia="Arial" w:cs="Arial"/>
          <w:color w:val="000000" w:themeColor="text1"/>
          <w:szCs w:val="21"/>
        </w:rPr>
        <w:lastRenderedPageBreak/>
        <w:t>the Telecommunications (Consumer Complaints Handling) Industry Standard 2018</w:t>
      </w:r>
    </w:p>
    <w:p w14:paraId="2101EB90" w14:textId="117252AF" w:rsidR="76BA5913" w:rsidRDefault="00AF410F" w:rsidP="001019BA">
      <w:pPr>
        <w:pStyle w:val="ListParagraph"/>
        <w:numPr>
          <w:ilvl w:val="0"/>
          <w:numId w:val="1"/>
        </w:numPr>
        <w:spacing w:after="0"/>
        <w:rPr>
          <w:rFonts w:eastAsia="Arial" w:cs="Arial"/>
          <w:szCs w:val="21"/>
        </w:rPr>
      </w:pPr>
      <w:r>
        <w:rPr>
          <w:rFonts w:eastAsia="Arial" w:cs="Arial"/>
          <w:szCs w:val="21"/>
        </w:rPr>
        <w:t xml:space="preserve">the </w:t>
      </w:r>
      <w:r w:rsidR="7B261E6F" w:rsidRPr="2433C7D0">
        <w:rPr>
          <w:rFonts w:eastAsia="Arial" w:cs="Arial"/>
          <w:szCs w:val="21"/>
        </w:rPr>
        <w:t xml:space="preserve">Telecommunications (NBN Continuity of Service) Industry Standard 2018 </w:t>
      </w:r>
    </w:p>
    <w:p w14:paraId="01272397" w14:textId="5FAF9004" w:rsidR="76BA5913" w:rsidRDefault="00AF410F" w:rsidP="001019BA">
      <w:pPr>
        <w:pStyle w:val="ListParagraph"/>
        <w:numPr>
          <w:ilvl w:val="0"/>
          <w:numId w:val="1"/>
        </w:numPr>
        <w:spacing w:after="0"/>
        <w:rPr>
          <w:rFonts w:eastAsia="Arial" w:cs="Arial"/>
          <w:szCs w:val="21"/>
        </w:rPr>
      </w:pPr>
      <w:r>
        <w:rPr>
          <w:rFonts w:eastAsia="Arial" w:cs="Arial"/>
          <w:szCs w:val="21"/>
        </w:rPr>
        <w:t xml:space="preserve">the </w:t>
      </w:r>
      <w:r w:rsidR="7B261E6F" w:rsidRPr="2433C7D0">
        <w:rPr>
          <w:rFonts w:eastAsia="Arial" w:cs="Arial"/>
          <w:szCs w:val="21"/>
        </w:rPr>
        <w:t>Telecommunications Service Provider (NBN Service Migration) Determination 2018</w:t>
      </w:r>
    </w:p>
    <w:p w14:paraId="63DA4AAF" w14:textId="1E9C1250" w:rsidR="76BA5913" w:rsidRDefault="7B261E6F" w:rsidP="001019BA">
      <w:pPr>
        <w:pStyle w:val="ListParagraph"/>
        <w:numPr>
          <w:ilvl w:val="0"/>
          <w:numId w:val="1"/>
        </w:numPr>
        <w:spacing w:after="0"/>
        <w:rPr>
          <w:rFonts w:eastAsia="Arial" w:cs="Arial"/>
          <w:szCs w:val="21"/>
        </w:rPr>
      </w:pPr>
      <w:r w:rsidRPr="2433C7D0">
        <w:rPr>
          <w:rFonts w:eastAsia="Arial" w:cs="Arial"/>
          <w:szCs w:val="21"/>
        </w:rPr>
        <w:t xml:space="preserve">the Telecommunications (Emergency Call Service) Determination 2009  </w:t>
      </w:r>
    </w:p>
    <w:p w14:paraId="7875980F" w14:textId="339FC00E" w:rsidR="76BA5913" w:rsidRDefault="005B2EAE" w:rsidP="001019BA">
      <w:pPr>
        <w:pStyle w:val="ListParagraph"/>
        <w:numPr>
          <w:ilvl w:val="0"/>
          <w:numId w:val="1"/>
        </w:numPr>
        <w:spacing w:after="0"/>
        <w:rPr>
          <w:rFonts w:eastAsia="Arial" w:cs="Arial"/>
          <w:szCs w:val="21"/>
        </w:rPr>
      </w:pPr>
      <w:r>
        <w:rPr>
          <w:rFonts w:eastAsia="Arial" w:cs="Arial"/>
          <w:szCs w:val="21"/>
        </w:rPr>
        <w:t xml:space="preserve">the </w:t>
      </w:r>
      <w:r w:rsidR="7B261E6F" w:rsidRPr="2433C7D0">
        <w:rPr>
          <w:rFonts w:eastAsia="Arial" w:cs="Arial"/>
          <w:szCs w:val="21"/>
        </w:rPr>
        <w:t xml:space="preserve">Telecommunications (Service Provider Identity Checks for Prepaid Mobile Carriage Services) Determination 2017 </w:t>
      </w:r>
    </w:p>
    <w:p w14:paraId="5D753303" w14:textId="09707E54" w:rsidR="00133E43" w:rsidRDefault="7B261E6F" w:rsidP="001019BA">
      <w:pPr>
        <w:pStyle w:val="ListParagraph"/>
        <w:numPr>
          <w:ilvl w:val="0"/>
          <w:numId w:val="1"/>
        </w:numPr>
        <w:spacing w:after="0"/>
        <w:rPr>
          <w:rFonts w:eastAsia="Arial" w:cs="Arial"/>
          <w:szCs w:val="21"/>
        </w:rPr>
      </w:pPr>
      <w:r w:rsidRPr="2433C7D0">
        <w:rPr>
          <w:rFonts w:eastAsia="Arial" w:cs="Arial"/>
          <w:szCs w:val="21"/>
        </w:rPr>
        <w:t>priority assistance-related obligations</w:t>
      </w:r>
    </w:p>
    <w:p w14:paraId="21B3D747" w14:textId="3D26935D" w:rsidR="76BA5913" w:rsidRDefault="7B261E6F" w:rsidP="001019BA">
      <w:pPr>
        <w:pStyle w:val="ListParagraph"/>
        <w:numPr>
          <w:ilvl w:val="0"/>
          <w:numId w:val="1"/>
        </w:numPr>
        <w:spacing w:after="0"/>
      </w:pPr>
      <w:r w:rsidRPr="005C25C0">
        <w:rPr>
          <w:rFonts w:eastAsia="Arial" w:cs="Arial"/>
        </w:rPr>
        <w:t>the TCP Code, including provisions relating to complaint handling and to credit and debt management.</w:t>
      </w:r>
    </w:p>
    <w:p w14:paraId="6467A996" w14:textId="70D5A96B" w:rsidR="005A4293" w:rsidRPr="005A4293" w:rsidRDefault="001150EC" w:rsidP="001150EC">
      <w:pPr>
        <w:pStyle w:val="Heading2"/>
      </w:pPr>
      <w:bookmarkStart w:id="204" w:name="_Toc161836193"/>
      <w:r>
        <w:t>E</w:t>
      </w:r>
      <w:r>
        <w:tab/>
      </w:r>
      <w:bookmarkStart w:id="205" w:name="MostInvestigatedandEnforcedProvisions"/>
      <w:r w:rsidR="289B8369">
        <w:t>P</w:t>
      </w:r>
      <w:r w:rsidR="0A771812">
        <w:t>rovisions</w:t>
      </w:r>
      <w:bookmarkEnd w:id="200"/>
      <w:bookmarkEnd w:id="201"/>
      <w:bookmarkEnd w:id="202"/>
      <w:bookmarkEnd w:id="203"/>
      <w:r w:rsidR="3E8F0FAC">
        <w:t xml:space="preserve"> with the Most Enforcement Actions</w:t>
      </w:r>
      <w:r w:rsidR="0A771812">
        <w:t> </w:t>
      </w:r>
      <w:r w:rsidR="16783A49">
        <w:t>in Publi</w:t>
      </w:r>
      <w:r w:rsidR="6CD2F069">
        <w:t xml:space="preserve">shed </w:t>
      </w:r>
      <w:r w:rsidR="16783A49">
        <w:t>Investigations</w:t>
      </w:r>
      <w:bookmarkEnd w:id="204"/>
      <w:r w:rsidR="0A771812">
        <w:t> </w:t>
      </w:r>
      <w:bookmarkEnd w:id="205"/>
    </w:p>
    <w:p w14:paraId="77E1C94A" w14:textId="5E96A197" w:rsidR="005A4293" w:rsidRPr="0058429A" w:rsidRDefault="6BB1CBA6" w:rsidP="005A4293">
      <w:pPr>
        <w:spacing w:after="0" w:line="240" w:lineRule="auto"/>
        <w:textAlignment w:val="baseline"/>
        <w:rPr>
          <w:rFonts w:eastAsia="Times New Roman" w:cs="Arial"/>
          <w:sz w:val="24"/>
          <w:szCs w:val="24"/>
          <w:lang w:eastAsia="en-AU"/>
        </w:rPr>
      </w:pPr>
      <w:r w:rsidRPr="4F14E9D8">
        <w:rPr>
          <w:rFonts w:eastAsia="Times New Roman" w:cs="Arial"/>
          <w:lang w:eastAsia="en-AU"/>
        </w:rPr>
        <w:t>The provisions (or combinations of provisions)</w:t>
      </w:r>
      <w:r w:rsidR="2FA5430A" w:rsidRPr="4F14E9D8">
        <w:rPr>
          <w:rFonts w:eastAsia="Times New Roman" w:cs="Arial"/>
          <w:lang w:eastAsia="en-AU"/>
        </w:rPr>
        <w:t xml:space="preserve"> that attracted the </w:t>
      </w:r>
      <w:r w:rsidR="5F468377" w:rsidRPr="4F14E9D8">
        <w:rPr>
          <w:rFonts w:eastAsia="Times New Roman" w:cs="Arial"/>
          <w:lang w:eastAsia="en-AU"/>
        </w:rPr>
        <w:t xml:space="preserve">most </w:t>
      </w:r>
      <w:r w:rsidR="2FA5430A" w:rsidRPr="4F14E9D8">
        <w:rPr>
          <w:rFonts w:eastAsia="Times New Roman" w:cs="Arial"/>
          <w:lang w:eastAsia="en-AU"/>
        </w:rPr>
        <w:t>enforcement actions</w:t>
      </w:r>
      <w:r w:rsidRPr="4F14E9D8">
        <w:rPr>
          <w:rFonts w:eastAsia="Times New Roman" w:cs="Arial"/>
          <w:lang w:eastAsia="en-AU"/>
        </w:rPr>
        <w:t xml:space="preserve"> </w:t>
      </w:r>
      <w:r w:rsidR="3F643E00" w:rsidRPr="4F14E9D8">
        <w:rPr>
          <w:rFonts w:eastAsia="Times New Roman" w:cs="Arial"/>
          <w:lang w:eastAsia="en-AU"/>
        </w:rPr>
        <w:t xml:space="preserve">in </w:t>
      </w:r>
      <w:r w:rsidR="52744BA0" w:rsidRPr="4F14E9D8">
        <w:rPr>
          <w:rFonts w:eastAsia="Times New Roman" w:cs="Arial"/>
          <w:lang w:eastAsia="en-AU"/>
        </w:rPr>
        <w:t>published</w:t>
      </w:r>
      <w:r w:rsidR="3F643E00" w:rsidRPr="4F14E9D8">
        <w:rPr>
          <w:rFonts w:eastAsia="Times New Roman" w:cs="Arial"/>
          <w:lang w:eastAsia="en-AU"/>
        </w:rPr>
        <w:t xml:space="preserve"> investigations </w:t>
      </w:r>
      <w:r w:rsidRPr="4F14E9D8">
        <w:rPr>
          <w:rFonts w:eastAsia="Times New Roman" w:cs="Arial"/>
          <w:lang w:eastAsia="en-AU"/>
        </w:rPr>
        <w:t>involved the following.</w:t>
      </w:r>
      <w:r w:rsidR="00B4242E">
        <w:rPr>
          <w:rFonts w:eastAsia="Times New Roman" w:cs="Arial"/>
          <w:lang w:eastAsia="en-AU"/>
        </w:rPr>
        <w:t xml:space="preserve"> </w:t>
      </w:r>
    </w:p>
    <w:p w14:paraId="2BF40802" w14:textId="77777777" w:rsidR="005A4293" w:rsidRPr="005A4293" w:rsidRDefault="005A4293" w:rsidP="005A4293">
      <w:pPr>
        <w:spacing w:after="0" w:line="240" w:lineRule="auto"/>
        <w:textAlignment w:val="baseline"/>
        <w:rPr>
          <w:rFonts w:ascii="Times New Roman" w:eastAsia="Times New Roman" w:hAnsi="Times New Roman" w:cs="Times New Roman"/>
          <w:sz w:val="24"/>
          <w:szCs w:val="24"/>
          <w:lang w:eastAsia="en-AU"/>
        </w:rPr>
      </w:pPr>
    </w:p>
    <w:p w14:paraId="4BE3EC66" w14:textId="7769A2FB" w:rsidR="005A4293" w:rsidRPr="00BB4D6B" w:rsidRDefault="5326EC40" w:rsidP="00FB2891">
      <w:pPr>
        <w:pStyle w:val="Bullets"/>
        <w:rPr>
          <w:rFonts w:ascii="Times New Roman" w:hAnsi="Times New Roman" w:cs="Times New Roman"/>
          <w:sz w:val="24"/>
          <w:szCs w:val="24"/>
          <w:lang w:eastAsia="en-AU"/>
        </w:rPr>
      </w:pPr>
      <w:r w:rsidRPr="31481F43">
        <w:rPr>
          <w:lang w:eastAsia="en-AU"/>
        </w:rPr>
        <w:t xml:space="preserve">The </w:t>
      </w:r>
      <w:r w:rsidRPr="012B875B">
        <w:rPr>
          <w:lang w:eastAsia="en-AU"/>
        </w:rPr>
        <w:t>o</w:t>
      </w:r>
      <w:r w:rsidR="08374824" w:rsidRPr="012B875B">
        <w:rPr>
          <w:lang w:eastAsia="en-AU"/>
        </w:rPr>
        <w:t>bligation</w:t>
      </w:r>
      <w:r w:rsidR="08374824" w:rsidRPr="31481F43">
        <w:rPr>
          <w:lang w:eastAsia="en-AU"/>
        </w:rPr>
        <w:t xml:space="preserve"> </w:t>
      </w:r>
      <w:r w:rsidR="3C6A3794" w:rsidRPr="31481F43">
        <w:rPr>
          <w:lang w:eastAsia="en-AU"/>
        </w:rPr>
        <w:t xml:space="preserve">to provide Communications Compliance with compliance attestation </w:t>
      </w:r>
      <w:r w:rsidR="3C6A3794" w:rsidRPr="00B24418">
        <w:rPr>
          <w:lang w:eastAsia="en-AU"/>
        </w:rPr>
        <w:t>documentation</w:t>
      </w:r>
      <w:r w:rsidR="00B24418">
        <w:rPr>
          <w:lang w:eastAsia="en-AU"/>
        </w:rPr>
        <w:t>.</w:t>
      </w:r>
      <w:r w:rsidR="00B24418">
        <w:rPr>
          <w:rStyle w:val="FootnoteReference"/>
          <w:lang w:eastAsia="en-AU"/>
        </w:rPr>
        <w:footnoteReference w:id="236"/>
      </w:r>
      <w:r w:rsidR="643D2AE5" w:rsidRPr="00B24418">
        <w:rPr>
          <w:lang w:eastAsia="en-AU"/>
        </w:rPr>
        <w:t xml:space="preserve"> </w:t>
      </w:r>
      <w:r w:rsidR="3C6A3794" w:rsidRPr="31481F43">
        <w:rPr>
          <w:lang w:eastAsia="en-AU"/>
        </w:rPr>
        <w:t xml:space="preserve">Attestation documentation explains </w:t>
      </w:r>
      <w:r w:rsidR="3C6A3794" w:rsidRPr="31481F43">
        <w:rPr>
          <w:rFonts w:cs="Arial"/>
          <w:lang w:eastAsia="en-AU"/>
        </w:rPr>
        <w:t xml:space="preserve">if and how service providers are compliant with the TCP Code. The documentation must be endorsed by the company’s CEO or some other senior manager. </w:t>
      </w:r>
      <w:r w:rsidR="0AC3D137" w:rsidRPr="31481F43">
        <w:rPr>
          <w:rFonts w:cs="Arial"/>
          <w:lang w:eastAsia="en-AU"/>
        </w:rPr>
        <w:t xml:space="preserve">There were </w:t>
      </w:r>
      <w:r w:rsidR="000D268E">
        <w:rPr>
          <w:rFonts w:cs="Arial"/>
          <w:lang w:eastAsia="en-AU"/>
        </w:rPr>
        <w:t>240</w:t>
      </w:r>
      <w:r w:rsidR="0AC3D137" w:rsidRPr="31481F43">
        <w:rPr>
          <w:rFonts w:cs="Arial"/>
          <w:lang w:eastAsia="en-AU"/>
        </w:rPr>
        <w:t xml:space="preserve"> enforcement actions relating to these requirements.</w:t>
      </w:r>
    </w:p>
    <w:p w14:paraId="5F68392C" w14:textId="1E5D7314" w:rsidR="00BA20B0" w:rsidRPr="00BB4D6B" w:rsidRDefault="08374824" w:rsidP="00BA20B0">
      <w:pPr>
        <w:pStyle w:val="Bullets"/>
        <w:rPr>
          <w:lang w:eastAsia="en-AU"/>
        </w:rPr>
      </w:pPr>
      <w:r w:rsidRPr="004A18D6">
        <w:rPr>
          <w:lang w:eastAsia="en-AU"/>
        </w:rPr>
        <w:t>Provision of IPND-related information</w:t>
      </w:r>
      <w:r w:rsidR="3F64D60E" w:rsidRPr="004A18D6">
        <w:rPr>
          <w:lang w:eastAsia="en-AU"/>
        </w:rPr>
        <w:t>.</w:t>
      </w:r>
      <w:r w:rsidR="00DC3C16" w:rsidRPr="004A18D6">
        <w:rPr>
          <w:rStyle w:val="FootnoteReference"/>
          <w:lang w:eastAsia="en-AU"/>
        </w:rPr>
        <w:footnoteReference w:id="237"/>
      </w:r>
      <w:r w:rsidRPr="012B875B">
        <w:rPr>
          <w:lang w:eastAsia="en-AU"/>
        </w:rPr>
        <w:t xml:space="preserve"> </w:t>
      </w:r>
      <w:r w:rsidR="1F254738" w:rsidRPr="024BE22E">
        <w:rPr>
          <w:lang w:eastAsia="en-AU"/>
        </w:rPr>
        <w:t xml:space="preserve">The </w:t>
      </w:r>
      <w:r w:rsidR="00AA7AED">
        <w:rPr>
          <w:lang w:eastAsia="en-AU"/>
        </w:rPr>
        <w:t>Tel Act</w:t>
      </w:r>
      <w:r w:rsidR="1F254738" w:rsidRPr="024BE22E">
        <w:rPr>
          <w:lang w:eastAsia="en-AU"/>
        </w:rPr>
        <w:t xml:space="preserve"> requires </w:t>
      </w:r>
      <w:r w:rsidR="18B7E3B5" w:rsidRPr="7EAC658F">
        <w:rPr>
          <w:lang w:eastAsia="en-AU"/>
        </w:rPr>
        <w:t xml:space="preserve">carriage service </w:t>
      </w:r>
      <w:r w:rsidR="18B7E3B5" w:rsidRPr="637AFCFA">
        <w:rPr>
          <w:lang w:eastAsia="en-AU"/>
        </w:rPr>
        <w:t>providers</w:t>
      </w:r>
      <w:r w:rsidR="18B7E3B5" w:rsidRPr="7EAC658F">
        <w:rPr>
          <w:lang w:eastAsia="en-AU"/>
        </w:rPr>
        <w:t xml:space="preserve"> to </w:t>
      </w:r>
      <w:r w:rsidR="00166ACE" w:rsidRPr="27E57E23">
        <w:rPr>
          <w:lang w:eastAsia="en-AU"/>
        </w:rPr>
        <w:t>give</w:t>
      </w:r>
      <w:r w:rsidR="00C157B1" w:rsidRPr="27E57E23">
        <w:rPr>
          <w:lang w:eastAsia="en-AU"/>
        </w:rPr>
        <w:t xml:space="preserve"> </w:t>
      </w:r>
      <w:r w:rsidR="48E220DC" w:rsidRPr="0D87A469">
        <w:rPr>
          <w:lang w:eastAsia="en-AU"/>
        </w:rPr>
        <w:t>certain information to Telstra</w:t>
      </w:r>
      <w:r w:rsidR="48E220DC" w:rsidRPr="4A3ACD3E">
        <w:rPr>
          <w:lang w:eastAsia="en-AU"/>
        </w:rPr>
        <w:t xml:space="preserve"> </w:t>
      </w:r>
      <w:r w:rsidR="48E220DC" w:rsidRPr="76F3F8A0">
        <w:rPr>
          <w:lang w:eastAsia="en-AU"/>
        </w:rPr>
        <w:t>which is required</w:t>
      </w:r>
      <w:r w:rsidR="48E220DC" w:rsidRPr="0747BE47">
        <w:rPr>
          <w:lang w:eastAsia="en-AU"/>
        </w:rPr>
        <w:t xml:space="preserve"> </w:t>
      </w:r>
      <w:r w:rsidR="48E220DC" w:rsidRPr="7CF868F0">
        <w:rPr>
          <w:lang w:eastAsia="en-AU"/>
        </w:rPr>
        <w:t xml:space="preserve">by its carrier </w:t>
      </w:r>
      <w:r w:rsidR="48E220DC" w:rsidRPr="3560ACC0">
        <w:rPr>
          <w:lang w:eastAsia="en-AU"/>
        </w:rPr>
        <w:t xml:space="preserve">licence to </w:t>
      </w:r>
      <w:r w:rsidR="48E220DC" w:rsidRPr="007DEA47">
        <w:rPr>
          <w:lang w:eastAsia="en-AU"/>
        </w:rPr>
        <w:t xml:space="preserve">provide </w:t>
      </w:r>
      <w:r w:rsidR="48E220DC" w:rsidRPr="0445D1DB">
        <w:rPr>
          <w:lang w:eastAsia="en-AU"/>
        </w:rPr>
        <w:t xml:space="preserve">and maintain </w:t>
      </w:r>
      <w:r w:rsidR="000E5EDA" w:rsidRPr="27E57E23">
        <w:rPr>
          <w:lang w:eastAsia="en-AU"/>
        </w:rPr>
        <w:t xml:space="preserve">the </w:t>
      </w:r>
      <w:r w:rsidR="48E220DC" w:rsidRPr="7F006C46">
        <w:rPr>
          <w:lang w:eastAsia="en-AU"/>
        </w:rPr>
        <w:t>integr</w:t>
      </w:r>
      <w:r w:rsidR="2782FEF8" w:rsidRPr="7F006C46">
        <w:rPr>
          <w:lang w:eastAsia="en-AU"/>
        </w:rPr>
        <w:t xml:space="preserve">ated </w:t>
      </w:r>
      <w:r w:rsidR="2782FEF8" w:rsidRPr="66FF1C8F">
        <w:rPr>
          <w:lang w:eastAsia="en-AU"/>
        </w:rPr>
        <w:t xml:space="preserve">public number </w:t>
      </w:r>
      <w:r w:rsidR="2782FEF8" w:rsidRPr="43680F99">
        <w:rPr>
          <w:lang w:eastAsia="en-AU"/>
        </w:rPr>
        <w:t>database.</w:t>
      </w:r>
      <w:r w:rsidR="48E220DC" w:rsidRPr="7CF868F0">
        <w:rPr>
          <w:lang w:eastAsia="en-AU"/>
        </w:rPr>
        <w:t xml:space="preserve"> </w:t>
      </w:r>
      <w:r w:rsidRPr="006F566F">
        <w:rPr>
          <w:lang w:eastAsia="en-AU"/>
        </w:rPr>
        <w:t xml:space="preserve">Under </w:t>
      </w:r>
      <w:r w:rsidR="3AE80915" w:rsidRPr="006F566F">
        <w:rPr>
          <w:lang w:eastAsia="en-AU"/>
        </w:rPr>
        <w:t>Industry Code (C555) Integrated Public Number Database</w:t>
      </w:r>
      <w:r w:rsidRPr="006F566F">
        <w:rPr>
          <w:lang w:eastAsia="en-AU"/>
        </w:rPr>
        <w:t>,</w:t>
      </w:r>
      <w:r w:rsidRPr="012B875B">
        <w:rPr>
          <w:lang w:eastAsia="en-AU"/>
        </w:rPr>
        <w:t xml:space="preserve"> </w:t>
      </w:r>
      <w:r w:rsidR="29FC2784" w:rsidRPr="31481F43">
        <w:rPr>
          <w:lang w:eastAsia="en-AU"/>
        </w:rPr>
        <w:t xml:space="preserve">carriage service providers must </w:t>
      </w:r>
      <w:r w:rsidR="6FCD3A7A" w:rsidRPr="0E4E3709">
        <w:rPr>
          <w:lang w:eastAsia="en-AU"/>
        </w:rPr>
        <w:t>(</w:t>
      </w:r>
      <w:r w:rsidR="6FCD3A7A" w:rsidRPr="54F26317">
        <w:rPr>
          <w:lang w:eastAsia="en-AU"/>
        </w:rPr>
        <w:t xml:space="preserve">among other things) </w:t>
      </w:r>
      <w:r w:rsidR="29FC2784" w:rsidRPr="31481F43">
        <w:rPr>
          <w:lang w:eastAsia="en-AU"/>
        </w:rPr>
        <w:t xml:space="preserve">provide </w:t>
      </w:r>
      <w:r w:rsidR="00826F15" w:rsidRPr="012B875B">
        <w:rPr>
          <w:rFonts w:cs="Arial"/>
          <w:lang w:eastAsia="en-AU"/>
        </w:rPr>
        <w:t>specified customer data for each public telephone number they assign to a customer</w:t>
      </w:r>
      <w:r w:rsidR="00826F15" w:rsidRPr="012B875B" w:rsidDel="00826F15">
        <w:rPr>
          <w:lang w:eastAsia="en-AU"/>
        </w:rPr>
        <w:t xml:space="preserve"> </w:t>
      </w:r>
      <w:r w:rsidRPr="012B875B">
        <w:rPr>
          <w:lang w:eastAsia="en-AU"/>
        </w:rPr>
        <w:t>to the Integrated Public Number Database Manager (IPND Manager</w:t>
      </w:r>
      <w:r w:rsidRPr="7013F19B">
        <w:rPr>
          <w:lang w:eastAsia="en-AU"/>
        </w:rPr>
        <w:t>)</w:t>
      </w:r>
      <w:r w:rsidR="211A099B" w:rsidRPr="7013F19B">
        <w:rPr>
          <w:lang w:eastAsia="en-AU"/>
        </w:rPr>
        <w:t>.</w:t>
      </w:r>
      <w:r w:rsidR="006F566F">
        <w:rPr>
          <w:rStyle w:val="FootnoteReference"/>
          <w:lang w:eastAsia="en-AU"/>
        </w:rPr>
        <w:footnoteReference w:id="238"/>
      </w:r>
      <w:r w:rsidR="211A099B" w:rsidRPr="31481F43">
        <w:rPr>
          <w:lang w:eastAsia="en-AU"/>
        </w:rPr>
        <w:t xml:space="preserve"> </w:t>
      </w:r>
      <w:r w:rsidRPr="012B875B">
        <w:rPr>
          <w:lang w:eastAsia="en-AU"/>
        </w:rPr>
        <w:t xml:space="preserve"> </w:t>
      </w:r>
      <w:r w:rsidRPr="012B875B">
        <w:rPr>
          <w:rFonts w:cs="Arial"/>
          <w:lang w:eastAsia="en-AU"/>
        </w:rPr>
        <w:t>The IPND Manager stores this information in a register which can be used by emergency services.</w:t>
      </w:r>
      <w:r w:rsidR="43F73B4F" w:rsidRPr="31481F43">
        <w:rPr>
          <w:rFonts w:cs="Arial"/>
          <w:lang w:eastAsia="en-AU"/>
        </w:rPr>
        <w:t xml:space="preserve"> There were </w:t>
      </w:r>
      <w:r w:rsidR="002C543F">
        <w:rPr>
          <w:rFonts w:cs="Arial"/>
          <w:lang w:eastAsia="en-AU"/>
        </w:rPr>
        <w:t>7</w:t>
      </w:r>
      <w:r w:rsidR="00971C29">
        <w:rPr>
          <w:rFonts w:cs="Arial"/>
          <w:lang w:eastAsia="en-AU"/>
        </w:rPr>
        <w:t>3</w:t>
      </w:r>
      <w:r w:rsidR="43F73B4F" w:rsidRPr="31481F43">
        <w:rPr>
          <w:rFonts w:cs="Arial"/>
          <w:lang w:eastAsia="en-AU"/>
        </w:rPr>
        <w:t xml:space="preserve"> enforcement actions relating to </w:t>
      </w:r>
      <w:r w:rsidR="6146508E" w:rsidRPr="22F735BD">
        <w:rPr>
          <w:rFonts w:cs="Arial"/>
          <w:lang w:eastAsia="en-AU"/>
        </w:rPr>
        <w:t xml:space="preserve">IPND </w:t>
      </w:r>
      <w:r w:rsidR="43F73B4F" w:rsidRPr="31481F43">
        <w:rPr>
          <w:rFonts w:cs="Arial"/>
          <w:lang w:eastAsia="en-AU"/>
        </w:rPr>
        <w:t>requirements</w:t>
      </w:r>
      <w:r w:rsidR="601D30B2" w:rsidRPr="31481F43">
        <w:rPr>
          <w:rFonts w:cs="Arial"/>
          <w:lang w:eastAsia="en-AU"/>
        </w:rPr>
        <w:t xml:space="preserve">. Of these, </w:t>
      </w:r>
      <w:r w:rsidR="00455F63">
        <w:rPr>
          <w:rFonts w:cs="Arial"/>
          <w:lang w:eastAsia="en-AU"/>
        </w:rPr>
        <w:t>3</w:t>
      </w:r>
      <w:r w:rsidR="00971C29">
        <w:rPr>
          <w:rFonts w:cs="Arial"/>
          <w:lang w:eastAsia="en-AU"/>
        </w:rPr>
        <w:t>8</w:t>
      </w:r>
      <w:r w:rsidR="601D30B2" w:rsidRPr="31481F43">
        <w:rPr>
          <w:rFonts w:cs="Arial"/>
          <w:lang w:eastAsia="en-AU"/>
        </w:rPr>
        <w:t xml:space="preserve"> </w:t>
      </w:r>
      <w:r w:rsidR="0094337B">
        <w:rPr>
          <w:rFonts w:cs="Arial"/>
          <w:lang w:eastAsia="en-AU"/>
        </w:rPr>
        <w:t>are</w:t>
      </w:r>
      <w:r w:rsidR="601D30B2" w:rsidRPr="31481F43">
        <w:rPr>
          <w:rFonts w:cs="Arial"/>
          <w:lang w:eastAsia="en-AU"/>
        </w:rPr>
        <w:t xml:space="preserve"> related to the </w:t>
      </w:r>
      <w:r w:rsidR="00AA7AED">
        <w:rPr>
          <w:rFonts w:cs="Arial"/>
          <w:lang w:eastAsia="en-AU"/>
        </w:rPr>
        <w:t>Tel Act</w:t>
      </w:r>
      <w:r w:rsidR="601D30B2" w:rsidRPr="31481F43">
        <w:rPr>
          <w:rFonts w:cs="Arial"/>
          <w:lang w:eastAsia="en-AU"/>
        </w:rPr>
        <w:t xml:space="preserve"> obligations and 35 </w:t>
      </w:r>
      <w:r w:rsidR="0094337B">
        <w:rPr>
          <w:rFonts w:cs="Arial"/>
          <w:lang w:eastAsia="en-AU"/>
        </w:rPr>
        <w:t xml:space="preserve">are </w:t>
      </w:r>
      <w:r w:rsidR="601D30B2" w:rsidRPr="31481F43">
        <w:rPr>
          <w:rFonts w:cs="Arial"/>
          <w:lang w:eastAsia="en-AU"/>
        </w:rPr>
        <w:t xml:space="preserve">related to the IPND Code obligations. </w:t>
      </w:r>
    </w:p>
    <w:p w14:paraId="10676B95" w14:textId="0A1A6263" w:rsidR="005A4293" w:rsidRPr="00B4242E" w:rsidRDefault="15F8FD46" w:rsidP="00FB2891">
      <w:pPr>
        <w:pStyle w:val="Bullets"/>
        <w:rPr>
          <w:lang w:eastAsia="en-AU"/>
        </w:rPr>
      </w:pPr>
      <w:r w:rsidRPr="14843A32">
        <w:rPr>
          <w:lang w:eastAsia="en-AU"/>
        </w:rPr>
        <w:t xml:space="preserve">Provisions relating to </w:t>
      </w:r>
      <w:r w:rsidR="00BD4B2E">
        <w:rPr>
          <w:lang w:eastAsia="en-AU"/>
        </w:rPr>
        <w:t>complaints handling.</w:t>
      </w:r>
      <w:r w:rsidR="00900AFA">
        <w:rPr>
          <w:rStyle w:val="FootnoteReference"/>
          <w:lang w:eastAsia="en-AU"/>
        </w:rPr>
        <w:footnoteReference w:id="239"/>
      </w:r>
      <w:r w:rsidR="00BD4B2E">
        <w:rPr>
          <w:lang w:eastAsia="en-AU"/>
        </w:rPr>
        <w:t xml:space="preserve"> </w:t>
      </w:r>
      <w:r w:rsidR="009876F8">
        <w:rPr>
          <w:lang w:eastAsia="en-AU"/>
        </w:rPr>
        <w:t xml:space="preserve">Telecommunications providers are required to </w:t>
      </w:r>
      <w:r w:rsidR="00F5693D" w:rsidRPr="14843A32">
        <w:rPr>
          <w:lang w:eastAsia="en-AU"/>
        </w:rPr>
        <w:t xml:space="preserve">establish complaints handling mechanisms </w:t>
      </w:r>
      <w:r w:rsidR="009876F8" w:rsidRPr="012B875B">
        <w:rPr>
          <w:rFonts w:cs="Arial"/>
          <w:lang w:eastAsia="en-AU"/>
        </w:rPr>
        <w:t>and</w:t>
      </w:r>
      <w:r w:rsidRPr="14843A32">
        <w:rPr>
          <w:rFonts w:cs="Arial"/>
          <w:lang w:eastAsia="en-AU"/>
        </w:rPr>
        <w:t xml:space="preserve"> to have proper mechanisms in place to handle and resolve customer complaints.</w:t>
      </w:r>
      <w:r w:rsidR="00C536D2">
        <w:rPr>
          <w:rFonts w:cs="Arial"/>
          <w:lang w:eastAsia="en-AU"/>
        </w:rPr>
        <w:t xml:space="preserve"> There were </w:t>
      </w:r>
      <w:r w:rsidR="00514909">
        <w:rPr>
          <w:rFonts w:cs="Arial"/>
          <w:lang w:eastAsia="en-AU"/>
        </w:rPr>
        <w:t>49</w:t>
      </w:r>
      <w:r w:rsidR="00D363CB">
        <w:rPr>
          <w:rFonts w:cs="Arial"/>
          <w:lang w:eastAsia="en-AU"/>
        </w:rPr>
        <w:t xml:space="preserve"> </w:t>
      </w:r>
      <w:r w:rsidR="00C536D2">
        <w:rPr>
          <w:rFonts w:cs="Arial"/>
          <w:lang w:eastAsia="en-AU"/>
        </w:rPr>
        <w:t xml:space="preserve">enforcement action relating to these requirements. </w:t>
      </w:r>
    </w:p>
    <w:p w14:paraId="750137B3" w14:textId="0FF60B2C" w:rsidR="00B4242E" w:rsidRPr="005C0F8D" w:rsidRDefault="00B4242E" w:rsidP="00B4242E">
      <w:pPr>
        <w:pStyle w:val="Bullets"/>
        <w:rPr>
          <w:rFonts w:cs="Arial"/>
          <w:lang w:eastAsia="en-AU"/>
        </w:rPr>
      </w:pPr>
      <w:r w:rsidRPr="012B875B">
        <w:rPr>
          <w:rFonts w:cs="Arial"/>
          <w:lang w:eastAsia="en-AU"/>
        </w:rPr>
        <w:t xml:space="preserve">Provisions </w:t>
      </w:r>
      <w:r w:rsidR="00F37889" w:rsidRPr="012B875B">
        <w:rPr>
          <w:rFonts w:cs="Arial"/>
          <w:lang w:eastAsia="en-AU"/>
        </w:rPr>
        <w:t xml:space="preserve">in the TCP Code </w:t>
      </w:r>
      <w:r w:rsidRPr="012B875B">
        <w:rPr>
          <w:rFonts w:cs="Arial"/>
          <w:lang w:eastAsia="en-AU"/>
        </w:rPr>
        <w:t xml:space="preserve">relating to </w:t>
      </w:r>
      <w:r w:rsidR="00F37889" w:rsidRPr="012B875B">
        <w:rPr>
          <w:rFonts w:cs="Arial"/>
          <w:lang w:eastAsia="en-AU"/>
        </w:rPr>
        <w:t>advertising and the provision of information to customers.</w:t>
      </w:r>
      <w:r w:rsidR="002D76C7">
        <w:rPr>
          <w:rStyle w:val="FootnoteReference"/>
          <w:rFonts w:cs="Arial"/>
          <w:lang w:eastAsia="en-AU"/>
        </w:rPr>
        <w:footnoteReference w:id="240"/>
      </w:r>
      <w:r w:rsidR="00F37889" w:rsidRPr="012B875B">
        <w:rPr>
          <w:rFonts w:cs="Arial"/>
          <w:lang w:eastAsia="en-AU"/>
        </w:rPr>
        <w:t xml:space="preserve"> </w:t>
      </w:r>
      <w:r w:rsidR="005C3BB1" w:rsidRPr="012B875B">
        <w:rPr>
          <w:rFonts w:cs="Arial"/>
          <w:lang w:eastAsia="en-AU"/>
        </w:rPr>
        <w:t>For example, cl</w:t>
      </w:r>
      <w:r w:rsidR="00C3414E" w:rsidRPr="27E57E23">
        <w:rPr>
          <w:rFonts w:cs="Arial"/>
          <w:lang w:eastAsia="en-AU"/>
        </w:rPr>
        <w:t>ause</w:t>
      </w:r>
      <w:r w:rsidR="005C3BB1" w:rsidRPr="012B875B">
        <w:rPr>
          <w:rFonts w:cs="Arial"/>
          <w:lang w:eastAsia="en-AU"/>
        </w:rPr>
        <w:t xml:space="preserve"> 4.1 of the current code </w:t>
      </w:r>
      <w:r w:rsidR="00AF1551" w:rsidRPr="012B875B">
        <w:rPr>
          <w:rFonts w:cs="Arial"/>
          <w:lang w:eastAsia="en-AU"/>
        </w:rPr>
        <w:t xml:space="preserve">imposes rules around </w:t>
      </w:r>
      <w:r w:rsidR="00C3414E" w:rsidRPr="27E57E23">
        <w:rPr>
          <w:rFonts w:cs="Arial"/>
          <w:lang w:eastAsia="en-AU"/>
        </w:rPr>
        <w:t>the content of advertising, such as the use of terms</w:t>
      </w:r>
      <w:r w:rsidR="00CD0E63" w:rsidRPr="27E57E23">
        <w:rPr>
          <w:rFonts w:cs="Arial"/>
          <w:lang w:eastAsia="en-AU"/>
        </w:rPr>
        <w:t xml:space="preserve"> ‘unlimited’ or </w:t>
      </w:r>
      <w:r w:rsidR="00CB0A90" w:rsidRPr="27E57E23">
        <w:rPr>
          <w:rFonts w:cs="Arial"/>
          <w:lang w:eastAsia="en-AU"/>
        </w:rPr>
        <w:t>‘free’</w:t>
      </w:r>
      <w:r w:rsidR="00AF1551" w:rsidRPr="012B875B">
        <w:rPr>
          <w:rFonts w:cs="Arial"/>
          <w:lang w:eastAsia="en-AU"/>
        </w:rPr>
        <w:t xml:space="preserve">, while clause </w:t>
      </w:r>
      <w:r w:rsidR="00AF1551" w:rsidRPr="012B875B">
        <w:rPr>
          <w:rFonts w:cs="Arial"/>
          <w:lang w:eastAsia="en-AU"/>
        </w:rPr>
        <w:lastRenderedPageBreak/>
        <w:t>4.</w:t>
      </w:r>
      <w:r w:rsidR="005312BD" w:rsidRPr="27E57E23">
        <w:rPr>
          <w:rFonts w:cs="Arial"/>
          <w:lang w:eastAsia="en-AU"/>
        </w:rPr>
        <w:t>2</w:t>
      </w:r>
      <w:r w:rsidR="00AF1551" w:rsidRPr="012B875B">
        <w:rPr>
          <w:rFonts w:cs="Arial"/>
          <w:lang w:eastAsia="en-AU"/>
        </w:rPr>
        <w:t xml:space="preserve"> requires the provision of a Critical I</w:t>
      </w:r>
      <w:r w:rsidR="005F4705" w:rsidRPr="012B875B">
        <w:rPr>
          <w:rFonts w:cs="Arial"/>
          <w:lang w:eastAsia="en-AU"/>
        </w:rPr>
        <w:t>n</w:t>
      </w:r>
      <w:r w:rsidR="00AF1551" w:rsidRPr="012B875B">
        <w:rPr>
          <w:rFonts w:cs="Arial"/>
          <w:lang w:eastAsia="en-AU"/>
        </w:rPr>
        <w:t>form</w:t>
      </w:r>
      <w:r w:rsidR="005F4705" w:rsidRPr="012B875B">
        <w:rPr>
          <w:rFonts w:cs="Arial"/>
          <w:lang w:eastAsia="en-AU"/>
        </w:rPr>
        <w:t>a</w:t>
      </w:r>
      <w:r w:rsidR="00AF1551" w:rsidRPr="012B875B">
        <w:rPr>
          <w:rFonts w:cs="Arial"/>
          <w:lang w:eastAsia="en-AU"/>
        </w:rPr>
        <w:t xml:space="preserve">tion Summary </w:t>
      </w:r>
      <w:r w:rsidR="005F4705" w:rsidRPr="012B875B">
        <w:rPr>
          <w:rFonts w:cs="Arial"/>
          <w:lang w:eastAsia="en-AU"/>
        </w:rPr>
        <w:t>of current offers.</w:t>
      </w:r>
      <w:r w:rsidR="00C536D2" w:rsidRPr="012B875B">
        <w:rPr>
          <w:rFonts w:cs="Arial"/>
          <w:lang w:eastAsia="en-AU"/>
        </w:rPr>
        <w:t xml:space="preserve"> </w:t>
      </w:r>
      <w:r w:rsidR="00CA67E2" w:rsidRPr="012B875B">
        <w:rPr>
          <w:rFonts w:cs="Arial"/>
          <w:lang w:eastAsia="en-AU"/>
        </w:rPr>
        <w:t>There were 3</w:t>
      </w:r>
      <w:r w:rsidR="005312BD" w:rsidRPr="27E57E23">
        <w:rPr>
          <w:rFonts w:cs="Arial"/>
          <w:lang w:eastAsia="en-AU"/>
        </w:rPr>
        <w:t>5</w:t>
      </w:r>
      <w:r w:rsidR="00CA67E2" w:rsidRPr="012B875B">
        <w:rPr>
          <w:rFonts w:cs="Arial"/>
          <w:lang w:eastAsia="en-AU"/>
        </w:rPr>
        <w:t xml:space="preserve"> enforcement actions relating to these requirements.</w:t>
      </w:r>
    </w:p>
    <w:p w14:paraId="3D645D37" w14:textId="3BC56D28" w:rsidR="00B4242E" w:rsidRDefault="6258F58E" w:rsidP="25888F79">
      <w:pPr>
        <w:pStyle w:val="Bullets"/>
        <w:rPr>
          <w:lang w:eastAsia="en-AU"/>
        </w:rPr>
      </w:pPr>
      <w:r w:rsidRPr="31481F43">
        <w:rPr>
          <w:lang w:eastAsia="en-AU"/>
        </w:rPr>
        <w:t xml:space="preserve">Requirements relating to the TIO scheme. </w:t>
      </w:r>
      <w:r w:rsidR="0A4A0A6A" w:rsidRPr="31481F43">
        <w:rPr>
          <w:lang w:eastAsia="en-AU"/>
        </w:rPr>
        <w:t>Carriers and s</w:t>
      </w:r>
      <w:r w:rsidR="06200BAF" w:rsidRPr="31481F43">
        <w:rPr>
          <w:lang w:eastAsia="en-AU"/>
        </w:rPr>
        <w:t xml:space="preserve">ervice providers are required to join the TIO scheme and to comply with </w:t>
      </w:r>
      <w:r w:rsidR="45D79040" w:rsidRPr="31481F43">
        <w:rPr>
          <w:lang w:eastAsia="en-AU"/>
        </w:rPr>
        <w:t>it</w:t>
      </w:r>
      <w:r w:rsidR="06200BAF" w:rsidRPr="31481F43">
        <w:rPr>
          <w:lang w:eastAsia="en-AU"/>
        </w:rPr>
        <w:t>.</w:t>
      </w:r>
      <w:r w:rsidR="00646DAE">
        <w:rPr>
          <w:rStyle w:val="FootnoteReference"/>
          <w:lang w:eastAsia="en-AU"/>
        </w:rPr>
        <w:footnoteReference w:id="241"/>
      </w:r>
      <w:r w:rsidR="5377D4B1" w:rsidRPr="31481F43">
        <w:rPr>
          <w:lang w:eastAsia="en-AU"/>
        </w:rPr>
        <w:t xml:space="preserve"> There were </w:t>
      </w:r>
      <w:r w:rsidR="00325547" w:rsidRPr="27E57E23">
        <w:rPr>
          <w:lang w:eastAsia="en-AU"/>
        </w:rPr>
        <w:t xml:space="preserve">28 </w:t>
      </w:r>
      <w:r w:rsidR="5377D4B1" w:rsidRPr="31481F43">
        <w:rPr>
          <w:lang w:eastAsia="en-AU"/>
        </w:rPr>
        <w:t>enforcement actions relating to these obligations</w:t>
      </w:r>
      <w:r w:rsidR="26B5B973" w:rsidRPr="31481F43">
        <w:rPr>
          <w:lang w:eastAsia="en-AU"/>
        </w:rPr>
        <w:t>.</w:t>
      </w:r>
      <w:r w:rsidR="00325547" w:rsidRPr="27E57E23">
        <w:rPr>
          <w:lang w:eastAsia="en-AU"/>
        </w:rPr>
        <w:t xml:space="preserve"> 19 of these related to requirements to join the scheme, while 9 related to failure to comply with scheme determinations.</w:t>
      </w:r>
    </w:p>
    <w:p w14:paraId="5533CE7E" w14:textId="659CF447" w:rsidR="001514D3" w:rsidRDefault="6F45FEEF" w:rsidP="005718CD">
      <w:pPr>
        <w:rPr>
          <w:lang w:eastAsia="en-AU"/>
        </w:rPr>
      </w:pPr>
      <w:r>
        <w:t xml:space="preserve">The high number of actions relating to the first of these – the requirement to </w:t>
      </w:r>
      <w:r w:rsidRPr="73A03200">
        <w:rPr>
          <w:lang w:eastAsia="en-AU"/>
        </w:rPr>
        <w:t>provide compliance attestation documentation – is perhaps explained by the involvement of Communications Compliance in receiving the documentation and reporting on compliance with this obligation.</w:t>
      </w:r>
      <w:r w:rsidR="000F10A4" w:rsidRPr="12EC14AA">
        <w:rPr>
          <w:lang w:eastAsia="en-AU"/>
        </w:rPr>
        <w:t xml:space="preserve"> In 2013, after the establishment of Communications Compliance and the commencement of the Code Compliance Framework in (what was then) Chapter 9 of the TCP Code, </w:t>
      </w:r>
      <w:r w:rsidR="00D11F2F">
        <w:rPr>
          <w:lang w:eastAsia="en-AU"/>
        </w:rPr>
        <w:t>the ACMA</w:t>
      </w:r>
      <w:r w:rsidR="000F10A4" w:rsidRPr="12EC14AA">
        <w:rPr>
          <w:lang w:eastAsia="en-AU"/>
        </w:rPr>
        <w:t xml:space="preserve"> undertook a major audit of compliance with these requirements, which resulted in </w:t>
      </w:r>
      <w:r w:rsidR="00286463" w:rsidRPr="12EC14AA">
        <w:rPr>
          <w:lang w:eastAsia="en-AU"/>
        </w:rPr>
        <w:t>99</w:t>
      </w:r>
      <w:r w:rsidR="000F10A4" w:rsidRPr="12EC14AA">
        <w:rPr>
          <w:lang w:eastAsia="en-AU"/>
        </w:rPr>
        <w:t xml:space="preserve"> enforcement actions, </w:t>
      </w:r>
      <w:r w:rsidR="00A32B4C" w:rsidRPr="12EC14AA">
        <w:rPr>
          <w:lang w:eastAsia="en-AU"/>
        </w:rPr>
        <w:t>95</w:t>
      </w:r>
      <w:r w:rsidR="000F10A4" w:rsidRPr="12EC14AA">
        <w:rPr>
          <w:lang w:eastAsia="en-AU"/>
        </w:rPr>
        <w:t xml:space="preserve"> formal warnings</w:t>
      </w:r>
      <w:r w:rsidR="00A32B4C" w:rsidRPr="12EC14AA">
        <w:rPr>
          <w:lang w:eastAsia="en-AU"/>
        </w:rPr>
        <w:t xml:space="preserve"> and 4 directions to comply</w:t>
      </w:r>
      <w:r w:rsidR="000F10A4" w:rsidRPr="12EC14AA">
        <w:rPr>
          <w:lang w:eastAsia="en-AU"/>
        </w:rPr>
        <w:t>.</w:t>
      </w:r>
      <w:r w:rsidR="000221F8" w:rsidRPr="00355D47">
        <w:rPr>
          <w:rStyle w:val="FootnoteReference"/>
          <w:rFonts w:ascii="Calibri" w:eastAsia="Times New Roman" w:hAnsi="Calibri" w:cs="Calibri"/>
          <w:lang w:eastAsia="en-AU"/>
        </w:rPr>
        <w:footnoteReference w:id="242"/>
      </w:r>
    </w:p>
    <w:p w14:paraId="363C479E" w14:textId="0BE675B7" w:rsidR="005A4293" w:rsidRPr="005A4293" w:rsidRDefault="0065403C" w:rsidP="005718CD">
      <w:pPr>
        <w:rPr>
          <w:lang w:eastAsia="en-AU"/>
        </w:rPr>
      </w:pPr>
      <w:r>
        <w:rPr>
          <w:lang w:eastAsia="en-AU"/>
        </w:rPr>
        <w:t>The o</w:t>
      </w:r>
      <w:r w:rsidR="510899DE">
        <w:rPr>
          <w:lang w:eastAsia="en-AU"/>
        </w:rPr>
        <w:t>ther</w:t>
      </w:r>
      <w:r w:rsidR="35C1C4BB" w:rsidRPr="00881BDD">
        <w:rPr>
          <w:lang w:eastAsia="en-AU"/>
        </w:rPr>
        <w:t xml:space="preserve"> obligations that are most actively enforced likely appear</w:t>
      </w:r>
      <w:r w:rsidR="510899DE">
        <w:rPr>
          <w:lang w:eastAsia="en-AU"/>
        </w:rPr>
        <w:t xml:space="preserve"> </w:t>
      </w:r>
      <w:r w:rsidR="35C1C4BB" w:rsidRPr="00881BDD">
        <w:rPr>
          <w:lang w:eastAsia="en-AU"/>
        </w:rPr>
        <w:t>in the list due to their importance to public safety (such as those related to IPND) or the</w:t>
      </w:r>
      <w:r w:rsidR="003E6EBE">
        <w:rPr>
          <w:lang w:eastAsia="en-AU"/>
        </w:rPr>
        <w:t xml:space="preserve"> potential </w:t>
      </w:r>
      <w:r w:rsidR="00786217">
        <w:rPr>
          <w:lang w:eastAsia="en-AU"/>
        </w:rPr>
        <w:t xml:space="preserve">scale of </w:t>
      </w:r>
      <w:r w:rsidR="4547512F" w:rsidRPr="0BA870B0">
        <w:rPr>
          <w:lang w:eastAsia="en-AU"/>
        </w:rPr>
        <w:t>their impact</w:t>
      </w:r>
      <w:r w:rsidR="35C1C4BB" w:rsidRPr="00881BDD">
        <w:rPr>
          <w:lang w:eastAsia="en-AU"/>
        </w:rPr>
        <w:t xml:space="preserve"> on consumer experiences (those related to the TIO scheme</w:t>
      </w:r>
      <w:r w:rsidR="00ED23AE">
        <w:rPr>
          <w:lang w:eastAsia="en-AU"/>
        </w:rPr>
        <w:t>,</w:t>
      </w:r>
      <w:r w:rsidR="35C1C4BB" w:rsidRPr="00881BDD">
        <w:rPr>
          <w:lang w:eastAsia="en-AU"/>
        </w:rPr>
        <w:t xml:space="preserve"> complaint</w:t>
      </w:r>
      <w:r w:rsidR="000F10A4">
        <w:rPr>
          <w:lang w:eastAsia="en-AU"/>
        </w:rPr>
        <w:t>s</w:t>
      </w:r>
      <w:r w:rsidR="35C1C4BB" w:rsidRPr="00881BDD">
        <w:rPr>
          <w:lang w:eastAsia="en-AU"/>
        </w:rPr>
        <w:t xml:space="preserve"> handling</w:t>
      </w:r>
      <w:r w:rsidR="00ED23AE">
        <w:rPr>
          <w:lang w:eastAsia="en-AU"/>
        </w:rPr>
        <w:t xml:space="preserve">, and </w:t>
      </w:r>
      <w:r w:rsidR="00926C10" w:rsidRPr="012B875B">
        <w:rPr>
          <w:lang w:eastAsia="en-AU"/>
        </w:rPr>
        <w:t>advertising</w:t>
      </w:r>
      <w:r w:rsidR="00926C10">
        <w:rPr>
          <w:lang w:eastAsia="en-AU"/>
        </w:rPr>
        <w:t xml:space="preserve"> and information requirements</w:t>
      </w:r>
      <w:r w:rsidR="35C1C4BB" w:rsidRPr="00881BDD">
        <w:rPr>
          <w:lang w:eastAsia="en-AU"/>
        </w:rPr>
        <w:t>).</w:t>
      </w:r>
      <w:r w:rsidR="61BAFAA0" w:rsidRPr="005A4293">
        <w:rPr>
          <w:lang w:eastAsia="en-AU"/>
        </w:rPr>
        <w:t xml:space="preserve"> </w:t>
      </w:r>
    </w:p>
    <w:p w14:paraId="4194382A" w14:textId="2A7B682D" w:rsidR="005A4293" w:rsidRPr="005A4293" w:rsidRDefault="43E7A55E" w:rsidP="005718CD">
      <w:pPr>
        <w:rPr>
          <w:rFonts w:cs="Arial"/>
          <w:lang w:eastAsia="en-AU"/>
        </w:rPr>
      </w:pPr>
      <w:r w:rsidRPr="3A0E6822">
        <w:rPr>
          <w:rFonts w:cs="Arial"/>
          <w:lang w:eastAsia="en-AU"/>
        </w:rPr>
        <w:t xml:space="preserve">It is also important to keep in mind that </w:t>
      </w:r>
      <w:r w:rsidR="00D11F2F">
        <w:rPr>
          <w:rFonts w:cs="Arial"/>
          <w:lang w:eastAsia="en-AU"/>
        </w:rPr>
        <w:t>the ACMA</w:t>
      </w:r>
      <w:r w:rsidRPr="3A0E6822">
        <w:rPr>
          <w:rFonts w:cs="Arial"/>
          <w:lang w:eastAsia="en-AU"/>
        </w:rPr>
        <w:t xml:space="preserve"> has considerable discretion in exercising its powers. For lower-priority matters involving minor harm or non-compliance, the </w:t>
      </w:r>
      <w:r w:rsidR="00D11F2F">
        <w:rPr>
          <w:rFonts w:cs="Arial"/>
          <w:lang w:eastAsia="en-AU"/>
        </w:rPr>
        <w:t>ACMA</w:t>
      </w:r>
      <w:r w:rsidRPr="3A0E6822">
        <w:rPr>
          <w:rFonts w:cs="Arial"/>
          <w:lang w:eastAsia="en-AU"/>
        </w:rPr>
        <w:t xml:space="preserve"> may choose to pursue informal resolutions or undertake activities to encourage voluntary compliance, such as education, guidance, persuasion, or negotiation. As </w:t>
      </w:r>
      <w:r w:rsidR="00D11F2F">
        <w:rPr>
          <w:rFonts w:cs="Arial"/>
          <w:lang w:eastAsia="en-AU"/>
        </w:rPr>
        <w:t>the ACMA</w:t>
      </w:r>
      <w:r w:rsidRPr="3A0E6822">
        <w:rPr>
          <w:rFonts w:cs="Arial"/>
          <w:lang w:eastAsia="en-AU"/>
        </w:rPr>
        <w:t xml:space="preserve"> does not comprehensively report on </w:t>
      </w:r>
      <w:r w:rsidR="006C4B9B">
        <w:rPr>
          <w:rFonts w:cs="Arial"/>
          <w:lang w:eastAsia="en-AU"/>
        </w:rPr>
        <w:t xml:space="preserve">all of </w:t>
      </w:r>
      <w:r w:rsidRPr="3A0E6822">
        <w:rPr>
          <w:rFonts w:cs="Arial"/>
          <w:lang w:eastAsia="en-AU"/>
        </w:rPr>
        <w:t xml:space="preserve">these activities, it is hard to draw further insights into the attention these matters receive from </w:t>
      </w:r>
      <w:r w:rsidR="00D11F2F">
        <w:rPr>
          <w:rFonts w:cs="Arial"/>
          <w:lang w:eastAsia="en-AU"/>
        </w:rPr>
        <w:t>the ACMA</w:t>
      </w:r>
      <w:r w:rsidRPr="3A0E6822">
        <w:rPr>
          <w:rFonts w:cs="Arial"/>
          <w:lang w:eastAsia="en-AU"/>
        </w:rPr>
        <w:t>.</w:t>
      </w:r>
    </w:p>
    <w:p w14:paraId="00D34B9B" w14:textId="033285AE" w:rsidR="003D7A75" w:rsidRPr="00F70B6F" w:rsidRDefault="36809B6A" w:rsidP="00F70B6F">
      <w:pPr>
        <w:pStyle w:val="Heading2"/>
      </w:pPr>
      <w:bookmarkStart w:id="206" w:name="_Toc161836194"/>
      <w:r w:rsidRPr="00F70B6F">
        <w:t>F Most Common Enforcement Actions in Published Investigations</w:t>
      </w:r>
      <w:bookmarkEnd w:id="206"/>
      <w:r w:rsidRPr="00F70B6F">
        <w:t> </w:t>
      </w:r>
    </w:p>
    <w:p w14:paraId="08872AB8" w14:textId="5E770B76" w:rsidR="003D7A75" w:rsidRDefault="36809B6A" w:rsidP="004E1FDB">
      <w:pPr>
        <w:rPr>
          <w:rFonts w:eastAsia="Arial" w:cs="Arial"/>
          <w:szCs w:val="21"/>
          <w:highlight w:val="cyan"/>
        </w:rPr>
      </w:pPr>
      <w:r w:rsidRPr="3A0E6822">
        <w:rPr>
          <w:rStyle w:val="normaltextrun"/>
          <w:rFonts w:eastAsia="Arial" w:cs="Arial"/>
          <w:szCs w:val="21"/>
        </w:rPr>
        <w:t>Figure 1</w:t>
      </w:r>
      <w:r w:rsidR="005B2EAE">
        <w:rPr>
          <w:rStyle w:val="normaltextrun"/>
          <w:rFonts w:eastAsia="Arial" w:cs="Arial"/>
          <w:szCs w:val="21"/>
        </w:rPr>
        <w:t>8 below</w:t>
      </w:r>
      <w:r w:rsidRPr="3A0E6822">
        <w:rPr>
          <w:rStyle w:val="normaltextrun"/>
          <w:rFonts w:eastAsia="Arial" w:cs="Arial"/>
          <w:szCs w:val="21"/>
        </w:rPr>
        <w:t xml:space="preserve"> provides a visual breakdown of how each enforcement action related to the provisions breached.</w:t>
      </w:r>
      <w:r w:rsidR="00CD59D1">
        <w:rPr>
          <w:rStyle w:val="normaltextrun"/>
          <w:rFonts w:eastAsia="Arial" w:cs="Arial"/>
          <w:szCs w:val="21"/>
        </w:rPr>
        <w:t xml:space="preserve"> </w:t>
      </w:r>
      <w:r w:rsidR="00CD59D1" w:rsidRPr="3A0E6822">
        <w:rPr>
          <w:rStyle w:val="normaltextrun"/>
          <w:rFonts w:eastAsia="Arial" w:cs="Arial"/>
          <w:szCs w:val="21"/>
        </w:rPr>
        <w:t>The most common enforcement actions were formal warnings and directions to comply. 296 of the 50</w:t>
      </w:r>
      <w:r w:rsidR="00CD59D1">
        <w:rPr>
          <w:rStyle w:val="normaltextrun"/>
          <w:rFonts w:eastAsia="Arial" w:cs="Arial"/>
          <w:szCs w:val="21"/>
        </w:rPr>
        <w:t>2</w:t>
      </w:r>
      <w:r w:rsidR="00CD59D1" w:rsidRPr="3A0E6822">
        <w:rPr>
          <w:rStyle w:val="normaltextrun"/>
          <w:rFonts w:eastAsia="Arial" w:cs="Arial"/>
          <w:szCs w:val="21"/>
        </w:rPr>
        <w:t xml:space="preserve"> enforcement actions were formal warnings; 119 were directions to comply.</w:t>
      </w:r>
    </w:p>
    <w:p w14:paraId="57077A53" w14:textId="25A43643" w:rsidR="003D7A75" w:rsidRDefault="36809B6A" w:rsidP="00511D0F">
      <w:pPr>
        <w:spacing w:line="240" w:lineRule="auto"/>
        <w:textAlignment w:val="baseline"/>
        <w:rPr>
          <w:rFonts w:eastAsia="Arial" w:cs="Arial"/>
          <w:szCs w:val="21"/>
        </w:rPr>
      </w:pPr>
      <w:r w:rsidRPr="3A0E6822">
        <w:rPr>
          <w:rStyle w:val="normaltextrun"/>
          <w:rFonts w:eastAsia="Arial" w:cs="Arial"/>
          <w:szCs w:val="21"/>
        </w:rPr>
        <w:t xml:space="preserve">The </w:t>
      </w:r>
      <w:r w:rsidRPr="3A0E6822">
        <w:rPr>
          <w:rStyle w:val="normaltextrun"/>
          <w:rFonts w:eastAsia="Arial" w:cs="Arial"/>
          <w:b/>
          <w:bCs/>
          <w:szCs w:val="21"/>
        </w:rPr>
        <w:t>formal warnings</w:t>
      </w:r>
      <w:r w:rsidRPr="3A0E6822">
        <w:rPr>
          <w:rStyle w:val="normaltextrun"/>
          <w:rFonts w:eastAsia="Arial" w:cs="Arial"/>
          <w:szCs w:val="21"/>
        </w:rPr>
        <w:t xml:space="preserve"> involved warnings to comply with:</w:t>
      </w:r>
    </w:p>
    <w:p w14:paraId="0BFEEEF1" w14:textId="0C0CC386" w:rsidR="003D7A75" w:rsidRPr="004C42BA" w:rsidRDefault="36809B6A" w:rsidP="004C42BA">
      <w:pPr>
        <w:pStyle w:val="Bullets"/>
      </w:pPr>
      <w:r w:rsidRPr="004C42BA">
        <w:t>the TCP Code rules relating to offers, advertising, billing, customer service (ie, the privacy of customer billing and related personal information), credit and debt management, including financial hardship</w:t>
      </w:r>
      <w:bookmarkStart w:id="207" w:name="_Ref161680270"/>
      <w:r w:rsidR="00695D91" w:rsidRPr="004C42BA">
        <w:rPr>
          <w:vertAlign w:val="superscript"/>
        </w:rPr>
        <w:footnoteReference w:id="243"/>
      </w:r>
      <w:bookmarkEnd w:id="207"/>
      <w:r w:rsidRPr="004C42BA">
        <w:t xml:space="preserve"> and spend management tools, changing suppliers, complaint</w:t>
      </w:r>
      <w:r w:rsidR="00DD5200" w:rsidRPr="004C42BA">
        <w:t>s</w:t>
      </w:r>
      <w:r w:rsidRPr="004C42BA">
        <w:t xml:space="preserve"> handling (when those rules were included in the TCP Code), implementation and compliance with the Code compliance framework and registration with Comms Alliance for compliance purposes, and the provision of compliance attestation documentation to CommCom;</w:t>
      </w:r>
    </w:p>
    <w:p w14:paraId="44875F87" w14:textId="0DFF69AB" w:rsidR="003D7A75" w:rsidRPr="004C42BA" w:rsidRDefault="36809B6A" w:rsidP="004C42BA">
      <w:pPr>
        <w:pStyle w:val="Bullets"/>
      </w:pPr>
      <w:r w:rsidRPr="004C42BA">
        <w:lastRenderedPageBreak/>
        <w:t>the obligation in the TCPSS Act to join the TIO scheme;</w:t>
      </w:r>
      <w:r w:rsidR="00B13F34" w:rsidRPr="004C42BA">
        <w:rPr>
          <w:vertAlign w:val="superscript"/>
        </w:rPr>
        <w:footnoteReference w:id="244"/>
      </w:r>
    </w:p>
    <w:p w14:paraId="291E4CCD" w14:textId="16BE467C" w:rsidR="003D7A75" w:rsidRPr="004C42BA" w:rsidRDefault="36809B6A" w:rsidP="004C42BA">
      <w:pPr>
        <w:pStyle w:val="Bullets"/>
      </w:pPr>
      <w:r w:rsidRPr="004C42BA">
        <w:t>industry standards, including the Telecommunications (Consumer Complaints Handling) Industry Standard 2018 and Telecommunications (Mobile Number Pre-Porting Additional Identity Verification</w:t>
      </w:r>
      <w:r w:rsidR="00DD5200" w:rsidRPr="004C42BA">
        <w:t>)</w:t>
      </w:r>
      <w:r w:rsidRPr="004C42BA">
        <w:t xml:space="preserve"> Industry Standard 2020</w:t>
      </w:r>
      <w:r w:rsidR="00E11A0D" w:rsidRPr="004C42BA">
        <w:t>;</w:t>
      </w:r>
    </w:p>
    <w:p w14:paraId="779AFCF4" w14:textId="68B446FE" w:rsidR="003D7A75" w:rsidRPr="004C42BA" w:rsidRDefault="36809B6A" w:rsidP="004C42BA">
      <w:pPr>
        <w:pStyle w:val="Bullets"/>
      </w:pPr>
      <w:r w:rsidRPr="004C42BA">
        <w:rPr>
          <w:rStyle w:val="normaltextrun"/>
        </w:rPr>
        <w:t xml:space="preserve">IPND rules in the IPND Code and </w:t>
      </w:r>
      <w:r w:rsidR="00AA7AED" w:rsidRPr="004C42BA">
        <w:rPr>
          <w:rStyle w:val="normaltextrun"/>
        </w:rPr>
        <w:t>Tel Act</w:t>
      </w:r>
      <w:r w:rsidR="00D8495E" w:rsidRPr="004C42BA">
        <w:rPr>
          <w:rStyle w:val="normaltextrun"/>
        </w:rPr>
        <w:t>;</w:t>
      </w:r>
      <w:r w:rsidR="00D8495E" w:rsidRPr="004C42BA">
        <w:rPr>
          <w:rStyle w:val="FootnoteReference"/>
        </w:rPr>
        <w:footnoteReference w:id="245"/>
      </w:r>
    </w:p>
    <w:p w14:paraId="0167FA7C" w14:textId="25A6F199" w:rsidR="003D7A75" w:rsidRPr="004C42BA" w:rsidRDefault="36809B6A" w:rsidP="004C42BA">
      <w:pPr>
        <w:pStyle w:val="Bullets"/>
      </w:pPr>
      <w:r w:rsidRPr="004C42BA">
        <w:rPr>
          <w:rStyle w:val="normaltextrun"/>
        </w:rPr>
        <w:t>priority assistance rules (ie, the obligation to notify residential customers they do not offer priority assistance and inform them of the providers who do);</w:t>
      </w:r>
      <w:r w:rsidR="00F94027" w:rsidRPr="004C42BA">
        <w:rPr>
          <w:rStyle w:val="FootnoteReference"/>
        </w:rPr>
        <w:footnoteReference w:id="246"/>
      </w:r>
      <w:r w:rsidRPr="004C42BA">
        <w:rPr>
          <w:rStyle w:val="normaltextrun"/>
          <w:vertAlign w:val="superscript"/>
        </w:rPr>
        <w:t xml:space="preserve"> </w:t>
      </w:r>
      <w:r w:rsidRPr="004C42BA">
        <w:rPr>
          <w:rStyle w:val="normaltextrun"/>
        </w:rPr>
        <w:t>and</w:t>
      </w:r>
    </w:p>
    <w:p w14:paraId="2AE6C72C" w14:textId="27C26F39" w:rsidR="003D7A75" w:rsidRPr="004C42BA" w:rsidRDefault="36809B6A" w:rsidP="004C42BA">
      <w:pPr>
        <w:pStyle w:val="Bullets"/>
      </w:pPr>
      <w:r w:rsidRPr="004C42BA">
        <w:rPr>
          <w:rStyle w:val="normaltextrun"/>
        </w:rPr>
        <w:t>the Reducing Sca</w:t>
      </w:r>
      <w:r w:rsidR="00DD5200" w:rsidRPr="004C42BA">
        <w:rPr>
          <w:rStyle w:val="normaltextrun"/>
        </w:rPr>
        <w:t>m</w:t>
      </w:r>
      <w:r w:rsidRPr="004C42BA">
        <w:rPr>
          <w:rStyle w:val="normaltextrun"/>
        </w:rPr>
        <w:t xml:space="preserve"> Calls and Scam SMS Code</w:t>
      </w:r>
      <w:r w:rsidR="006E331D" w:rsidRPr="004C42BA">
        <w:rPr>
          <w:rStyle w:val="normaltextrun"/>
        </w:rPr>
        <w:t>.</w:t>
      </w:r>
    </w:p>
    <w:p w14:paraId="71773D9F" w14:textId="1539FA0C" w:rsidR="00F014A1" w:rsidRDefault="00F014A1" w:rsidP="00C46A32">
      <w:pPr>
        <w:rPr>
          <w:rFonts w:eastAsia="Arial" w:cs="Arial"/>
        </w:rPr>
      </w:pPr>
      <w:r w:rsidRPr="00F014A1">
        <w:rPr>
          <w:rFonts w:eastAsia="Arial" w:cs="Arial"/>
        </w:rPr>
        <w:t xml:space="preserve">Of the 296 formal warnings, 215 were in relation to the TCP Code; 9 </w:t>
      </w:r>
      <w:r w:rsidR="009E33A1">
        <w:rPr>
          <w:rFonts w:eastAsia="Arial" w:cs="Arial"/>
        </w:rPr>
        <w:t>concerned</w:t>
      </w:r>
      <w:r w:rsidRPr="00F014A1">
        <w:rPr>
          <w:rFonts w:eastAsia="Arial" w:cs="Arial"/>
        </w:rPr>
        <w:t xml:space="preserve"> the TCPSS Act obligation to join the TIO scheme; 33 </w:t>
      </w:r>
      <w:r w:rsidR="009E33A1">
        <w:rPr>
          <w:rFonts w:eastAsia="Arial" w:cs="Arial"/>
        </w:rPr>
        <w:t>concerned</w:t>
      </w:r>
      <w:r w:rsidR="009E33A1" w:rsidRPr="00F014A1">
        <w:rPr>
          <w:rFonts w:eastAsia="Arial" w:cs="Arial"/>
        </w:rPr>
        <w:t xml:space="preserve"> </w:t>
      </w:r>
      <w:r w:rsidRPr="00F014A1">
        <w:rPr>
          <w:rFonts w:eastAsia="Arial" w:cs="Arial"/>
        </w:rPr>
        <w:t xml:space="preserve">industry standards; 15 </w:t>
      </w:r>
      <w:r w:rsidR="009E33A1">
        <w:rPr>
          <w:rFonts w:eastAsia="Arial" w:cs="Arial"/>
        </w:rPr>
        <w:t>concerned</w:t>
      </w:r>
      <w:r w:rsidR="009E33A1" w:rsidRPr="00F014A1">
        <w:rPr>
          <w:rFonts w:eastAsia="Arial" w:cs="Arial"/>
        </w:rPr>
        <w:t xml:space="preserve"> </w:t>
      </w:r>
      <w:r w:rsidRPr="00F014A1">
        <w:rPr>
          <w:rFonts w:eastAsia="Arial" w:cs="Arial"/>
        </w:rPr>
        <w:t xml:space="preserve">the IPND Code; 10 </w:t>
      </w:r>
      <w:r w:rsidR="009E33A1">
        <w:rPr>
          <w:rFonts w:eastAsia="Arial" w:cs="Arial"/>
        </w:rPr>
        <w:t>concerned</w:t>
      </w:r>
      <w:r w:rsidR="009E33A1" w:rsidRPr="00F014A1">
        <w:rPr>
          <w:rFonts w:eastAsia="Arial" w:cs="Arial"/>
        </w:rPr>
        <w:t xml:space="preserve"> </w:t>
      </w:r>
      <w:r w:rsidRPr="00F014A1">
        <w:rPr>
          <w:rFonts w:eastAsia="Arial" w:cs="Arial"/>
        </w:rPr>
        <w:t xml:space="preserve">the </w:t>
      </w:r>
      <w:r w:rsidR="00AA7AED">
        <w:rPr>
          <w:rFonts w:eastAsia="Arial" w:cs="Arial"/>
        </w:rPr>
        <w:t>Tel Act</w:t>
      </w:r>
      <w:r w:rsidRPr="00F014A1">
        <w:rPr>
          <w:rFonts w:eastAsia="Arial" w:cs="Arial"/>
        </w:rPr>
        <w:t xml:space="preserve"> IPND rules</w:t>
      </w:r>
      <w:r w:rsidR="00EF0F56">
        <w:rPr>
          <w:rFonts w:eastAsia="Arial" w:cs="Arial"/>
        </w:rPr>
        <w:t>;</w:t>
      </w:r>
      <w:r w:rsidRPr="00F014A1">
        <w:rPr>
          <w:rFonts w:eastAsia="Arial" w:cs="Arial"/>
        </w:rPr>
        <w:t xml:space="preserve"> 11 </w:t>
      </w:r>
      <w:r w:rsidR="009E33A1">
        <w:rPr>
          <w:rFonts w:eastAsia="Arial" w:cs="Arial"/>
        </w:rPr>
        <w:t>concerned</w:t>
      </w:r>
      <w:r w:rsidR="009E33A1" w:rsidRPr="00F014A1">
        <w:rPr>
          <w:rFonts w:eastAsia="Arial" w:cs="Arial"/>
        </w:rPr>
        <w:t xml:space="preserve"> </w:t>
      </w:r>
      <w:r w:rsidRPr="00F014A1">
        <w:rPr>
          <w:rFonts w:eastAsia="Arial" w:cs="Arial"/>
        </w:rPr>
        <w:t>the priority assistance rules</w:t>
      </w:r>
      <w:r w:rsidR="00EF0F56">
        <w:rPr>
          <w:rFonts w:eastAsia="Arial" w:cs="Arial"/>
        </w:rPr>
        <w:t>;</w:t>
      </w:r>
      <w:r w:rsidRPr="00F014A1">
        <w:rPr>
          <w:rFonts w:eastAsia="Arial" w:cs="Arial"/>
        </w:rPr>
        <w:t xml:space="preserve"> </w:t>
      </w:r>
      <w:r w:rsidR="01090092" w:rsidRPr="1EA314E4">
        <w:rPr>
          <w:rFonts w:eastAsia="Arial" w:cs="Arial"/>
        </w:rPr>
        <w:t xml:space="preserve">and </w:t>
      </w:r>
      <w:r w:rsidRPr="00F014A1">
        <w:rPr>
          <w:rFonts w:eastAsia="Arial" w:cs="Arial"/>
        </w:rPr>
        <w:t xml:space="preserve">3 </w:t>
      </w:r>
      <w:r w:rsidR="009E33A1">
        <w:rPr>
          <w:rFonts w:eastAsia="Arial" w:cs="Arial"/>
        </w:rPr>
        <w:t>concerned</w:t>
      </w:r>
      <w:r w:rsidR="00597DB7">
        <w:rPr>
          <w:rFonts w:eastAsia="Arial" w:cs="Arial"/>
        </w:rPr>
        <w:t xml:space="preserve"> </w:t>
      </w:r>
      <w:r w:rsidRPr="00F014A1">
        <w:rPr>
          <w:rFonts w:eastAsia="Arial" w:cs="Arial"/>
        </w:rPr>
        <w:t>the Reducing Sca</w:t>
      </w:r>
      <w:r w:rsidR="00EF0F56">
        <w:rPr>
          <w:rFonts w:eastAsia="Arial" w:cs="Arial"/>
        </w:rPr>
        <w:t>m</w:t>
      </w:r>
      <w:r w:rsidRPr="00F014A1">
        <w:rPr>
          <w:rFonts w:eastAsia="Arial" w:cs="Arial"/>
        </w:rPr>
        <w:t xml:space="preserve"> Calls and Scam SMS Code.</w:t>
      </w:r>
    </w:p>
    <w:p w14:paraId="2793445C" w14:textId="796B3222" w:rsidR="003D7A75" w:rsidRDefault="36809B6A" w:rsidP="00C46A32">
      <w:pPr>
        <w:rPr>
          <w:rFonts w:eastAsia="Arial" w:cs="Arial"/>
          <w:szCs w:val="21"/>
        </w:rPr>
      </w:pPr>
      <w:r w:rsidRPr="3A0E6822">
        <w:rPr>
          <w:rStyle w:val="normaltextrun"/>
          <w:rFonts w:eastAsia="Arial" w:cs="Arial"/>
          <w:szCs w:val="21"/>
        </w:rPr>
        <w:t xml:space="preserve">The </w:t>
      </w:r>
      <w:r w:rsidRPr="3A0E6822">
        <w:rPr>
          <w:rStyle w:val="normaltextrun"/>
          <w:rFonts w:eastAsia="Arial" w:cs="Arial"/>
          <w:b/>
          <w:bCs/>
          <w:szCs w:val="21"/>
        </w:rPr>
        <w:t>directions to comply</w:t>
      </w:r>
      <w:r w:rsidRPr="3A0E6822">
        <w:rPr>
          <w:rStyle w:val="normaltextrun"/>
          <w:rFonts w:eastAsia="Arial" w:cs="Arial"/>
          <w:szCs w:val="21"/>
        </w:rPr>
        <w:t xml:space="preserve"> concerned:</w:t>
      </w:r>
    </w:p>
    <w:p w14:paraId="5FBBF71D" w14:textId="61C8D05C" w:rsidR="003D7A75" w:rsidRDefault="36809B6A" w:rsidP="00CB748A">
      <w:pPr>
        <w:pStyle w:val="Bullets"/>
        <w:rPr>
          <w:rFonts w:eastAsia="Arial" w:cs="Arial"/>
          <w:szCs w:val="21"/>
        </w:rPr>
      </w:pPr>
      <w:r w:rsidRPr="7DD459B4">
        <w:rPr>
          <w:rStyle w:val="normaltextrun"/>
          <w:rFonts w:eastAsia="Arial" w:cs="Arial"/>
        </w:rPr>
        <w:t>the TCP Code rules, including the general rules, and the offers, advertising, billing, credit and debt management, financial hardship</w:t>
      </w:r>
      <w:r w:rsidR="00CB748A">
        <w:rPr>
          <w:rStyle w:val="normaltextrun"/>
          <w:rFonts w:eastAsia="Arial" w:cs="Arial"/>
        </w:rPr>
        <w:t>,</w:t>
      </w:r>
      <w:r w:rsidR="00B77300">
        <w:rPr>
          <w:rStyle w:val="FootnoteReference"/>
          <w:rFonts w:eastAsia="Arial" w:cs="Arial"/>
        </w:rPr>
        <w:footnoteReference w:id="247"/>
      </w:r>
      <w:r w:rsidRPr="7DD459B4">
        <w:rPr>
          <w:rStyle w:val="normaltextrun"/>
          <w:rFonts w:eastAsia="Arial" w:cs="Arial"/>
        </w:rPr>
        <w:t xml:space="preserve"> complaint handling (when those rules were included in the TCP Code), compliance and monitoring, changing supplier obligations, implementation and compliance with the Code compliance framework and registration with Comms Alliance for compliance purposes, and the provision of compliance attestation documentation to CommCom;</w:t>
      </w:r>
    </w:p>
    <w:p w14:paraId="2FD9B90F" w14:textId="35D22E0E" w:rsidR="003D7A75" w:rsidRDefault="36809B6A" w:rsidP="00CB748A">
      <w:pPr>
        <w:pStyle w:val="Bullets"/>
        <w:rPr>
          <w:rFonts w:eastAsia="Arial" w:cs="Arial"/>
          <w:szCs w:val="21"/>
        </w:rPr>
      </w:pPr>
      <w:r w:rsidRPr="27E57E23">
        <w:rPr>
          <w:rStyle w:val="normaltextrun"/>
          <w:rFonts w:eastAsia="Arial" w:cs="Arial"/>
        </w:rPr>
        <w:t>various provisions in the Mobile Premium Services Code, especially those relating to advertising and providing information to customers;</w:t>
      </w:r>
    </w:p>
    <w:p w14:paraId="1A68E697" w14:textId="263B11E1" w:rsidR="003D7A75" w:rsidRDefault="36809B6A" w:rsidP="00CB748A">
      <w:pPr>
        <w:pStyle w:val="Bullets"/>
        <w:rPr>
          <w:rFonts w:eastAsia="Arial" w:cs="Arial"/>
        </w:rPr>
      </w:pPr>
      <w:r w:rsidRPr="27E57E23">
        <w:rPr>
          <w:rStyle w:val="normaltextrun"/>
          <w:rFonts w:eastAsia="Arial" w:cs="Arial"/>
        </w:rPr>
        <w:t>provisions in the Reducing Scam Calls and Scam SMS Code concerning improving number and alphanumeric sender ID accuracy;</w:t>
      </w:r>
    </w:p>
    <w:p w14:paraId="4D9EB1B0" w14:textId="06C04A1F" w:rsidR="003D7A75" w:rsidRDefault="36809B6A" w:rsidP="00CB748A">
      <w:pPr>
        <w:pStyle w:val="Bullets"/>
        <w:rPr>
          <w:rFonts w:eastAsia="Arial" w:cs="Arial"/>
          <w:szCs w:val="21"/>
        </w:rPr>
      </w:pPr>
      <w:r w:rsidRPr="23199C30">
        <w:rPr>
          <w:rStyle w:val="normaltextrun"/>
          <w:rFonts w:eastAsia="Arial" w:cs="Arial"/>
        </w:rPr>
        <w:t>rules in the IPND Code for data provision to IPND manager and data accuracy;</w:t>
      </w:r>
      <w:r w:rsidR="00995917" w:rsidRPr="23199C30">
        <w:rPr>
          <w:rStyle w:val="FootnoteReference"/>
          <w:rFonts w:eastAsia="Arial" w:cs="Arial"/>
        </w:rPr>
        <w:footnoteReference w:id="248"/>
      </w:r>
      <w:r w:rsidRPr="23199C30">
        <w:rPr>
          <w:rStyle w:val="normaltextrun"/>
          <w:rFonts w:eastAsia="Arial" w:cs="Arial"/>
        </w:rPr>
        <w:t xml:space="preserve"> and</w:t>
      </w:r>
    </w:p>
    <w:p w14:paraId="55DFA03E" w14:textId="4FB85290" w:rsidR="003D7A75" w:rsidRDefault="36809B6A" w:rsidP="00CB748A">
      <w:pPr>
        <w:pStyle w:val="Bullets"/>
        <w:rPr>
          <w:rFonts w:eastAsia="Arial" w:cs="Arial"/>
          <w:szCs w:val="21"/>
        </w:rPr>
      </w:pPr>
      <w:r w:rsidRPr="23199C30">
        <w:rPr>
          <w:rStyle w:val="normaltextrun"/>
          <w:rFonts w:eastAsia="Arial" w:cs="Arial"/>
        </w:rPr>
        <w:t>rules in the Local Number Portability Code involving the number porting process.</w:t>
      </w:r>
      <w:r w:rsidR="00174962" w:rsidRPr="23199C30">
        <w:rPr>
          <w:rStyle w:val="FootnoteReference"/>
          <w:rFonts w:eastAsia="Arial" w:cs="Arial"/>
        </w:rPr>
        <w:footnoteReference w:id="249"/>
      </w:r>
    </w:p>
    <w:p w14:paraId="6C20F44C" w14:textId="091E9480" w:rsidR="001D6A72" w:rsidRDefault="001D6A72" w:rsidP="00174962">
      <w:pPr>
        <w:rPr>
          <w:rStyle w:val="normaltextrun"/>
          <w:rFonts w:eastAsia="Arial" w:cs="Arial"/>
        </w:rPr>
      </w:pPr>
      <w:r w:rsidRPr="3E1C4A8E">
        <w:rPr>
          <w:rFonts w:eastAsia="Arial" w:cs="Arial"/>
        </w:rPr>
        <w:t>Of the 119 directions to comply, 86 were in relation to the TCP Code; 10 to the MPS Code; 3 to Reducing Scan Calls and Scam SMS Code, 18 to the IPND Code, 1 to the LNP Code and 1 for both the TCP and IPND codes.</w:t>
      </w:r>
    </w:p>
    <w:p w14:paraId="01BD0AD4" w14:textId="1FDD2332" w:rsidR="003D7A75" w:rsidRDefault="00F547F7" w:rsidP="00174962">
      <w:pPr>
        <w:rPr>
          <w:rFonts w:eastAsia="Arial" w:cs="Arial"/>
        </w:rPr>
      </w:pPr>
      <w:r>
        <w:rPr>
          <w:rStyle w:val="normaltextrun"/>
          <w:rFonts w:eastAsia="Arial" w:cs="Arial"/>
        </w:rPr>
        <w:t>T</w:t>
      </w:r>
      <w:r w:rsidR="00D11F2F">
        <w:rPr>
          <w:rStyle w:val="normaltextrun"/>
          <w:rFonts w:eastAsia="Arial" w:cs="Arial"/>
        </w:rPr>
        <w:t>he ACMA</w:t>
      </w:r>
      <w:r w:rsidR="36809B6A" w:rsidRPr="3E1C4A8E">
        <w:rPr>
          <w:rStyle w:val="normaltextrun"/>
          <w:rFonts w:eastAsia="Arial" w:cs="Arial"/>
        </w:rPr>
        <w:t xml:space="preserve"> has </w:t>
      </w:r>
      <w:r w:rsidR="005C1F4B" w:rsidRPr="3E1C4A8E">
        <w:rPr>
          <w:rStyle w:val="normaltextrun"/>
          <w:rFonts w:eastAsia="Arial" w:cs="Arial"/>
        </w:rPr>
        <w:t xml:space="preserve">not </w:t>
      </w:r>
      <w:r w:rsidR="36809B6A" w:rsidRPr="3E1C4A8E">
        <w:rPr>
          <w:rStyle w:val="normaltextrun"/>
          <w:rFonts w:eastAsia="Arial" w:cs="Arial"/>
        </w:rPr>
        <w:t>exercised its s 130 TCPSS Act power to issue a direction to comply with the requirement to join the TIO. Instead, it has elected to issue formal warnings and remedial directions in its efforts to secure industry compliance with the obligation.</w:t>
      </w:r>
    </w:p>
    <w:p w14:paraId="4D82F1A8" w14:textId="77777777" w:rsidR="00712508" w:rsidRDefault="00712508">
      <w:pPr>
        <w:jc w:val="left"/>
        <w:rPr>
          <w:rStyle w:val="normaltextrun"/>
          <w:rFonts w:eastAsia="Arial" w:cs="Arial"/>
          <w:b/>
        </w:rPr>
      </w:pPr>
      <w:r>
        <w:rPr>
          <w:rStyle w:val="normaltextrun"/>
          <w:rFonts w:eastAsia="Arial" w:cs="Arial"/>
          <w:b/>
        </w:rPr>
        <w:br w:type="page"/>
      </w:r>
    </w:p>
    <w:p w14:paraId="1CE46D40" w14:textId="5E2F0941" w:rsidR="003D7A75" w:rsidRDefault="36809B6A" w:rsidP="3A0E6822">
      <w:pPr>
        <w:spacing w:line="240" w:lineRule="auto"/>
        <w:textAlignment w:val="baseline"/>
        <w:rPr>
          <w:rFonts w:eastAsia="Arial" w:cs="Arial"/>
        </w:rPr>
      </w:pPr>
      <w:r w:rsidRPr="3E1C4A8E">
        <w:rPr>
          <w:rStyle w:val="normaltextrun"/>
          <w:rFonts w:eastAsia="Arial" w:cs="Arial"/>
          <w:b/>
        </w:rPr>
        <w:lastRenderedPageBreak/>
        <w:t>Remedial directions</w:t>
      </w:r>
      <w:r w:rsidRPr="3E1C4A8E">
        <w:rPr>
          <w:rStyle w:val="normaltextrun"/>
          <w:rFonts w:eastAsia="Arial" w:cs="Arial"/>
        </w:rPr>
        <w:t xml:space="preserve"> concerned:</w:t>
      </w:r>
    </w:p>
    <w:p w14:paraId="5515B775" w14:textId="203C2243" w:rsidR="003D7A75" w:rsidRPr="00A75325" w:rsidRDefault="36809B6A" w:rsidP="00A75325">
      <w:pPr>
        <w:pStyle w:val="Bullets"/>
      </w:pPr>
      <w:r w:rsidRPr="00A75325">
        <w:rPr>
          <w:rStyle w:val="normaltextrun"/>
        </w:rPr>
        <w:t xml:space="preserve">the obligation to provide to the IPND Manager </w:t>
      </w:r>
      <w:r w:rsidR="0019777C" w:rsidRPr="27E57E23">
        <w:rPr>
          <w:rStyle w:val="normaltextrun"/>
        </w:rPr>
        <w:t xml:space="preserve">information </w:t>
      </w:r>
      <w:r w:rsidRPr="00A75325">
        <w:rPr>
          <w:rStyle w:val="normaltextrun"/>
        </w:rPr>
        <w:t>needed to provide and maintain the IPND</w:t>
      </w:r>
      <w:r w:rsidR="00D378B2" w:rsidRPr="00A75325">
        <w:rPr>
          <w:rStyle w:val="normaltextrun"/>
        </w:rPr>
        <w:t>;</w:t>
      </w:r>
      <w:r w:rsidR="00D378B2" w:rsidRPr="00A22830">
        <w:rPr>
          <w:rStyle w:val="FootnoteReference"/>
        </w:rPr>
        <w:footnoteReference w:id="250"/>
      </w:r>
    </w:p>
    <w:p w14:paraId="34A70325" w14:textId="185199A9" w:rsidR="003D7A75" w:rsidRPr="00A75325" w:rsidRDefault="36809B6A" w:rsidP="00A75325">
      <w:pPr>
        <w:pStyle w:val="Bullets"/>
      </w:pPr>
      <w:r w:rsidRPr="27E57E23">
        <w:rPr>
          <w:rStyle w:val="normaltextrun"/>
        </w:rPr>
        <w:t>the Telecommunications Service Provider (NBN Service Migration) Determination 2018</w:t>
      </w:r>
      <w:r w:rsidR="00D378B2" w:rsidRPr="27E57E23">
        <w:rPr>
          <w:rStyle w:val="normaltextrun"/>
        </w:rPr>
        <w:t>;</w:t>
      </w:r>
    </w:p>
    <w:p w14:paraId="78122C3C" w14:textId="1B3E9C4C" w:rsidR="003D7A75" w:rsidRDefault="36809B6A" w:rsidP="00A75325">
      <w:pPr>
        <w:pStyle w:val="Bullets"/>
        <w:rPr>
          <w:rStyle w:val="normaltextrun"/>
        </w:rPr>
      </w:pPr>
      <w:r w:rsidRPr="00A75325">
        <w:rPr>
          <w:rStyle w:val="normaltextrun"/>
        </w:rPr>
        <w:t>the Telecommunications (NBN Continuity of Service) Industry Standards 2018</w:t>
      </w:r>
      <w:r w:rsidR="00D378B2" w:rsidRPr="00A75325">
        <w:rPr>
          <w:rStyle w:val="normaltextrun"/>
        </w:rPr>
        <w:t>;</w:t>
      </w:r>
    </w:p>
    <w:p w14:paraId="0EE26D50" w14:textId="6BA12E3C" w:rsidR="00BB07D7" w:rsidRPr="00A75325" w:rsidRDefault="00BB07D7" w:rsidP="00A75325">
      <w:pPr>
        <w:pStyle w:val="Bullets"/>
      </w:pPr>
      <w:r w:rsidRPr="27E57E23">
        <w:rPr>
          <w:rStyle w:val="normaltextrun"/>
          <w:rFonts w:cs="Arial"/>
        </w:rPr>
        <w:t>the Telecommunications (Consumer Complaints Handling) Industry Standard 2018;</w:t>
      </w:r>
    </w:p>
    <w:p w14:paraId="22D83BF5" w14:textId="7A74A8FA" w:rsidR="00DA4700" w:rsidRPr="00A75325" w:rsidRDefault="00DA4700" w:rsidP="00A75325">
      <w:pPr>
        <w:pStyle w:val="Bullets"/>
      </w:pPr>
      <w:r w:rsidRPr="27E57E23">
        <w:rPr>
          <w:rStyle w:val="normaltextrun"/>
          <w:rFonts w:cs="Arial"/>
        </w:rPr>
        <w:t>the Telecommunications (Service Provider – Identity Checks for Prepaid Mobile Carriage Services) Determination;</w:t>
      </w:r>
    </w:p>
    <w:p w14:paraId="3C442434" w14:textId="3DFB37BC" w:rsidR="003D7A75" w:rsidRPr="00A75325" w:rsidRDefault="36809B6A" w:rsidP="00A75325">
      <w:pPr>
        <w:pStyle w:val="Bullets"/>
      </w:pPr>
      <w:r w:rsidRPr="00A75325">
        <w:rPr>
          <w:rStyle w:val="normaltextrun"/>
        </w:rPr>
        <w:t xml:space="preserve">the TCPSS Act obligations to join and </w:t>
      </w:r>
      <w:r w:rsidR="00B03D55" w:rsidRPr="27E57E23">
        <w:rPr>
          <w:rStyle w:val="normaltextrun"/>
        </w:rPr>
        <w:t xml:space="preserve">to </w:t>
      </w:r>
      <w:r w:rsidRPr="00A75325">
        <w:rPr>
          <w:rStyle w:val="normaltextrun"/>
        </w:rPr>
        <w:t>comply with the TIO scheme;</w:t>
      </w:r>
      <w:r w:rsidR="00D378B2" w:rsidRPr="00A22830">
        <w:rPr>
          <w:rStyle w:val="FootnoteReference"/>
        </w:rPr>
        <w:footnoteReference w:id="251"/>
      </w:r>
      <w:r w:rsidRPr="00A75325">
        <w:rPr>
          <w:rStyle w:val="normaltextrun"/>
        </w:rPr>
        <w:t xml:space="preserve"> and </w:t>
      </w:r>
    </w:p>
    <w:p w14:paraId="42FCDF56" w14:textId="10638D04" w:rsidR="003D7A75" w:rsidRPr="00A75325" w:rsidRDefault="36809B6A" w:rsidP="00A75325">
      <w:pPr>
        <w:pStyle w:val="Bullets"/>
      </w:pPr>
      <w:r w:rsidRPr="27E57E23">
        <w:rPr>
          <w:rStyle w:val="normaltextrun"/>
        </w:rPr>
        <w:t>Telstra’s priority assistance obligations in its carrier licence. </w:t>
      </w:r>
    </w:p>
    <w:p w14:paraId="48292015" w14:textId="723969D2" w:rsidR="008B7E1E" w:rsidRDefault="008B7E1E" w:rsidP="636D159F">
      <w:pPr>
        <w:rPr>
          <w:rFonts w:eastAsia="Arial" w:cs="Arial"/>
        </w:rPr>
      </w:pPr>
      <w:r w:rsidRPr="6546223A">
        <w:rPr>
          <w:rStyle w:val="eop"/>
          <w:rFonts w:cs="Arial"/>
        </w:rPr>
        <w:t>Of the 41 remedial directions</w:t>
      </w:r>
      <w:r w:rsidR="588F1A90" w:rsidRPr="6546223A">
        <w:rPr>
          <w:rStyle w:val="eop"/>
          <w:rFonts w:cs="Arial"/>
        </w:rPr>
        <w:t>:</w:t>
      </w:r>
    </w:p>
    <w:p w14:paraId="7019230D" w14:textId="13991978" w:rsidR="008B7E1E" w:rsidRDefault="008B7E1E" w:rsidP="00D51C01">
      <w:pPr>
        <w:pStyle w:val="Bullets"/>
        <w:rPr>
          <w:rFonts w:eastAsia="Arial"/>
          <w:szCs w:val="21"/>
        </w:rPr>
      </w:pPr>
      <w:r w:rsidRPr="27E57E23">
        <w:rPr>
          <w:rStyle w:val="eop"/>
          <w:rFonts w:cs="Arial"/>
        </w:rPr>
        <w:t xml:space="preserve">16 </w:t>
      </w:r>
      <w:r w:rsidR="007F0460" w:rsidRPr="27E57E23">
        <w:rPr>
          <w:rStyle w:val="eop"/>
          <w:rFonts w:cs="Arial"/>
        </w:rPr>
        <w:t>concerned</w:t>
      </w:r>
      <w:r w:rsidRPr="27E57E23">
        <w:rPr>
          <w:rStyle w:val="eop"/>
          <w:rFonts w:cs="Arial"/>
        </w:rPr>
        <w:t xml:space="preserve"> the </w:t>
      </w:r>
      <w:r w:rsidR="00AA7AED">
        <w:rPr>
          <w:rStyle w:val="eop"/>
          <w:rFonts w:cs="Arial"/>
        </w:rPr>
        <w:t>Tel Act</w:t>
      </w:r>
      <w:r w:rsidRPr="27E57E23">
        <w:rPr>
          <w:rStyle w:val="eop"/>
          <w:rFonts w:cs="Arial"/>
        </w:rPr>
        <w:t xml:space="preserve"> IPND obligations</w:t>
      </w:r>
      <w:r w:rsidR="003158CB" w:rsidRPr="27E57E23">
        <w:rPr>
          <w:rStyle w:val="eop"/>
          <w:rFonts w:cs="Arial"/>
        </w:rPr>
        <w:t>;</w:t>
      </w:r>
    </w:p>
    <w:p w14:paraId="77C28FB9" w14:textId="0B641116" w:rsidR="008B7E1E" w:rsidRDefault="008B7E1E" w:rsidP="00D51C01">
      <w:pPr>
        <w:pStyle w:val="Bullets"/>
        <w:rPr>
          <w:rFonts w:eastAsia="Arial"/>
        </w:rPr>
      </w:pPr>
      <w:r w:rsidRPr="27E57E23">
        <w:rPr>
          <w:rStyle w:val="normaltextrun"/>
          <w:rFonts w:cs="Arial"/>
        </w:rPr>
        <w:t xml:space="preserve">9 </w:t>
      </w:r>
      <w:r w:rsidR="007F0460" w:rsidRPr="27E57E23">
        <w:rPr>
          <w:rStyle w:val="eop"/>
          <w:rFonts w:cs="Arial"/>
        </w:rPr>
        <w:t xml:space="preserve">concerned </w:t>
      </w:r>
      <w:r w:rsidRPr="27E57E23">
        <w:rPr>
          <w:rStyle w:val="normaltextrun"/>
          <w:rFonts w:cs="Arial"/>
        </w:rPr>
        <w:t>the TCPSS Act obligations to join</w:t>
      </w:r>
      <w:r w:rsidR="1A193D74" w:rsidRPr="27E57E23">
        <w:rPr>
          <w:rStyle w:val="normaltextrun"/>
          <w:rFonts w:cs="Arial"/>
        </w:rPr>
        <w:t xml:space="preserve"> the TIO</w:t>
      </w:r>
      <w:r w:rsidR="003158CB" w:rsidRPr="27E57E23">
        <w:rPr>
          <w:rStyle w:val="normaltextrun"/>
          <w:rFonts w:cs="Arial"/>
        </w:rPr>
        <w:t>;</w:t>
      </w:r>
    </w:p>
    <w:p w14:paraId="59F436B6" w14:textId="77CFABE5" w:rsidR="008B7E1E" w:rsidRPr="001C3E9C" w:rsidRDefault="008B7E1E" w:rsidP="00D51C01">
      <w:pPr>
        <w:pStyle w:val="Bullets"/>
        <w:rPr>
          <w:rFonts w:eastAsia="Arial"/>
        </w:rPr>
      </w:pPr>
      <w:r w:rsidRPr="27E57E23">
        <w:rPr>
          <w:rStyle w:val="normaltextrun"/>
          <w:rFonts w:cs="Arial"/>
        </w:rPr>
        <w:t xml:space="preserve">6 </w:t>
      </w:r>
      <w:r w:rsidR="007F0460" w:rsidRPr="27E57E23">
        <w:rPr>
          <w:rStyle w:val="eop"/>
          <w:rFonts w:cs="Arial"/>
        </w:rPr>
        <w:t xml:space="preserve">concerned </w:t>
      </w:r>
      <w:r w:rsidRPr="27E57E23">
        <w:rPr>
          <w:rStyle w:val="normaltextrun"/>
          <w:rFonts w:cs="Arial"/>
        </w:rPr>
        <w:t>the TCPSS Act obligations to comply with the TIO</w:t>
      </w:r>
      <w:r w:rsidR="001C3E9C" w:rsidRPr="27E57E23">
        <w:rPr>
          <w:rStyle w:val="normaltextrun"/>
          <w:rFonts w:cs="Arial"/>
        </w:rPr>
        <w:t xml:space="preserve"> scheme</w:t>
      </w:r>
      <w:r w:rsidR="00DE3915" w:rsidRPr="27E57E23">
        <w:rPr>
          <w:rStyle w:val="normaltextrun"/>
          <w:rFonts w:cs="Arial"/>
        </w:rPr>
        <w:t>;</w:t>
      </w:r>
    </w:p>
    <w:p w14:paraId="5410CCFC" w14:textId="0DE5F2AF" w:rsidR="008B7E1E" w:rsidRDefault="008B7E1E" w:rsidP="00D51C01">
      <w:pPr>
        <w:pStyle w:val="Bullets"/>
        <w:rPr>
          <w:rFonts w:eastAsia="Arial"/>
        </w:rPr>
      </w:pPr>
      <w:r w:rsidRPr="27E57E23">
        <w:rPr>
          <w:rStyle w:val="normaltextrun"/>
          <w:rFonts w:cs="Arial"/>
        </w:rPr>
        <w:t xml:space="preserve">4 </w:t>
      </w:r>
      <w:r w:rsidR="007F0460" w:rsidRPr="27E57E23">
        <w:rPr>
          <w:rStyle w:val="eop"/>
          <w:rFonts w:cs="Arial"/>
        </w:rPr>
        <w:t xml:space="preserve">concerned </w:t>
      </w:r>
      <w:r w:rsidRPr="27E57E23">
        <w:rPr>
          <w:rStyle w:val="normaltextrun"/>
          <w:rFonts w:cs="Arial"/>
        </w:rPr>
        <w:t>the Telecommunications (Consumer Complaints Handling) Industry Standard 2018</w:t>
      </w:r>
      <w:r w:rsidR="00DE3915" w:rsidRPr="27E57E23">
        <w:rPr>
          <w:rStyle w:val="normaltextrun"/>
          <w:rFonts w:cs="Arial"/>
        </w:rPr>
        <w:t>;</w:t>
      </w:r>
    </w:p>
    <w:p w14:paraId="59733C48" w14:textId="3B386781" w:rsidR="008B7E1E" w:rsidRDefault="008B7E1E" w:rsidP="00D51C01">
      <w:pPr>
        <w:pStyle w:val="Bullets"/>
        <w:rPr>
          <w:rFonts w:eastAsia="Arial"/>
        </w:rPr>
      </w:pPr>
      <w:r w:rsidRPr="27E57E23">
        <w:rPr>
          <w:rStyle w:val="eop"/>
          <w:rFonts w:cs="Arial"/>
        </w:rPr>
        <w:t xml:space="preserve">2 </w:t>
      </w:r>
      <w:r w:rsidR="007F0460" w:rsidRPr="27E57E23">
        <w:rPr>
          <w:rStyle w:val="eop"/>
          <w:rFonts w:cs="Arial"/>
        </w:rPr>
        <w:t xml:space="preserve">concerned </w:t>
      </w:r>
      <w:r w:rsidRPr="27E57E23">
        <w:rPr>
          <w:rStyle w:val="eop"/>
          <w:rFonts w:cs="Arial"/>
        </w:rPr>
        <w:t xml:space="preserve">the </w:t>
      </w:r>
      <w:r w:rsidRPr="27E57E23">
        <w:rPr>
          <w:rStyle w:val="normaltextrun"/>
          <w:rFonts w:cs="Arial"/>
        </w:rPr>
        <w:t>Telecommunications Service Provider (NBN Service Migration) Determination 2018</w:t>
      </w:r>
      <w:r w:rsidR="00DE3915" w:rsidRPr="27E57E23">
        <w:rPr>
          <w:rStyle w:val="normaltextrun"/>
          <w:rFonts w:cs="Arial"/>
        </w:rPr>
        <w:t>;</w:t>
      </w:r>
    </w:p>
    <w:p w14:paraId="5BA707F3" w14:textId="6844EBEE" w:rsidR="008B7E1E" w:rsidRPr="00506CF4" w:rsidRDefault="008B7E1E" w:rsidP="00D51C01">
      <w:pPr>
        <w:pStyle w:val="Bullets"/>
        <w:rPr>
          <w:rStyle w:val="normaltextrun"/>
          <w:rFonts w:eastAsia="Arial" w:cs="Arial"/>
        </w:rPr>
      </w:pPr>
      <w:r w:rsidRPr="27E57E23">
        <w:rPr>
          <w:rStyle w:val="eop"/>
          <w:rFonts w:cs="Arial"/>
        </w:rPr>
        <w:t xml:space="preserve">1 </w:t>
      </w:r>
      <w:r w:rsidR="007F0460" w:rsidRPr="27E57E23">
        <w:rPr>
          <w:rStyle w:val="eop"/>
          <w:rFonts w:cs="Arial"/>
        </w:rPr>
        <w:t xml:space="preserve">concerned </w:t>
      </w:r>
      <w:r w:rsidRPr="27E57E23">
        <w:rPr>
          <w:rStyle w:val="eop"/>
          <w:rFonts w:cs="Arial"/>
        </w:rPr>
        <w:t xml:space="preserve">both </w:t>
      </w:r>
      <w:r w:rsidRPr="27E57E23">
        <w:rPr>
          <w:rStyle w:val="normaltextrun"/>
          <w:rFonts w:cs="Arial"/>
        </w:rPr>
        <w:t>the Telecommunications (NBN Continuity of Service) Industry Standard 2018 and the Telecommunications Service Provider (NBN Service Migration) Determination 2018</w:t>
      </w:r>
      <w:r w:rsidR="00DE3915" w:rsidRPr="27E57E23">
        <w:rPr>
          <w:rStyle w:val="normaltextrun"/>
          <w:rFonts w:cs="Arial"/>
        </w:rPr>
        <w:t>;</w:t>
      </w:r>
    </w:p>
    <w:p w14:paraId="6E651CCA" w14:textId="73D86E70" w:rsidR="00506CF4" w:rsidRDefault="00506CF4" w:rsidP="00D51C01">
      <w:pPr>
        <w:pStyle w:val="Bullets"/>
        <w:rPr>
          <w:rFonts w:eastAsia="Arial"/>
        </w:rPr>
      </w:pPr>
      <w:r w:rsidRPr="27E57E23">
        <w:rPr>
          <w:rStyle w:val="normaltextrun"/>
          <w:rFonts w:cs="Arial"/>
        </w:rPr>
        <w:t>1 concerned the Telecommunications (Service Provider – Identity Checks for Prepaid Mobile Carriage Services) Determination</w:t>
      </w:r>
      <w:r w:rsidR="00DE3915" w:rsidRPr="27E57E23">
        <w:rPr>
          <w:rStyle w:val="normaltextrun"/>
          <w:rFonts w:cs="Arial"/>
        </w:rPr>
        <w:t>;</w:t>
      </w:r>
    </w:p>
    <w:p w14:paraId="0469BE5B" w14:textId="69960781" w:rsidR="008B7E1E" w:rsidRDefault="008B7E1E" w:rsidP="00CA6E3B">
      <w:pPr>
        <w:pStyle w:val="Bullets"/>
        <w:rPr>
          <w:rFonts w:eastAsia="Arial" w:cs="Arial"/>
        </w:rPr>
      </w:pPr>
      <w:r w:rsidRPr="27E57E23">
        <w:rPr>
          <w:rStyle w:val="eop"/>
          <w:rFonts w:cs="Arial"/>
        </w:rPr>
        <w:t xml:space="preserve">1 </w:t>
      </w:r>
      <w:r w:rsidR="007F0460" w:rsidRPr="27E57E23">
        <w:rPr>
          <w:rStyle w:val="eop"/>
          <w:rFonts w:cs="Arial"/>
        </w:rPr>
        <w:t xml:space="preserve">concerned </w:t>
      </w:r>
      <w:r w:rsidRPr="27E57E23">
        <w:rPr>
          <w:rStyle w:val="eop"/>
          <w:rFonts w:cs="Arial"/>
        </w:rPr>
        <w:t xml:space="preserve">both </w:t>
      </w:r>
      <w:r w:rsidRPr="27E57E23">
        <w:rPr>
          <w:rStyle w:val="normaltextrun"/>
          <w:rFonts w:cs="Arial"/>
        </w:rPr>
        <w:t xml:space="preserve">the Telecommunications (Consumer Complaints Handling) Industry Standard 2018 and the </w:t>
      </w:r>
      <w:r w:rsidRPr="27E57E23">
        <w:rPr>
          <w:rFonts w:cs="Arial"/>
        </w:rPr>
        <w:t>Telecommunications (NBN Consumer Information) Industry Standard 2018</w:t>
      </w:r>
      <w:r w:rsidR="00DE3915" w:rsidRPr="27E57E23">
        <w:rPr>
          <w:rFonts w:cs="Arial"/>
        </w:rPr>
        <w:t>;</w:t>
      </w:r>
      <w:r w:rsidR="00506CF4" w:rsidRPr="27E57E23">
        <w:rPr>
          <w:rFonts w:cs="Arial"/>
        </w:rPr>
        <w:t xml:space="preserve"> and</w:t>
      </w:r>
    </w:p>
    <w:p w14:paraId="7B488731" w14:textId="0CA67E54" w:rsidR="008B7E1E" w:rsidRDefault="00506CF4" w:rsidP="00CA6E3B">
      <w:pPr>
        <w:pStyle w:val="Bullets"/>
        <w:rPr>
          <w:rFonts w:eastAsia="Arial" w:cs="Arial"/>
        </w:rPr>
      </w:pPr>
      <w:r w:rsidRPr="27E57E23">
        <w:rPr>
          <w:rStyle w:val="eop"/>
          <w:rFonts w:cs="Arial"/>
        </w:rPr>
        <w:t xml:space="preserve">1 </w:t>
      </w:r>
      <w:r w:rsidR="007F0460" w:rsidRPr="27E57E23">
        <w:rPr>
          <w:rStyle w:val="eop"/>
          <w:rFonts w:cs="Arial"/>
        </w:rPr>
        <w:t xml:space="preserve">concerned </w:t>
      </w:r>
      <w:r w:rsidR="008B7E1E" w:rsidRPr="27E57E23">
        <w:rPr>
          <w:rStyle w:val="normaltextrun"/>
          <w:rFonts w:cs="Arial"/>
        </w:rPr>
        <w:t>Telstra’s priority assistance obligations in its carrier licence</w:t>
      </w:r>
      <w:r w:rsidR="008B7E1E" w:rsidRPr="27E57E23">
        <w:rPr>
          <w:rFonts w:cs="Arial"/>
        </w:rPr>
        <w:t>.</w:t>
      </w:r>
    </w:p>
    <w:p w14:paraId="24A9955D" w14:textId="17C41697" w:rsidR="003D7A75" w:rsidRDefault="36809B6A" w:rsidP="00377DC5">
      <w:pPr>
        <w:rPr>
          <w:rFonts w:eastAsia="Arial" w:cs="Arial"/>
          <w:szCs w:val="21"/>
        </w:rPr>
      </w:pPr>
      <w:r w:rsidRPr="3A0E6822">
        <w:rPr>
          <w:rStyle w:val="normaltextrun"/>
          <w:rFonts w:eastAsia="Arial" w:cs="Arial"/>
          <w:szCs w:val="21"/>
        </w:rPr>
        <w:t xml:space="preserve">Remedial directions to comply with the </w:t>
      </w:r>
      <w:r w:rsidR="00AA7AED">
        <w:rPr>
          <w:rStyle w:val="normaltextrun"/>
          <w:rFonts w:eastAsia="Arial" w:cs="Arial"/>
          <w:szCs w:val="21"/>
        </w:rPr>
        <w:t>Tel Act</w:t>
      </w:r>
      <w:r w:rsidRPr="3A0E6822">
        <w:rPr>
          <w:rStyle w:val="normaltextrun"/>
          <w:rFonts w:eastAsia="Arial" w:cs="Arial"/>
          <w:szCs w:val="21"/>
        </w:rPr>
        <w:t xml:space="preserve"> IPND obligation to provide information to Telstra were often accompanied by directions to comply with the IPND Industry Code. This was the case in February 2019 when </w:t>
      </w:r>
      <w:r w:rsidR="00D11F2F">
        <w:rPr>
          <w:rStyle w:val="normaltextrun"/>
          <w:rFonts w:eastAsia="Arial" w:cs="Arial"/>
          <w:szCs w:val="21"/>
        </w:rPr>
        <w:t>the ACMA</w:t>
      </w:r>
      <w:r w:rsidRPr="3A0E6822">
        <w:rPr>
          <w:rStyle w:val="normaltextrun"/>
          <w:rFonts w:eastAsia="Arial" w:cs="Arial"/>
          <w:szCs w:val="21"/>
        </w:rPr>
        <w:t xml:space="preserve"> took enforcement action against AAPT Limited, Agile, Chime Communications, Optus, PowerTel, Primus Telecommunications, Symbio Networks, Telstra, and TransACT Communications for breach of the IPND Industry Code. As seen in the enforcement actions against Telstra, Lycamobile, Optus and Vodafone in section 4(D) above, </w:t>
      </w:r>
      <w:r w:rsidR="00D11F2F">
        <w:rPr>
          <w:rStyle w:val="normaltextrun"/>
          <w:rFonts w:eastAsia="Arial" w:cs="Arial"/>
          <w:szCs w:val="21"/>
        </w:rPr>
        <w:t>the ACMA</w:t>
      </w:r>
      <w:r w:rsidRPr="3A0E6822">
        <w:rPr>
          <w:rStyle w:val="normaltextrun"/>
          <w:rFonts w:eastAsia="Arial" w:cs="Arial"/>
          <w:szCs w:val="21"/>
        </w:rPr>
        <w:t xml:space="preserve"> has maintained a focus on industry compliance with IPND rules (regardless of whether they are set out in direct regulation or a co-regulatory instrument like the IPND Code).</w:t>
      </w:r>
    </w:p>
    <w:p w14:paraId="4030F1C9" w14:textId="35B0BEBD" w:rsidR="003D7A75" w:rsidRDefault="36809B6A" w:rsidP="00377DC5">
      <w:pPr>
        <w:rPr>
          <w:rFonts w:eastAsia="Arial" w:cs="Arial"/>
          <w:szCs w:val="21"/>
        </w:rPr>
      </w:pPr>
      <w:r w:rsidRPr="3A0E6822">
        <w:rPr>
          <w:rStyle w:val="normaltextrun"/>
          <w:rFonts w:eastAsia="Arial" w:cs="Arial"/>
          <w:szCs w:val="21"/>
        </w:rPr>
        <w:t xml:space="preserve">Telstra was issued with the most remedial directions: 3. Netfast, Optus and TransAct Communications were each issued with 2. </w:t>
      </w:r>
      <w:r w:rsidR="00F44A47">
        <w:rPr>
          <w:rStyle w:val="normaltextrun"/>
          <w:rFonts w:eastAsia="Arial" w:cs="Arial"/>
          <w:szCs w:val="21"/>
        </w:rPr>
        <w:t>Thirty-</w:t>
      </w:r>
      <w:r w:rsidR="009B0455">
        <w:rPr>
          <w:rStyle w:val="normaltextrun"/>
          <w:rFonts w:eastAsia="Arial" w:cs="Arial"/>
          <w:szCs w:val="21"/>
        </w:rPr>
        <w:t>two</w:t>
      </w:r>
      <w:r w:rsidRPr="3A0E6822">
        <w:rPr>
          <w:rStyle w:val="normaltextrun"/>
          <w:rFonts w:eastAsia="Arial" w:cs="Arial"/>
          <w:szCs w:val="21"/>
        </w:rPr>
        <w:t xml:space="preserve"> other providers were issued with 1.</w:t>
      </w:r>
      <w:r w:rsidR="00363F6E">
        <w:rPr>
          <w:rStyle w:val="normaltextrun"/>
          <w:rFonts w:eastAsia="Arial" w:cs="Arial"/>
          <w:szCs w:val="21"/>
        </w:rPr>
        <w:t xml:space="preserve"> </w:t>
      </w:r>
      <w:r w:rsidRPr="3A0E6822">
        <w:rPr>
          <w:rStyle w:val="eop"/>
          <w:rFonts w:eastAsia="Arial" w:cs="Arial"/>
          <w:szCs w:val="21"/>
        </w:rPr>
        <w:lastRenderedPageBreak/>
        <w:t xml:space="preserve">Without access to all published investigation reports and enforcement instruments, it is not possible to make any further observations about the way in which </w:t>
      </w:r>
      <w:r w:rsidR="00D11F2F">
        <w:rPr>
          <w:rStyle w:val="eop"/>
          <w:rFonts w:eastAsia="Arial" w:cs="Arial"/>
          <w:szCs w:val="21"/>
        </w:rPr>
        <w:t>the ACMA</w:t>
      </w:r>
      <w:r w:rsidRPr="3A0E6822">
        <w:rPr>
          <w:rStyle w:val="eop"/>
          <w:rFonts w:eastAsia="Arial" w:cs="Arial"/>
          <w:szCs w:val="21"/>
        </w:rPr>
        <w:t xml:space="preserve"> has exercised its powers to issue formal warnings, directions to comply and remedial directions. </w:t>
      </w:r>
    </w:p>
    <w:p w14:paraId="04800373" w14:textId="357F4565" w:rsidR="004B732C" w:rsidRDefault="008D517C" w:rsidP="00377DC5">
      <w:r w:rsidRPr="41E20713">
        <w:rPr>
          <w:rFonts w:eastAsia="Arial" w:cs="Arial"/>
          <w:b/>
        </w:rPr>
        <w:t xml:space="preserve">Infringement notices </w:t>
      </w:r>
      <w:r>
        <w:t>were issued for breaches of</w:t>
      </w:r>
      <w:r w:rsidR="000778DE">
        <w:t>:</w:t>
      </w:r>
    </w:p>
    <w:p w14:paraId="426F3BC8" w14:textId="0CF6546A" w:rsidR="004B732C" w:rsidRDefault="008D517C" w:rsidP="001019BA">
      <w:pPr>
        <w:pStyle w:val="ListParagraph"/>
        <w:numPr>
          <w:ilvl w:val="0"/>
          <w:numId w:val="64"/>
        </w:numPr>
      </w:pPr>
      <w:r>
        <w:t xml:space="preserve">the IPND service provider rules in Schedule 2 of the </w:t>
      </w:r>
      <w:r w:rsidR="00AA7AED">
        <w:t>Tel Act</w:t>
      </w:r>
      <w:r w:rsidR="004B732C">
        <w:t>;</w:t>
      </w:r>
    </w:p>
    <w:p w14:paraId="118CD241" w14:textId="664C7CE3" w:rsidR="004B732C" w:rsidRDefault="008D517C" w:rsidP="001019BA">
      <w:pPr>
        <w:pStyle w:val="ListParagraph"/>
        <w:numPr>
          <w:ilvl w:val="0"/>
          <w:numId w:val="64"/>
        </w:numPr>
      </w:pPr>
      <w:r>
        <w:t>the Telecommunications (Mobile Number Pre-Porting Additional Identity Verification) Industry Standard 2020</w:t>
      </w:r>
      <w:r w:rsidR="004B732C">
        <w:t>;</w:t>
      </w:r>
    </w:p>
    <w:p w14:paraId="486F776F" w14:textId="1F600FFF" w:rsidR="004B732C" w:rsidRDefault="008D517C" w:rsidP="001019BA">
      <w:pPr>
        <w:pStyle w:val="ListParagraph"/>
        <w:numPr>
          <w:ilvl w:val="0"/>
          <w:numId w:val="64"/>
        </w:numPr>
      </w:pPr>
      <w:r>
        <w:t>the Telecommunications (Consumer Complaints) Record-Keeping Rules 2018</w:t>
      </w:r>
      <w:r w:rsidR="004B732C">
        <w:t>;</w:t>
      </w:r>
    </w:p>
    <w:p w14:paraId="4807FDE8" w14:textId="2355551E" w:rsidR="001E1447" w:rsidRDefault="004B732C" w:rsidP="001019BA">
      <w:pPr>
        <w:pStyle w:val="ListParagraph"/>
        <w:numPr>
          <w:ilvl w:val="0"/>
          <w:numId w:val="64"/>
        </w:numPr>
      </w:pPr>
      <w:r>
        <w:t>the</w:t>
      </w:r>
      <w:r w:rsidR="00382646">
        <w:t xml:space="preserve"> </w:t>
      </w:r>
      <w:r w:rsidR="008D517C">
        <w:t>Telecommunications (NBN Consumer Information) Industry Standard 2018, the Telecommunications (Service Provider – Identity Checks for Prepaid Mobile Carriage Services) Determination 2017</w:t>
      </w:r>
      <w:r w:rsidR="001E1447">
        <w:t>;</w:t>
      </w:r>
      <w:r w:rsidR="008D517C">
        <w:t xml:space="preserve"> </w:t>
      </w:r>
    </w:p>
    <w:p w14:paraId="4041CDB8" w14:textId="77777777" w:rsidR="001E1447" w:rsidRDefault="008D517C" w:rsidP="001019BA">
      <w:pPr>
        <w:pStyle w:val="ListParagraph"/>
        <w:numPr>
          <w:ilvl w:val="0"/>
          <w:numId w:val="64"/>
        </w:numPr>
      </w:pPr>
      <w:r>
        <w:t>the Telecommunications Numbering Plan 2015</w:t>
      </w:r>
      <w:r w:rsidR="001E1447">
        <w:t>;</w:t>
      </w:r>
    </w:p>
    <w:p w14:paraId="2466A48C" w14:textId="03F911A9" w:rsidR="000226BB" w:rsidRPr="0041610E" w:rsidRDefault="008D517C" w:rsidP="001019BA">
      <w:pPr>
        <w:pStyle w:val="ListParagraph"/>
        <w:numPr>
          <w:ilvl w:val="0"/>
          <w:numId w:val="64"/>
        </w:numPr>
        <w:rPr>
          <w:rFonts w:eastAsia="Arial" w:cs="Arial"/>
        </w:rPr>
      </w:pPr>
      <w:r>
        <w:t xml:space="preserve">directions to comply with the TCP </w:t>
      </w:r>
      <w:r w:rsidRPr="00243564">
        <w:rPr>
          <w:rFonts w:eastAsia="Arial" w:cs="Arial"/>
        </w:rPr>
        <w:t>and IPND codes</w:t>
      </w:r>
      <w:r w:rsidR="00EE4A91">
        <w:rPr>
          <w:rFonts w:eastAsia="Arial" w:cs="Arial"/>
        </w:rPr>
        <w:t>,</w:t>
      </w:r>
      <w:r w:rsidR="00B31DC4">
        <w:rPr>
          <w:rFonts w:eastAsia="Arial" w:cs="Arial"/>
        </w:rPr>
        <w:t xml:space="preserve"> </w:t>
      </w:r>
      <w:r w:rsidR="00EE4A91">
        <w:rPr>
          <w:rFonts w:eastAsia="Arial" w:cs="Arial"/>
        </w:rPr>
        <w:t>a</w:t>
      </w:r>
      <w:r w:rsidRPr="00243564">
        <w:rPr>
          <w:rFonts w:eastAsia="Arial" w:cs="Arial"/>
        </w:rPr>
        <w:t xml:space="preserve"> </w:t>
      </w:r>
      <w:r>
        <w:t>remedial direction</w:t>
      </w:r>
      <w:r w:rsidRPr="00243564">
        <w:rPr>
          <w:rFonts w:eastAsia="Arial" w:cs="Arial"/>
        </w:rPr>
        <w:t xml:space="preserve"> </w:t>
      </w:r>
      <w:r w:rsidR="008C3C7C" w:rsidRPr="00511D0F">
        <w:rPr>
          <w:rFonts w:eastAsia="Arial" w:cs="Arial"/>
        </w:rPr>
        <w:t xml:space="preserve">relating to </w:t>
      </w:r>
      <w:r w:rsidRPr="00243564">
        <w:rPr>
          <w:rFonts w:eastAsia="Arial" w:cs="Arial"/>
        </w:rPr>
        <w:t>the</w:t>
      </w:r>
      <w:r w:rsidR="00F84411">
        <w:rPr>
          <w:rFonts w:eastAsia="Arial" w:cs="Arial"/>
        </w:rPr>
        <w:t xml:space="preserve"> </w:t>
      </w:r>
      <w:r w:rsidRPr="00243564">
        <w:rPr>
          <w:rFonts w:eastAsia="Arial" w:cs="Arial"/>
        </w:rPr>
        <w:t>TCPSS Act obligations to join the TIO scheme</w:t>
      </w:r>
      <w:r w:rsidR="00EE4A91">
        <w:rPr>
          <w:rFonts w:eastAsia="Arial" w:cs="Arial"/>
        </w:rPr>
        <w:t xml:space="preserve">, </w:t>
      </w:r>
      <w:r w:rsidR="00762A9B">
        <w:rPr>
          <w:rFonts w:eastAsia="Arial" w:cs="Arial"/>
        </w:rPr>
        <w:t>and</w:t>
      </w:r>
      <w:r w:rsidR="00EE4A91">
        <w:rPr>
          <w:rFonts w:eastAsia="Arial" w:cs="Arial"/>
        </w:rPr>
        <w:t xml:space="preserve"> a remedial direction </w:t>
      </w:r>
      <w:r w:rsidR="00ED5273">
        <w:rPr>
          <w:rFonts w:eastAsia="Arial" w:cs="Arial"/>
        </w:rPr>
        <w:t>relating to</w:t>
      </w:r>
      <w:r w:rsidR="00762A9B">
        <w:rPr>
          <w:rFonts w:eastAsia="Arial" w:cs="Arial"/>
        </w:rPr>
        <w:t xml:space="preserve"> </w:t>
      </w:r>
      <w:r w:rsidR="00ED5273" w:rsidRPr="00ED5273">
        <w:t xml:space="preserve"> </w:t>
      </w:r>
      <w:r w:rsidR="00ED5273">
        <w:t>the Telecommunications (Service Provider – Identity Checks for Prepaid Mobile Carriage Services) Determination 2017</w:t>
      </w:r>
      <w:r w:rsidRPr="0041610E">
        <w:rPr>
          <w:rFonts w:eastAsia="Arial" w:cs="Arial"/>
        </w:rPr>
        <w:t>.</w:t>
      </w:r>
    </w:p>
    <w:p w14:paraId="6702BD51" w14:textId="589221CA" w:rsidR="003D7A75" w:rsidRDefault="36809B6A" w:rsidP="00377DC5">
      <w:pPr>
        <w:rPr>
          <w:rFonts w:eastAsia="Arial" w:cs="Arial"/>
        </w:rPr>
      </w:pPr>
      <w:r w:rsidRPr="41E20713">
        <w:rPr>
          <w:rStyle w:val="normaltextrun"/>
          <w:rFonts w:eastAsia="Arial" w:cs="Arial"/>
        </w:rPr>
        <w:t xml:space="preserve">Infringement notices were issued less frequently than any other administrative enforcement mechanism. This is most likely because of the relatively limited circumstances, outlined in </w:t>
      </w:r>
      <w:r w:rsidR="00F27BAB">
        <w:rPr>
          <w:rStyle w:val="normaltextrun"/>
          <w:rFonts w:eastAsia="Arial" w:cs="Arial"/>
        </w:rPr>
        <w:t xml:space="preserve">Chapter </w:t>
      </w:r>
      <w:r w:rsidR="00F40686">
        <w:rPr>
          <w:rStyle w:val="normaltextrun"/>
          <w:rFonts w:eastAsia="Arial" w:cs="Arial"/>
        </w:rPr>
        <w:t>2</w:t>
      </w:r>
      <w:r w:rsidRPr="41E20713">
        <w:rPr>
          <w:rStyle w:val="normaltextrun"/>
          <w:rFonts w:eastAsia="Arial" w:cs="Arial"/>
        </w:rPr>
        <w:t xml:space="preserve">, in which </w:t>
      </w:r>
      <w:r w:rsidR="00D11F2F">
        <w:rPr>
          <w:rStyle w:val="normaltextrun"/>
          <w:rFonts w:eastAsia="Arial" w:cs="Arial"/>
        </w:rPr>
        <w:t>the ACMA</w:t>
      </w:r>
      <w:r w:rsidRPr="41E20713">
        <w:rPr>
          <w:rStyle w:val="normaltextrun"/>
          <w:rFonts w:eastAsia="Arial" w:cs="Arial"/>
        </w:rPr>
        <w:t xml:space="preserve"> may issue them.</w:t>
      </w:r>
      <w:r w:rsidR="00D94638">
        <w:rPr>
          <w:rStyle w:val="normaltextrun"/>
          <w:rFonts w:eastAsia="Arial" w:cs="Arial"/>
        </w:rPr>
        <w:t xml:space="preserve"> </w:t>
      </w:r>
      <w:r w:rsidR="00D94638" w:rsidRPr="41E20713">
        <w:rPr>
          <w:rStyle w:val="normaltextrun"/>
          <w:rFonts w:eastAsia="Arial" w:cs="Arial"/>
        </w:rPr>
        <w:t xml:space="preserve">For </w:t>
      </w:r>
      <w:r w:rsidR="00D94638">
        <w:rPr>
          <w:rStyle w:val="normaltextrun"/>
          <w:rFonts w:eastAsia="Arial" w:cs="Arial"/>
        </w:rPr>
        <w:t xml:space="preserve">an example of an occasion on which </w:t>
      </w:r>
      <w:r w:rsidR="003669D8">
        <w:rPr>
          <w:rStyle w:val="normaltextrun"/>
          <w:rFonts w:eastAsia="Arial" w:cs="Arial"/>
        </w:rPr>
        <w:t>a large fine was imposed</w:t>
      </w:r>
      <w:r w:rsidR="00D94638" w:rsidRPr="41E20713">
        <w:rPr>
          <w:rStyle w:val="normaltextrun"/>
          <w:rFonts w:eastAsia="Arial" w:cs="Arial"/>
        </w:rPr>
        <w:t>, see</w:t>
      </w:r>
      <w:r w:rsidR="003669D8">
        <w:rPr>
          <w:rStyle w:val="normaltextrun"/>
          <w:rFonts w:eastAsia="Arial" w:cs="Arial"/>
        </w:rPr>
        <w:t xml:space="preserve"> the Lycamobile</w:t>
      </w:r>
      <w:r w:rsidR="00D94638" w:rsidRPr="41E20713">
        <w:rPr>
          <w:rStyle w:val="normaltextrun"/>
          <w:rFonts w:eastAsia="Arial" w:cs="Arial"/>
        </w:rPr>
        <w:t xml:space="preserve"> </w:t>
      </w:r>
      <w:r w:rsidR="00D94638" w:rsidRPr="41E20713">
        <w:rPr>
          <w:rStyle w:val="normaltextrun"/>
          <w:rFonts w:eastAsia="Arial" w:cs="Arial"/>
          <w:i/>
        </w:rPr>
        <w:t>Case Study: Infringement notice</w:t>
      </w:r>
      <w:r w:rsidR="00D94638" w:rsidRPr="41E20713">
        <w:rPr>
          <w:rStyle w:val="normaltextrun"/>
          <w:rFonts w:eastAsia="Arial" w:cs="Arial"/>
        </w:rPr>
        <w:t xml:space="preserve"> in </w:t>
      </w:r>
      <w:r w:rsidR="00F27BAB">
        <w:rPr>
          <w:rStyle w:val="normaltextrun"/>
          <w:rFonts w:eastAsia="Arial" w:cs="Arial"/>
        </w:rPr>
        <w:t>s</w:t>
      </w:r>
      <w:r w:rsidR="00D94638" w:rsidRPr="41E20713">
        <w:rPr>
          <w:rStyle w:val="normaltextrun"/>
          <w:rFonts w:eastAsia="Arial" w:cs="Arial"/>
        </w:rPr>
        <w:t>ection C(1)</w:t>
      </w:r>
      <w:r w:rsidR="003669D8">
        <w:rPr>
          <w:rStyle w:val="normaltextrun"/>
          <w:rFonts w:eastAsia="Arial" w:cs="Arial"/>
        </w:rPr>
        <w:t xml:space="preserve"> above. </w:t>
      </w:r>
    </w:p>
    <w:p w14:paraId="47B6ADCB" w14:textId="32DF1676" w:rsidR="003D7A75" w:rsidRDefault="00D93DDE" w:rsidP="00377DC5">
      <w:pPr>
        <w:rPr>
          <w:rFonts w:eastAsia="Arial" w:cs="Arial"/>
        </w:rPr>
      </w:pPr>
      <w:r w:rsidRPr="42A07A57">
        <w:rPr>
          <w:rFonts w:eastAsia="Arial" w:cs="Arial"/>
        </w:rPr>
        <w:t xml:space="preserve">Telstra and Lycamobile were issued with the most infringement notices: 4. Exetel, Aussie Broadband and Circles Australia each received 2. Ten other providers each received </w:t>
      </w:r>
      <w:r w:rsidR="36809B6A" w:rsidRPr="00D93DDE" w:rsidDel="00D93DDE">
        <w:rPr>
          <w:rFonts w:eastAsia="Arial" w:cs="Arial"/>
        </w:rPr>
        <w:t>1</w:t>
      </w:r>
      <w:r w:rsidR="36809B6A" w:rsidRPr="23199C30">
        <w:rPr>
          <w:rStyle w:val="normaltextrun"/>
          <w:rFonts w:eastAsia="Arial" w:cs="Arial"/>
        </w:rPr>
        <w:t>.</w:t>
      </w:r>
      <w:r w:rsidR="00F42D91" w:rsidRPr="23199C30">
        <w:rPr>
          <w:rStyle w:val="FootnoteReference"/>
          <w:rFonts w:eastAsia="Arial" w:cs="Arial"/>
        </w:rPr>
        <w:footnoteReference w:id="252"/>
      </w:r>
      <w:r w:rsidR="36809B6A" w:rsidRPr="23199C30">
        <w:rPr>
          <w:rStyle w:val="normaltextrun"/>
          <w:rFonts w:eastAsia="Arial" w:cs="Arial"/>
        </w:rPr>
        <w:t xml:space="preserve"> </w:t>
      </w:r>
      <w:r w:rsidR="00600BF4" w:rsidRPr="42A07A57">
        <w:rPr>
          <w:rStyle w:val="normaltextrun"/>
          <w:rFonts w:eastAsia="Arial" w:cs="Arial"/>
        </w:rPr>
        <w:t xml:space="preserve">In the case </w:t>
      </w:r>
      <w:r w:rsidR="003A4541" w:rsidRPr="42A07A57">
        <w:rPr>
          <w:rStyle w:val="normaltextrun"/>
          <w:rFonts w:eastAsia="Arial" w:cs="Arial"/>
        </w:rPr>
        <w:t>of</w:t>
      </w:r>
      <w:r w:rsidR="00ED46AD" w:rsidRPr="42A07A57">
        <w:rPr>
          <w:rStyle w:val="normaltextrun"/>
          <w:rFonts w:eastAsia="Arial" w:cs="Arial"/>
        </w:rPr>
        <w:t xml:space="preserve"> a</w:t>
      </w:r>
      <w:r w:rsidR="003A4541" w:rsidRPr="42A07A57">
        <w:rPr>
          <w:rStyle w:val="normaltextrun"/>
          <w:rFonts w:eastAsia="Arial" w:cs="Arial"/>
        </w:rPr>
        <w:t xml:space="preserve"> single infringement fine,</w:t>
      </w:r>
      <w:r w:rsidR="00D07F2C" w:rsidRPr="42A07A57">
        <w:rPr>
          <w:rStyle w:val="normaltextrun"/>
          <w:rFonts w:eastAsia="Arial" w:cs="Arial"/>
        </w:rPr>
        <w:t xml:space="preserve"> the amount increased over the period covered in this report from $10,</w:t>
      </w:r>
      <w:r w:rsidR="0062257D" w:rsidRPr="42A07A57">
        <w:rPr>
          <w:rStyle w:val="normaltextrun"/>
          <w:rFonts w:eastAsia="Arial" w:cs="Arial"/>
        </w:rPr>
        <w:t>200 in March 2014</w:t>
      </w:r>
      <w:r w:rsidR="007E2A7D" w:rsidRPr="42A07A57">
        <w:rPr>
          <w:rStyle w:val="normaltextrun"/>
          <w:rFonts w:eastAsia="Arial" w:cs="Arial"/>
        </w:rPr>
        <w:t xml:space="preserve"> to $13,320 in July 2022. </w:t>
      </w:r>
      <w:r w:rsidR="000F23EC" w:rsidRPr="12EC14AA">
        <w:rPr>
          <w:rFonts w:eastAsia="Arial" w:cs="Arial"/>
        </w:rPr>
        <w:t>This increase is reflective of changes over time in the value of the standard penalty unit.</w:t>
      </w:r>
      <w:r w:rsidR="000F23EC">
        <w:rPr>
          <w:rStyle w:val="FootnoteReference"/>
          <w:rFonts w:eastAsia="Arial" w:cs="Arial"/>
        </w:rPr>
        <w:footnoteReference w:id="253"/>
      </w:r>
      <w:r w:rsidR="000F23EC" w:rsidRPr="12EC14AA">
        <w:rPr>
          <w:rFonts w:eastAsia="Arial" w:cs="Arial"/>
        </w:rPr>
        <w:t xml:space="preserve"> </w:t>
      </w:r>
      <w:r w:rsidR="36809B6A" w:rsidRPr="23199C30">
        <w:rPr>
          <w:rStyle w:val="normaltextrun"/>
          <w:rFonts w:eastAsia="Arial" w:cs="Arial"/>
        </w:rPr>
        <w:t xml:space="preserve">The total amount of infringement notices issued by </w:t>
      </w:r>
      <w:r w:rsidR="00D11F2F">
        <w:rPr>
          <w:rStyle w:val="normaltextrun"/>
          <w:rFonts w:eastAsia="Arial" w:cs="Arial"/>
        </w:rPr>
        <w:t>the ACMA</w:t>
      </w:r>
      <w:r w:rsidR="36809B6A" w:rsidRPr="23199C30">
        <w:rPr>
          <w:rStyle w:val="normaltextrun"/>
          <w:rFonts w:eastAsia="Arial" w:cs="Arial"/>
        </w:rPr>
        <w:t xml:space="preserve"> between 1 January 2010 and 30 June 2023 was $6,143,160.</w:t>
      </w:r>
    </w:p>
    <w:p w14:paraId="01EAEA8A" w14:textId="1F20A544" w:rsidR="003D7A75" w:rsidRDefault="36809B6A" w:rsidP="00377DC5">
      <w:pPr>
        <w:rPr>
          <w:rFonts w:eastAsia="Arial" w:cs="Arial"/>
        </w:rPr>
      </w:pPr>
      <w:r w:rsidRPr="2CC45167">
        <w:rPr>
          <w:rStyle w:val="normaltextrun"/>
          <w:rFonts w:eastAsia="Arial" w:cs="Arial"/>
        </w:rPr>
        <w:t>The infringement notices with the highest and second highest value - $2,530,800 and $1,512,000, respectively - were made against Telstra. This result may be because breaches by larger providers, especially those involving any automated systems, affect more customers</w:t>
      </w:r>
      <w:r w:rsidR="004C5886" w:rsidRPr="12EC14AA">
        <w:rPr>
          <w:rStyle w:val="normaltextrun"/>
          <w:rFonts w:eastAsia="Arial" w:cs="Arial"/>
        </w:rPr>
        <w:t xml:space="preserve"> and </w:t>
      </w:r>
      <w:r w:rsidR="00C756C7" w:rsidRPr="12EC14AA">
        <w:rPr>
          <w:rStyle w:val="normaltextrun"/>
          <w:rFonts w:eastAsia="Arial" w:cs="Arial"/>
        </w:rPr>
        <w:t>have the potential to</w:t>
      </w:r>
      <w:r w:rsidR="004C5886" w:rsidRPr="12EC14AA">
        <w:rPr>
          <w:rStyle w:val="normaltextrun"/>
          <w:rFonts w:eastAsia="Arial" w:cs="Arial"/>
        </w:rPr>
        <w:t xml:space="preserve"> cause </w:t>
      </w:r>
      <w:r w:rsidR="00B17B40" w:rsidRPr="12EC14AA">
        <w:rPr>
          <w:rStyle w:val="normaltextrun"/>
          <w:rFonts w:eastAsia="Arial" w:cs="Arial"/>
        </w:rPr>
        <w:t>greater</w:t>
      </w:r>
      <w:r w:rsidR="004C5886" w:rsidRPr="12EC14AA">
        <w:rPr>
          <w:rStyle w:val="normaltextrun"/>
          <w:rFonts w:eastAsia="Arial" w:cs="Arial"/>
        </w:rPr>
        <w:t xml:space="preserve"> harm</w:t>
      </w:r>
      <w:r w:rsidRPr="2CC45167">
        <w:rPr>
          <w:rStyle w:val="normaltextrun"/>
          <w:rFonts w:eastAsia="Arial" w:cs="Arial"/>
        </w:rPr>
        <w:t>. This provider</w:t>
      </w:r>
      <w:r w:rsidR="00935CBB" w:rsidRPr="2CC45167">
        <w:rPr>
          <w:rStyle w:val="normaltextrun"/>
          <w:rFonts w:eastAsia="Arial" w:cs="Arial"/>
        </w:rPr>
        <w:t xml:space="preserve"> </w:t>
      </w:r>
      <w:r w:rsidRPr="2CC45167">
        <w:rPr>
          <w:rStyle w:val="normaltextrun"/>
          <w:rFonts w:eastAsia="Arial" w:cs="Arial"/>
        </w:rPr>
        <w:t>also has access to</w:t>
      </w:r>
      <w:r w:rsidRPr="12EC14AA">
        <w:rPr>
          <w:rStyle w:val="normaltextrun"/>
          <w:rFonts w:eastAsia="Arial" w:cs="Arial"/>
        </w:rPr>
        <w:t xml:space="preserve"> </w:t>
      </w:r>
      <w:r w:rsidR="00EB4B1F" w:rsidRPr="12EC14AA">
        <w:rPr>
          <w:rStyle w:val="normaltextrun"/>
          <w:rFonts w:eastAsia="Arial" w:cs="Arial"/>
        </w:rPr>
        <w:t>significant</w:t>
      </w:r>
      <w:r w:rsidRPr="2CC45167">
        <w:rPr>
          <w:rStyle w:val="normaltextrun"/>
          <w:rFonts w:eastAsia="Arial" w:cs="Arial"/>
        </w:rPr>
        <w:t xml:space="preserve"> resources, meaning more severe action is </w:t>
      </w:r>
      <w:r w:rsidR="001B34DC" w:rsidRPr="2CC45167">
        <w:rPr>
          <w:rStyle w:val="normaltextrun"/>
          <w:rFonts w:eastAsia="Arial" w:cs="Arial"/>
        </w:rPr>
        <w:t xml:space="preserve">likely to be </w:t>
      </w:r>
      <w:r w:rsidRPr="2CC45167">
        <w:rPr>
          <w:rStyle w:val="normaltextrun"/>
          <w:rFonts w:eastAsia="Arial" w:cs="Arial"/>
        </w:rPr>
        <w:t>less burdensome.</w:t>
      </w:r>
      <w:r w:rsidR="001B34DC" w:rsidRPr="2CC45167">
        <w:rPr>
          <w:rStyle w:val="FootnoteReference"/>
          <w:rFonts w:eastAsia="Arial" w:cs="Arial"/>
        </w:rPr>
        <w:footnoteReference w:id="254"/>
      </w:r>
    </w:p>
    <w:p w14:paraId="54B63EEC" w14:textId="54DF61CB" w:rsidR="003D7A75" w:rsidRDefault="36809B6A" w:rsidP="00377DC5">
      <w:pPr>
        <w:rPr>
          <w:rFonts w:eastAsia="Arial" w:cs="Arial"/>
          <w:color w:val="000000" w:themeColor="text1"/>
        </w:rPr>
      </w:pPr>
      <w:r w:rsidRPr="3390B618">
        <w:rPr>
          <w:rStyle w:val="normaltextrun"/>
          <w:rFonts w:eastAsia="Arial" w:cs="Arial"/>
        </w:rPr>
        <w:t xml:space="preserve">As explored in the case studies in section C(2), three </w:t>
      </w:r>
      <w:r w:rsidRPr="3390B618">
        <w:rPr>
          <w:rStyle w:val="normaltextrun"/>
          <w:rFonts w:eastAsia="Arial" w:cs="Arial"/>
          <w:b/>
        </w:rPr>
        <w:t>civil penalties</w:t>
      </w:r>
      <w:r w:rsidRPr="3390B618">
        <w:rPr>
          <w:rStyle w:val="normaltextrun"/>
          <w:rFonts w:eastAsia="Arial" w:cs="Arial"/>
        </w:rPr>
        <w:t xml:space="preserve"> have been issued by the Federal Court. These primarily related to situations where there were repeated failures to comply with determinations made by the TIO or where issues of public safety were concerned. TPG, for example, failed to ensure that its controlled networks and/or controlled </w:t>
      </w:r>
      <w:r w:rsidR="00177509">
        <w:rPr>
          <w:rStyle w:val="normaltextrun"/>
          <w:rFonts w:eastAsia="Arial" w:cs="Arial"/>
        </w:rPr>
        <w:t>facilities</w:t>
      </w:r>
      <w:r w:rsidR="00177509" w:rsidRPr="3390B618">
        <w:rPr>
          <w:rStyle w:val="normaltextrun"/>
          <w:rFonts w:eastAsia="Arial" w:cs="Arial"/>
        </w:rPr>
        <w:t xml:space="preserve"> </w:t>
      </w:r>
      <w:r w:rsidRPr="3390B618">
        <w:rPr>
          <w:rStyle w:val="normaltextrun"/>
          <w:rFonts w:eastAsia="Arial" w:cs="Arial"/>
        </w:rPr>
        <w:t>gave the end users of 5,979 standard telephone services access to the Triple Zero emergency service.</w:t>
      </w:r>
      <w:r w:rsidR="00250BA8" w:rsidRPr="3390B618">
        <w:rPr>
          <w:rStyle w:val="normaltextrun"/>
          <w:rFonts w:eastAsia="Arial" w:cs="Arial"/>
        </w:rPr>
        <w:t xml:space="preserve"> </w:t>
      </w:r>
      <w:r w:rsidRPr="3390B618">
        <w:rPr>
          <w:rStyle w:val="normaltextrun"/>
          <w:rFonts w:eastAsia="Arial" w:cs="Arial"/>
        </w:rPr>
        <w:t>The Bytecard litigation followed</w:t>
      </w:r>
      <w:r w:rsidRPr="3390B618" w:rsidDel="00E25E88">
        <w:rPr>
          <w:rStyle w:val="normaltextrun"/>
          <w:rFonts w:eastAsia="Arial" w:cs="Arial"/>
        </w:rPr>
        <w:t xml:space="preserve"> </w:t>
      </w:r>
      <w:r w:rsidR="00E25E88" w:rsidRPr="3390B618">
        <w:rPr>
          <w:rStyle w:val="normaltextrun"/>
          <w:rFonts w:eastAsia="Arial" w:cs="Arial"/>
        </w:rPr>
        <w:t xml:space="preserve">two </w:t>
      </w:r>
      <w:r w:rsidRPr="3390B618">
        <w:rPr>
          <w:rStyle w:val="normaltextrun"/>
          <w:rFonts w:eastAsia="Arial" w:cs="Arial"/>
        </w:rPr>
        <w:t xml:space="preserve">remedial directions regarding non-compliance with </w:t>
      </w:r>
      <w:r w:rsidRPr="3390B618">
        <w:rPr>
          <w:rStyle w:val="normaltextrun"/>
          <w:rFonts w:eastAsia="Arial" w:cs="Arial"/>
        </w:rPr>
        <w:lastRenderedPageBreak/>
        <w:t>five determinations made by the TIO.</w:t>
      </w:r>
      <w:r w:rsidR="00767F74" w:rsidRPr="3390B618">
        <w:rPr>
          <w:rStyle w:val="normaltextrun"/>
          <w:rFonts w:eastAsia="Arial" w:cs="Arial"/>
        </w:rPr>
        <w:t xml:space="preserve"> </w:t>
      </w:r>
      <w:r w:rsidRPr="3390B618">
        <w:rPr>
          <w:rStyle w:val="normaltextrun"/>
          <w:rFonts w:eastAsia="Arial" w:cs="Arial"/>
        </w:rPr>
        <w:t>The Limni litigation </w:t>
      </w:r>
      <w:r w:rsidRPr="3390B618">
        <w:rPr>
          <w:rStyle w:val="normaltextrun"/>
          <w:rFonts w:eastAsia="Arial" w:cs="Arial"/>
          <w:color w:val="000000" w:themeColor="text1"/>
        </w:rPr>
        <w:t xml:space="preserve">followed a failure to comply with seven </w:t>
      </w:r>
      <w:r w:rsidR="00BF1394">
        <w:rPr>
          <w:rStyle w:val="normaltextrun"/>
          <w:rFonts w:eastAsia="Arial" w:cs="Arial"/>
          <w:color w:val="000000" w:themeColor="text1"/>
        </w:rPr>
        <w:t>TIO determinations</w:t>
      </w:r>
      <w:r w:rsidRPr="3390B618">
        <w:rPr>
          <w:rStyle w:val="normaltextrun"/>
          <w:rFonts w:eastAsia="Arial" w:cs="Arial"/>
          <w:color w:val="000000" w:themeColor="text1"/>
        </w:rPr>
        <w:t>. </w:t>
      </w:r>
    </w:p>
    <w:p w14:paraId="210B6221" w14:textId="598A450F" w:rsidR="003D7A75" w:rsidRDefault="36809B6A" w:rsidP="00377DC5">
      <w:pPr>
        <w:rPr>
          <w:rFonts w:eastAsia="Arial" w:cs="Arial"/>
          <w:color w:val="000000" w:themeColor="text1"/>
          <w:szCs w:val="21"/>
        </w:rPr>
      </w:pPr>
      <w:r w:rsidRPr="12EC14AA">
        <w:rPr>
          <w:rStyle w:val="eop"/>
          <w:rFonts w:eastAsia="Arial" w:cs="Arial"/>
          <w:color w:val="000000" w:themeColor="text1"/>
        </w:rPr>
        <w:t xml:space="preserve">A single </w:t>
      </w:r>
      <w:r w:rsidRPr="12EC14AA">
        <w:rPr>
          <w:rStyle w:val="eop"/>
          <w:rFonts w:eastAsia="Arial" w:cs="Arial"/>
          <w:b/>
          <w:bCs/>
          <w:color w:val="000000" w:themeColor="text1"/>
        </w:rPr>
        <w:t>mandatory</w:t>
      </w:r>
      <w:r w:rsidRPr="12EC14AA">
        <w:rPr>
          <w:rStyle w:val="eop"/>
          <w:rFonts w:eastAsia="Arial" w:cs="Arial"/>
          <w:color w:val="000000" w:themeColor="text1"/>
        </w:rPr>
        <w:t xml:space="preserve"> </w:t>
      </w:r>
      <w:r w:rsidRPr="12EC14AA">
        <w:rPr>
          <w:rStyle w:val="eop"/>
          <w:rFonts w:eastAsia="Arial" w:cs="Arial"/>
          <w:b/>
          <w:bCs/>
          <w:color w:val="000000" w:themeColor="text1"/>
        </w:rPr>
        <w:t>injunction</w:t>
      </w:r>
      <w:r w:rsidRPr="12EC14AA">
        <w:rPr>
          <w:rStyle w:val="eop"/>
          <w:rFonts w:eastAsia="Arial" w:cs="Arial"/>
          <w:color w:val="000000" w:themeColor="text1"/>
        </w:rPr>
        <w:t xml:space="preserve"> was also issued by the Federal Court against Bytecard and Brian Morris</w:t>
      </w:r>
      <w:r w:rsidR="00567E07" w:rsidRPr="12EC14AA">
        <w:rPr>
          <w:rStyle w:val="eop"/>
          <w:rFonts w:eastAsia="Arial" w:cs="Arial"/>
          <w:color w:val="000000" w:themeColor="text1"/>
        </w:rPr>
        <w:t>.</w:t>
      </w:r>
      <w:r w:rsidR="00567E07" w:rsidRPr="12EC14AA">
        <w:rPr>
          <w:rStyle w:val="FootnoteReference"/>
          <w:rFonts w:eastAsia="Arial" w:cs="Arial"/>
          <w:color w:val="000000" w:themeColor="text1"/>
        </w:rPr>
        <w:footnoteReference w:id="255"/>
      </w:r>
      <w:r w:rsidRPr="12EC14AA">
        <w:rPr>
          <w:rStyle w:val="eop"/>
          <w:rFonts w:eastAsia="Arial" w:cs="Arial"/>
          <w:color w:val="000000" w:themeColor="text1"/>
        </w:rPr>
        <w:t xml:space="preserve"> It granted </w:t>
      </w:r>
      <w:r w:rsidR="00D11F2F">
        <w:rPr>
          <w:rStyle w:val="eop"/>
          <w:rFonts w:eastAsia="Arial" w:cs="Arial"/>
          <w:color w:val="000000" w:themeColor="text1"/>
        </w:rPr>
        <w:t>the ACMA</w:t>
      </w:r>
      <w:r w:rsidRPr="12EC14AA">
        <w:rPr>
          <w:rStyle w:val="eop"/>
          <w:rFonts w:eastAsia="Arial" w:cs="Arial"/>
          <w:color w:val="000000" w:themeColor="text1"/>
        </w:rPr>
        <w:t xml:space="preserve">’s request to impose a compliance program on Bytecard and Mr Morris. </w:t>
      </w:r>
      <w:r w:rsidR="00244D8A" w:rsidRPr="12EC14AA">
        <w:rPr>
          <w:rStyle w:val="eop"/>
          <w:rFonts w:eastAsia="Arial" w:cs="Arial"/>
          <w:color w:val="000000" w:themeColor="text1"/>
        </w:rPr>
        <w:t>As part of the case,</w:t>
      </w:r>
      <w:r w:rsidRPr="12EC14AA">
        <w:rPr>
          <w:rStyle w:val="eop"/>
          <w:rFonts w:eastAsia="Arial" w:cs="Arial"/>
          <w:color w:val="000000" w:themeColor="text1"/>
        </w:rPr>
        <w:t xml:space="preserve"> </w:t>
      </w:r>
      <w:r w:rsidR="00D11F2F">
        <w:rPr>
          <w:rStyle w:val="eop"/>
          <w:rFonts w:eastAsia="Arial" w:cs="Arial"/>
          <w:color w:val="000000" w:themeColor="text1"/>
        </w:rPr>
        <w:t>the ACMA</w:t>
      </w:r>
      <w:r w:rsidR="00244D8A" w:rsidRPr="12EC14AA">
        <w:rPr>
          <w:rStyle w:val="eop"/>
          <w:rFonts w:eastAsia="Arial" w:cs="Arial"/>
          <w:color w:val="000000" w:themeColor="text1"/>
        </w:rPr>
        <w:t xml:space="preserve"> had</w:t>
      </w:r>
      <w:r w:rsidRPr="12EC14AA">
        <w:rPr>
          <w:rStyle w:val="eop"/>
          <w:rFonts w:eastAsia="Arial" w:cs="Arial"/>
          <w:color w:val="000000" w:themeColor="text1"/>
        </w:rPr>
        <w:t xml:space="preserve"> </w:t>
      </w:r>
      <w:r w:rsidR="00B77D15" w:rsidRPr="12EC14AA">
        <w:rPr>
          <w:rStyle w:val="eop"/>
          <w:rFonts w:eastAsia="Arial" w:cs="Arial"/>
          <w:color w:val="000000" w:themeColor="text1"/>
        </w:rPr>
        <w:t xml:space="preserve">also </w:t>
      </w:r>
      <w:r w:rsidRPr="12EC14AA">
        <w:rPr>
          <w:rStyle w:val="eop"/>
          <w:rFonts w:eastAsia="Arial" w:cs="Arial"/>
          <w:color w:val="000000" w:themeColor="text1"/>
        </w:rPr>
        <w:t>request</w:t>
      </w:r>
      <w:r w:rsidR="00244D8A" w:rsidRPr="12EC14AA">
        <w:rPr>
          <w:rStyle w:val="eop"/>
          <w:rFonts w:eastAsia="Arial" w:cs="Arial"/>
          <w:color w:val="000000" w:themeColor="text1"/>
        </w:rPr>
        <w:t>ed for the court to impose</w:t>
      </w:r>
      <w:r w:rsidRPr="12EC14AA">
        <w:rPr>
          <w:rStyle w:val="eop"/>
          <w:rFonts w:eastAsia="Arial" w:cs="Arial"/>
          <w:color w:val="000000" w:themeColor="text1"/>
        </w:rPr>
        <w:t xml:space="preserve"> an additional injunction requir</w:t>
      </w:r>
      <w:r w:rsidR="00244D8A" w:rsidRPr="12EC14AA">
        <w:rPr>
          <w:rStyle w:val="eop"/>
          <w:rFonts w:eastAsia="Arial" w:cs="Arial"/>
          <w:color w:val="000000" w:themeColor="text1"/>
        </w:rPr>
        <w:t>ing</w:t>
      </w:r>
      <w:r w:rsidRPr="12EC14AA">
        <w:rPr>
          <w:rStyle w:val="eop"/>
          <w:rFonts w:eastAsia="Arial" w:cs="Arial"/>
          <w:color w:val="000000" w:themeColor="text1"/>
        </w:rPr>
        <w:t xml:space="preserve"> compensation payments to affected customers</w:t>
      </w:r>
      <w:r w:rsidR="00BF1394" w:rsidRPr="12EC14AA">
        <w:rPr>
          <w:rStyle w:val="eop"/>
          <w:rFonts w:eastAsia="Arial" w:cs="Arial"/>
          <w:color w:val="000000" w:themeColor="text1"/>
        </w:rPr>
        <w:t>. However,</w:t>
      </w:r>
      <w:r w:rsidRPr="12EC14AA">
        <w:rPr>
          <w:rStyle w:val="eop"/>
          <w:rFonts w:eastAsia="Arial" w:cs="Arial"/>
          <w:color w:val="000000" w:themeColor="text1"/>
        </w:rPr>
        <w:t xml:space="preserve"> </w:t>
      </w:r>
      <w:r w:rsidR="00244D8A" w:rsidRPr="12EC14AA">
        <w:rPr>
          <w:rStyle w:val="eop"/>
          <w:rFonts w:eastAsia="Arial" w:cs="Arial"/>
          <w:color w:val="000000" w:themeColor="text1"/>
        </w:rPr>
        <w:t>this was deemed unnecessary</w:t>
      </w:r>
      <w:r w:rsidRPr="12EC14AA">
        <w:rPr>
          <w:rStyle w:val="eop"/>
          <w:rFonts w:eastAsia="Arial" w:cs="Arial"/>
          <w:color w:val="000000" w:themeColor="text1"/>
        </w:rPr>
        <w:t xml:space="preserve"> </w:t>
      </w:r>
      <w:r w:rsidR="00244D8A" w:rsidRPr="12EC14AA">
        <w:rPr>
          <w:rStyle w:val="eop"/>
          <w:rFonts w:eastAsia="Arial" w:cs="Arial"/>
          <w:color w:val="000000" w:themeColor="text1"/>
        </w:rPr>
        <w:t xml:space="preserve">as </w:t>
      </w:r>
      <w:r w:rsidRPr="12EC14AA">
        <w:rPr>
          <w:rStyle w:val="eop"/>
          <w:rFonts w:eastAsia="Arial" w:cs="Arial"/>
          <w:color w:val="000000" w:themeColor="text1"/>
        </w:rPr>
        <w:t>Bytecard had compensat</w:t>
      </w:r>
      <w:r w:rsidR="009F009B" w:rsidRPr="12EC14AA">
        <w:rPr>
          <w:rStyle w:val="eop"/>
          <w:rFonts w:eastAsia="Arial" w:cs="Arial"/>
          <w:color w:val="000000" w:themeColor="text1"/>
        </w:rPr>
        <w:t>ed the affected customers</w:t>
      </w:r>
      <w:r w:rsidRPr="12EC14AA">
        <w:rPr>
          <w:rStyle w:val="eop"/>
          <w:rFonts w:eastAsia="Arial" w:cs="Arial"/>
          <w:color w:val="000000" w:themeColor="text1"/>
        </w:rPr>
        <w:t xml:space="preserve"> prior to the date of the hearing.</w:t>
      </w:r>
      <w:r w:rsidR="00BC053F" w:rsidRPr="12EC14AA">
        <w:rPr>
          <w:rStyle w:val="FootnoteReference"/>
          <w:rFonts w:eastAsia="Arial" w:cs="Arial"/>
          <w:color w:val="000000" w:themeColor="text1"/>
        </w:rPr>
        <w:footnoteReference w:id="256"/>
      </w:r>
      <w:r w:rsidRPr="12EC14AA">
        <w:rPr>
          <w:rStyle w:val="eop"/>
          <w:rFonts w:eastAsia="Arial" w:cs="Arial"/>
          <w:color w:val="000000" w:themeColor="text1"/>
        </w:rPr>
        <w:t xml:space="preserve"> </w:t>
      </w:r>
    </w:p>
    <w:p w14:paraId="4963991E" w14:textId="0E7A0024" w:rsidR="008C6C40" w:rsidRDefault="00820EE4" w:rsidP="00377DC5">
      <w:pPr>
        <w:rPr>
          <w:rFonts w:eastAsia="Arial" w:cs="Arial"/>
        </w:rPr>
      </w:pPr>
      <w:r w:rsidRPr="00820EE4">
        <w:rPr>
          <w:rFonts w:eastAsia="Arial" w:cs="Arial"/>
        </w:rPr>
        <w:t>Seventeen</w:t>
      </w:r>
      <w:r w:rsidRPr="00820EE4">
        <w:rPr>
          <w:rFonts w:eastAsia="Arial" w:cs="Arial"/>
          <w:b/>
          <w:bCs/>
        </w:rPr>
        <w:t xml:space="preserve"> enforceable undertakings</w:t>
      </w:r>
      <w:r w:rsidRPr="00820EE4">
        <w:rPr>
          <w:rFonts w:eastAsia="Arial" w:cs="Arial"/>
        </w:rPr>
        <w:t xml:space="preserve"> have been </w:t>
      </w:r>
      <w:r w:rsidR="008355DB">
        <w:rPr>
          <w:rFonts w:eastAsia="Arial" w:cs="Arial"/>
        </w:rPr>
        <w:t xml:space="preserve">accepted by </w:t>
      </w:r>
      <w:r w:rsidR="00D11F2F">
        <w:rPr>
          <w:rFonts w:eastAsia="Arial" w:cs="Arial"/>
        </w:rPr>
        <w:t>the ACMA</w:t>
      </w:r>
      <w:r w:rsidR="008355DB" w:rsidRPr="00820EE4">
        <w:rPr>
          <w:rFonts w:eastAsia="Arial" w:cs="Arial"/>
        </w:rPr>
        <w:t xml:space="preserve"> </w:t>
      </w:r>
      <w:r w:rsidRPr="00820EE4">
        <w:rPr>
          <w:rFonts w:eastAsia="Arial" w:cs="Arial"/>
        </w:rPr>
        <w:t xml:space="preserve">for breaches of the </w:t>
      </w:r>
      <w:r w:rsidR="008C6C40">
        <w:rPr>
          <w:rFonts w:eastAsia="Arial" w:cs="Arial"/>
        </w:rPr>
        <w:t>following regulatory instruments:</w:t>
      </w:r>
    </w:p>
    <w:p w14:paraId="1CB67354" w14:textId="6B4945BF" w:rsidR="008C6C40" w:rsidRDefault="00820EE4" w:rsidP="001019BA">
      <w:pPr>
        <w:pStyle w:val="ListParagraph"/>
        <w:numPr>
          <w:ilvl w:val="0"/>
          <w:numId w:val="64"/>
        </w:numPr>
        <w:rPr>
          <w:rFonts w:eastAsia="Arial" w:cs="Arial"/>
        </w:rPr>
      </w:pPr>
      <w:r w:rsidRPr="00166ACE">
        <w:rPr>
          <w:rFonts w:eastAsia="Arial" w:cs="Arial"/>
        </w:rPr>
        <w:t xml:space="preserve">IPND service provider rules in Schedule 2 of the </w:t>
      </w:r>
      <w:r w:rsidR="00AA7AED">
        <w:rPr>
          <w:rFonts w:eastAsia="Arial" w:cs="Arial"/>
        </w:rPr>
        <w:t>Tel Act</w:t>
      </w:r>
      <w:r w:rsidR="00265C20">
        <w:rPr>
          <w:rFonts w:eastAsia="Arial" w:cs="Arial"/>
        </w:rPr>
        <w:t>;</w:t>
      </w:r>
    </w:p>
    <w:p w14:paraId="0C0CA6FF" w14:textId="28EBEB00" w:rsidR="008C6C40" w:rsidRDefault="00820EE4" w:rsidP="001019BA">
      <w:pPr>
        <w:pStyle w:val="ListParagraph"/>
        <w:numPr>
          <w:ilvl w:val="0"/>
          <w:numId w:val="64"/>
        </w:numPr>
        <w:rPr>
          <w:rFonts w:eastAsia="Arial" w:cs="Arial"/>
        </w:rPr>
      </w:pPr>
      <w:r w:rsidRPr="00166ACE">
        <w:rPr>
          <w:rFonts w:eastAsia="Arial" w:cs="Arial"/>
        </w:rPr>
        <w:t>the Telecommunications Service Provider (NBN Service Migration) Determination 2018</w:t>
      </w:r>
      <w:r w:rsidR="00265C20">
        <w:rPr>
          <w:rFonts w:eastAsia="Arial" w:cs="Arial"/>
        </w:rPr>
        <w:t>;</w:t>
      </w:r>
    </w:p>
    <w:p w14:paraId="41AC99BC" w14:textId="3181FAA1" w:rsidR="008C6C40" w:rsidRDefault="00820EE4" w:rsidP="001019BA">
      <w:pPr>
        <w:pStyle w:val="ListParagraph"/>
        <w:numPr>
          <w:ilvl w:val="0"/>
          <w:numId w:val="64"/>
        </w:numPr>
        <w:rPr>
          <w:rFonts w:eastAsia="Arial" w:cs="Arial"/>
        </w:rPr>
      </w:pPr>
      <w:r w:rsidRPr="00166ACE">
        <w:rPr>
          <w:rFonts w:eastAsia="Arial" w:cs="Arial"/>
        </w:rPr>
        <w:t xml:space="preserve">the Carrier Licence Conditions (Telstra Corporation Limited) Declaration </w:t>
      </w:r>
      <w:r w:rsidR="0091615B">
        <w:rPr>
          <w:rFonts w:eastAsia="Arial" w:cs="Arial"/>
        </w:rPr>
        <w:t>2019</w:t>
      </w:r>
      <w:r w:rsidR="00265C20">
        <w:rPr>
          <w:rFonts w:eastAsia="Arial" w:cs="Arial"/>
        </w:rPr>
        <w:t>;</w:t>
      </w:r>
    </w:p>
    <w:p w14:paraId="52AED56D" w14:textId="215AD195" w:rsidR="008C6C40" w:rsidRDefault="00820EE4" w:rsidP="001019BA">
      <w:pPr>
        <w:pStyle w:val="ListParagraph"/>
        <w:numPr>
          <w:ilvl w:val="0"/>
          <w:numId w:val="64"/>
        </w:numPr>
        <w:rPr>
          <w:rFonts w:eastAsia="Arial" w:cs="Arial"/>
        </w:rPr>
      </w:pPr>
      <w:r w:rsidRPr="00166ACE">
        <w:rPr>
          <w:rFonts w:eastAsia="Arial" w:cs="Arial"/>
        </w:rPr>
        <w:t xml:space="preserve">the Telecommunications (Service Provider </w:t>
      </w:r>
      <w:r w:rsidR="00265C20">
        <w:rPr>
          <w:rFonts w:eastAsia="Arial" w:cs="Arial"/>
        </w:rPr>
        <w:t>–</w:t>
      </w:r>
      <w:r w:rsidRPr="00166ACE">
        <w:rPr>
          <w:rFonts w:eastAsia="Arial" w:cs="Arial"/>
        </w:rPr>
        <w:t xml:space="preserve"> Identity Checks for Prepaid Mobile Carriage Services) Determination 2017</w:t>
      </w:r>
      <w:r w:rsidR="00265C20">
        <w:rPr>
          <w:rFonts w:eastAsia="Arial" w:cs="Arial"/>
        </w:rPr>
        <w:t>;</w:t>
      </w:r>
    </w:p>
    <w:p w14:paraId="3F4E1584" w14:textId="3426FF65" w:rsidR="008C6C40" w:rsidRDefault="00820EE4" w:rsidP="001019BA">
      <w:pPr>
        <w:pStyle w:val="ListParagraph"/>
        <w:numPr>
          <w:ilvl w:val="0"/>
          <w:numId w:val="64"/>
        </w:numPr>
        <w:rPr>
          <w:rFonts w:eastAsia="Arial" w:cs="Arial"/>
        </w:rPr>
      </w:pPr>
      <w:r w:rsidRPr="00166ACE">
        <w:rPr>
          <w:rFonts w:eastAsia="Arial" w:cs="Arial"/>
        </w:rPr>
        <w:t>the Telecommunications (Emergency Call Service) Determination 2009</w:t>
      </w:r>
      <w:r w:rsidR="00265C20">
        <w:rPr>
          <w:rFonts w:eastAsia="Arial" w:cs="Arial"/>
        </w:rPr>
        <w:t>;</w:t>
      </w:r>
    </w:p>
    <w:p w14:paraId="057340CC" w14:textId="04B737D4" w:rsidR="00265C20" w:rsidRDefault="00820EE4" w:rsidP="001019BA">
      <w:pPr>
        <w:pStyle w:val="ListParagraph"/>
        <w:numPr>
          <w:ilvl w:val="0"/>
          <w:numId w:val="64"/>
        </w:numPr>
        <w:rPr>
          <w:rFonts w:eastAsia="Arial" w:cs="Arial"/>
        </w:rPr>
      </w:pPr>
      <w:r w:rsidRPr="00166ACE">
        <w:rPr>
          <w:rFonts w:eastAsia="Arial" w:cs="Arial"/>
        </w:rPr>
        <w:t>the Telecommunications (NBN Continuity of Service) Industry Standard 2018</w:t>
      </w:r>
      <w:r w:rsidR="00265C20">
        <w:rPr>
          <w:rFonts w:eastAsia="Arial" w:cs="Arial"/>
        </w:rPr>
        <w:t>; and</w:t>
      </w:r>
    </w:p>
    <w:p w14:paraId="75102AC3" w14:textId="03E58361" w:rsidR="00581E2A" w:rsidRDefault="00820EE4" w:rsidP="001019BA">
      <w:pPr>
        <w:pStyle w:val="ListParagraph"/>
        <w:numPr>
          <w:ilvl w:val="0"/>
          <w:numId w:val="64"/>
        </w:numPr>
        <w:rPr>
          <w:rStyle w:val="normaltextrun"/>
          <w:rFonts w:eastAsia="Arial" w:cs="Arial"/>
        </w:rPr>
      </w:pPr>
      <w:r w:rsidRPr="00166ACE">
        <w:rPr>
          <w:rFonts w:eastAsia="Arial" w:cs="Arial"/>
        </w:rPr>
        <w:t>the Telecommunications Service Provider (NBN Service Migration) Determination 2018.</w:t>
      </w:r>
      <w:r w:rsidR="36809B6A" w:rsidRPr="63F8A734">
        <w:rPr>
          <w:rStyle w:val="normaltextrun"/>
          <w:rFonts w:eastAsia="Arial" w:cs="Arial"/>
        </w:rPr>
        <w:t xml:space="preserve"> </w:t>
      </w:r>
    </w:p>
    <w:p w14:paraId="4BD85630" w14:textId="08C6EB10" w:rsidR="002721FB" w:rsidRPr="00122F50" w:rsidRDefault="00122F50" w:rsidP="00377DC5">
      <w:r>
        <w:rPr>
          <w:rStyle w:val="normaltextrun"/>
          <w:rFonts w:eastAsia="Arial" w:cs="Arial"/>
        </w:rPr>
        <w:t xml:space="preserve">Enforceable undertakings were accepted most frequently for </w:t>
      </w:r>
      <w:r w:rsidR="00AA7AED">
        <w:rPr>
          <w:rStyle w:val="normaltextrun"/>
          <w:rFonts w:eastAsia="Arial" w:cs="Arial"/>
        </w:rPr>
        <w:t>Tel Act</w:t>
      </w:r>
      <w:r>
        <w:rPr>
          <w:rStyle w:val="normaltextrun"/>
          <w:rFonts w:eastAsia="Arial" w:cs="Arial"/>
        </w:rPr>
        <w:t xml:space="preserve"> IPND-related breaches. IPND-related enforceable undertakings were accepted by </w:t>
      </w:r>
      <w:r w:rsidR="00D11F2F">
        <w:rPr>
          <w:rStyle w:val="normaltextrun"/>
          <w:rFonts w:eastAsia="Arial" w:cs="Arial"/>
        </w:rPr>
        <w:t>the ACMA</w:t>
      </w:r>
      <w:r>
        <w:rPr>
          <w:rStyle w:val="normaltextrun"/>
          <w:rFonts w:eastAsia="Arial" w:cs="Arial"/>
        </w:rPr>
        <w:t xml:space="preserve"> on 6 occasions, once each from Circles Australia, Lycamobile, Macquarie Telecom, Southern Phone Company, SpinTel and Soul Communications. </w:t>
      </w:r>
      <w:r>
        <w:t xml:space="preserve">Enforceable undertakings were accepted on three occasions, twice from TPG and once from Dodo, </w:t>
      </w:r>
      <w:r>
        <w:rPr>
          <w:rStyle w:val="normaltextrun"/>
          <w:rFonts w:eastAsia="Arial" w:cs="Arial"/>
        </w:rPr>
        <w:t xml:space="preserve">for breaches of the </w:t>
      </w:r>
      <w:r>
        <w:t xml:space="preserve">Telecommunications Service Provider (NBN Service Migration) Determination 2018. Lycamobile, TPG, and Vodafone each gave one enforceable undertaking for breaches of the Telecommunications (Service Provider – Identity Checks for Prepaid Mobile Carriage Services) Determination 2017. </w:t>
      </w:r>
      <w:r w:rsidR="00F302CF">
        <w:t>T</w:t>
      </w:r>
      <w:r w:rsidR="00D11F2F">
        <w:t>he ACMA</w:t>
      </w:r>
      <w:r>
        <w:t xml:space="preserve"> also accepted three enforceable undertakings, two from Telstra and one from Optus, for breaches of both the Telecommunications Service Provider (NBN Service Migration) Determination 2018 and the Telecommunications (NBN Continuity of Service) Industry Standard 2018. Breaches of the Carrier Licence Conditions (Telstra Corporation Limited) Declaration </w:t>
      </w:r>
      <w:r w:rsidR="0091615B">
        <w:t>2019</w:t>
      </w:r>
      <w:r>
        <w:t xml:space="preserve"> and the Telecommunications (Emergency Call Service) Determination 2009 gave rise to one enforceable undertaking each, both of which were given by Telstra. </w:t>
      </w:r>
    </w:p>
    <w:p w14:paraId="70AF3320" w14:textId="747CA2BA" w:rsidR="003D7A75" w:rsidRDefault="00F302CF" w:rsidP="00377DC5">
      <w:pPr>
        <w:rPr>
          <w:rStyle w:val="eop"/>
          <w:rFonts w:eastAsia="Arial" w:cs="Arial"/>
        </w:rPr>
      </w:pPr>
      <w:r>
        <w:rPr>
          <w:rFonts w:eastAsia="Arial" w:cs="Arial"/>
        </w:rPr>
        <w:t>T</w:t>
      </w:r>
      <w:r w:rsidR="00D11F2F">
        <w:rPr>
          <w:rFonts w:eastAsia="Arial" w:cs="Arial"/>
        </w:rPr>
        <w:t>he ACMA</w:t>
      </w:r>
      <w:r w:rsidR="00064F42" w:rsidRPr="0A50FA3E">
        <w:rPr>
          <w:rFonts w:eastAsia="Arial" w:cs="Arial"/>
        </w:rPr>
        <w:t xml:space="preserve"> accepted 4 enforceable undertakings from Telstra. It accepted 3 from TPG, 2 from Lycamobile and 1 from each of Circles Australia, Do</w:t>
      </w:r>
      <w:r>
        <w:rPr>
          <w:rFonts w:eastAsia="Arial" w:cs="Arial"/>
        </w:rPr>
        <w:t>d</w:t>
      </w:r>
      <w:r w:rsidR="00064F42" w:rsidRPr="0A50FA3E">
        <w:rPr>
          <w:rFonts w:eastAsia="Arial" w:cs="Arial"/>
        </w:rPr>
        <w:t>o, Macquarie Telecom, Vodafone, Optus, Soul Communications, Southern Phone, and SpinTel.</w:t>
      </w:r>
    </w:p>
    <w:p w14:paraId="2D7AF4C8" w14:textId="65CFE756" w:rsidR="003D7A75" w:rsidRDefault="36809B6A" w:rsidP="00377DC5">
      <w:pPr>
        <w:rPr>
          <w:rFonts w:eastAsia="Arial" w:cs="Arial"/>
          <w:szCs w:val="21"/>
        </w:rPr>
      </w:pPr>
      <w:r w:rsidRPr="12EC14AA">
        <w:rPr>
          <w:rStyle w:val="normaltextrun"/>
          <w:rFonts w:eastAsia="Arial" w:cs="Arial"/>
        </w:rPr>
        <w:t xml:space="preserve">Finally, one outlier in the data was the enforcement of a ‘Deed of Agreement’ from the 2012-13 reporting period against Startel. This was in relation to a breach of the TCP Code (presumably Clause 5.5.1 relating to Charging and Billing Accuracy) after Startel admitted to the </w:t>
      </w:r>
      <w:r w:rsidR="00D11F2F">
        <w:rPr>
          <w:rStyle w:val="normaltextrun"/>
          <w:rFonts w:eastAsia="Arial" w:cs="Arial"/>
        </w:rPr>
        <w:t>ACMA</w:t>
      </w:r>
      <w:r w:rsidRPr="12EC14AA">
        <w:rPr>
          <w:rStyle w:val="normaltextrun"/>
          <w:rFonts w:eastAsia="Arial" w:cs="Arial"/>
        </w:rPr>
        <w:t xml:space="preserve"> that there was a billing system error that was rectified within 24 hours of being demonstrated. The deed required </w:t>
      </w:r>
      <w:r w:rsidR="001569AD" w:rsidRPr="12EC14AA">
        <w:rPr>
          <w:rStyle w:val="normaltextrun"/>
          <w:rFonts w:eastAsia="Arial" w:cs="Arial"/>
        </w:rPr>
        <w:t xml:space="preserve">Startel </w:t>
      </w:r>
      <w:r w:rsidRPr="12EC14AA">
        <w:rPr>
          <w:rStyle w:val="normaltextrun"/>
          <w:rFonts w:eastAsia="Arial" w:cs="Arial"/>
        </w:rPr>
        <w:t xml:space="preserve">to contact all affected customers within 30 days and reimburse them within three weeks of notification. Although </w:t>
      </w:r>
      <w:r w:rsidR="00D11F2F">
        <w:rPr>
          <w:rStyle w:val="normaltextrun"/>
          <w:rFonts w:eastAsia="Arial" w:cs="Arial"/>
        </w:rPr>
        <w:t>the ACMA</w:t>
      </w:r>
      <w:r w:rsidRPr="12EC14AA">
        <w:rPr>
          <w:rStyle w:val="normaltextrun"/>
          <w:rFonts w:eastAsia="Arial" w:cs="Arial"/>
        </w:rPr>
        <w:t xml:space="preserve"> is not empowered to accept an enforceable undertaking for breach of a code of practice, it is able to enter a deed with a provider.</w:t>
      </w:r>
    </w:p>
    <w:p w14:paraId="396AD357" w14:textId="166A2A5A" w:rsidR="003D7A75" w:rsidRDefault="36809B6A" w:rsidP="00377DC5">
      <w:pPr>
        <w:rPr>
          <w:rStyle w:val="normaltextrun"/>
          <w:rFonts w:eastAsia="Arial" w:cs="Arial"/>
          <w:szCs w:val="21"/>
        </w:rPr>
      </w:pPr>
      <w:r w:rsidRPr="3A0E6822">
        <w:rPr>
          <w:rStyle w:val="normaltextrun"/>
          <w:rFonts w:eastAsia="Arial" w:cs="Arial"/>
          <w:color w:val="000000" w:themeColor="text1"/>
          <w:szCs w:val="21"/>
        </w:rPr>
        <w:lastRenderedPageBreak/>
        <w:t>Figure 1</w:t>
      </w:r>
      <w:r w:rsidR="00B92ADF">
        <w:rPr>
          <w:rStyle w:val="normaltextrun"/>
          <w:rFonts w:eastAsia="Arial" w:cs="Arial"/>
          <w:color w:val="000000" w:themeColor="text1"/>
          <w:szCs w:val="21"/>
        </w:rPr>
        <w:t>8</w:t>
      </w:r>
      <w:r w:rsidRPr="3A0E6822">
        <w:rPr>
          <w:rStyle w:val="normaltextrun"/>
          <w:rFonts w:eastAsia="Arial" w:cs="Arial"/>
          <w:color w:val="000000" w:themeColor="text1"/>
          <w:szCs w:val="21"/>
        </w:rPr>
        <w:t xml:space="preserve"> provides a breakdown of enforcement actions by type and regulatory instruments breached. </w:t>
      </w:r>
      <w:r w:rsidRPr="3A0E6822">
        <w:rPr>
          <w:rStyle w:val="normaltextrun"/>
          <w:rFonts w:eastAsia="Arial" w:cs="Arial"/>
          <w:szCs w:val="21"/>
        </w:rPr>
        <w:t xml:space="preserve">Where multiple enforcement actions arise from the breach of one instrument, these are attributed to that original breach. For example, </w:t>
      </w:r>
      <w:r w:rsidR="00D03066">
        <w:rPr>
          <w:rStyle w:val="normaltextrun"/>
          <w:rFonts w:eastAsia="Arial" w:cs="Arial"/>
          <w:szCs w:val="21"/>
        </w:rPr>
        <w:t xml:space="preserve">a breach of an industry code may lead to a direction to comply, and a </w:t>
      </w:r>
      <w:r w:rsidRPr="3A0E6822">
        <w:rPr>
          <w:rStyle w:val="normaltextrun"/>
          <w:rFonts w:eastAsia="Arial" w:cs="Arial"/>
          <w:szCs w:val="21"/>
        </w:rPr>
        <w:t xml:space="preserve">breach of that direction (also a breach of the </w:t>
      </w:r>
      <w:r w:rsidR="00AA7AED">
        <w:rPr>
          <w:rStyle w:val="normaltextrun"/>
          <w:rFonts w:eastAsia="Arial" w:cs="Arial"/>
          <w:szCs w:val="21"/>
        </w:rPr>
        <w:t>Tel Act</w:t>
      </w:r>
      <w:r w:rsidRPr="3A0E6822">
        <w:rPr>
          <w:rStyle w:val="normaltextrun"/>
          <w:rFonts w:eastAsia="Arial" w:cs="Arial"/>
          <w:szCs w:val="21"/>
        </w:rPr>
        <w:t>) may lead to an infringement notice being issued. In Figure 1</w:t>
      </w:r>
      <w:r w:rsidR="00B92ADF">
        <w:rPr>
          <w:rStyle w:val="normaltextrun"/>
          <w:rFonts w:eastAsia="Arial" w:cs="Arial"/>
          <w:szCs w:val="21"/>
        </w:rPr>
        <w:t>8</w:t>
      </w:r>
      <w:r w:rsidRPr="3A0E6822">
        <w:rPr>
          <w:rStyle w:val="normaltextrun"/>
          <w:rFonts w:eastAsia="Arial" w:cs="Arial"/>
          <w:szCs w:val="21"/>
        </w:rPr>
        <w:t>, both the direction to comply and the infringement notice would be attributed to the breach of the industry code.  This approach is adopted even if the direction only imposed reporting or similar obligations that did not relate directly to the rules that were the subject of the original breach.</w:t>
      </w:r>
    </w:p>
    <w:p w14:paraId="4E45030D" w14:textId="77777777" w:rsidR="00D21BB9" w:rsidRDefault="00D21BB9" w:rsidP="00377DC5">
      <w:pPr>
        <w:rPr>
          <w:rFonts w:eastAsia="Arial" w:cs="Arial"/>
          <w:szCs w:val="21"/>
        </w:rPr>
      </w:pPr>
    </w:p>
    <w:p w14:paraId="36259019" w14:textId="1C470070" w:rsidR="003D7A75" w:rsidRDefault="003D7A75" w:rsidP="3A0E6822">
      <w:pPr>
        <w:textAlignment w:val="baseline"/>
        <w:rPr>
          <w:rFonts w:ascii="Calibri" w:eastAsia="Calibri" w:hAnsi="Calibri" w:cs="Calibri"/>
          <w:sz w:val="22"/>
        </w:rPr>
      </w:pPr>
    </w:p>
    <w:p w14:paraId="2710DC3F" w14:textId="35B661B3" w:rsidR="003D7A75" w:rsidRDefault="003D7A75" w:rsidP="3A0E6822">
      <w:pPr>
        <w:textAlignment w:val="baseline"/>
        <w:rPr>
          <w:lang w:eastAsia="en-AU"/>
        </w:rPr>
        <w:sectPr w:rsidR="003D7A75" w:rsidSect="009F02A7">
          <w:footerReference w:type="default" r:id="rId39"/>
          <w:pgSz w:w="11906" w:h="16838"/>
          <w:pgMar w:top="1440" w:right="1700" w:bottom="1440" w:left="1440" w:header="708" w:footer="708" w:gutter="0"/>
          <w:cols w:space="708"/>
          <w:titlePg/>
          <w:docGrid w:linePitch="360"/>
        </w:sectPr>
      </w:pPr>
    </w:p>
    <w:p w14:paraId="24308A61" w14:textId="4132F600" w:rsidR="00285ED7" w:rsidRDefault="00285ED7" w:rsidP="005318BE">
      <w:pPr>
        <w:tabs>
          <w:tab w:val="left" w:pos="0"/>
        </w:tabs>
        <w:spacing w:after="0" w:line="240" w:lineRule="auto"/>
        <w:textAlignment w:val="baseline"/>
        <w:rPr>
          <w:sz w:val="18"/>
          <w:szCs w:val="18"/>
        </w:rPr>
      </w:pPr>
    </w:p>
    <w:p w14:paraId="05FF76D3" w14:textId="579EB152" w:rsidR="003F2C9F" w:rsidRDefault="00B02191" w:rsidP="005318BE">
      <w:pPr>
        <w:tabs>
          <w:tab w:val="left" w:pos="0"/>
        </w:tabs>
        <w:spacing w:after="0" w:line="240" w:lineRule="auto"/>
        <w:textAlignment w:val="baseline"/>
        <w:rPr>
          <w:sz w:val="18"/>
          <w:szCs w:val="18"/>
        </w:rPr>
      </w:pPr>
      <w:r w:rsidRPr="00536F20">
        <w:rPr>
          <w:rFonts w:ascii="Times New Roman" w:eastAsia="Times New Roman" w:hAnsi="Times New Roman" w:cs="Times New Roman"/>
          <w:noProof/>
          <w:sz w:val="24"/>
          <w:szCs w:val="24"/>
          <w:lang w:eastAsia="en-AU"/>
        </w:rPr>
        <mc:AlternateContent>
          <mc:Choice Requires="wps">
            <w:drawing>
              <wp:anchor distT="45720" distB="45720" distL="114300" distR="114300" simplePos="0" relativeHeight="251658251" behindDoc="0" locked="0" layoutInCell="1" allowOverlap="1" wp14:anchorId="5BF529EC" wp14:editId="2B5866E3">
                <wp:simplePos x="0" y="0"/>
                <wp:positionH relativeFrom="margin">
                  <wp:posOffset>293370</wp:posOffset>
                </wp:positionH>
                <wp:positionV relativeFrom="paragraph">
                  <wp:posOffset>5946140</wp:posOffset>
                </wp:positionV>
                <wp:extent cx="5133975" cy="371475"/>
                <wp:effectExtent l="0" t="0" r="0" b="0"/>
                <wp:wrapSquare wrapText="bothSides"/>
                <wp:docPr id="217" name="Text Box 2" descr="Figure 18. Breakdown of Enforcement Actions by Type and Associated Regulatory Obligations. A Sankey diagram showing the flow from total investigations to the number of enforcement actions to the enforcement action type and finally the regulatory instrument breached. The greatest visual impact is in the largest coloured segments that show formal warnings and directions to comply leading to the TCP Code, with several enforcement mechanisms also leading to the Tel Act IPND obliga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371475"/>
                        </a:xfrm>
                        <a:prstGeom prst="rect">
                          <a:avLst/>
                        </a:prstGeom>
                        <a:noFill/>
                        <a:ln w="9525">
                          <a:noFill/>
                          <a:miter lim="800000"/>
                          <a:headEnd/>
                          <a:tailEnd/>
                        </a:ln>
                      </wps:spPr>
                      <wps:txbx>
                        <w:txbxContent>
                          <w:p w14:paraId="45F697D9" w14:textId="77777777" w:rsidR="00712508" w:rsidRPr="00020C22" w:rsidRDefault="00712508" w:rsidP="003F2C9F">
                            <w:pPr>
                              <w:spacing w:after="0" w:line="240" w:lineRule="auto"/>
                              <w:rPr>
                                <w:sz w:val="18"/>
                                <w:szCs w:val="18"/>
                              </w:rPr>
                            </w:pPr>
                            <w:r w:rsidRPr="00020C22">
                              <w:rPr>
                                <w:sz w:val="18"/>
                                <w:szCs w:val="18"/>
                              </w:rPr>
                              <w:t xml:space="preserve">Figure 18. </w:t>
                            </w:r>
                            <w:r w:rsidRPr="00020C22">
                              <w:rPr>
                                <w:color w:val="000000"/>
                                <w:sz w:val="18"/>
                                <w:szCs w:val="18"/>
                              </w:rPr>
                              <w:t xml:space="preserve">Breakdown of Enforcement Actions by Type and Associated Regulatory Obligations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529EC" id="Text Box 2" o:spid="_x0000_s1034" type="#_x0000_t202" alt="Figure 18. Breakdown of Enforcement Actions by Type and Associated Regulatory Obligations. A Sankey diagram showing the flow from total investigations to the number of enforcement actions to the enforcement action type and finally the regulatory instrument breached. The greatest visual impact is in the largest coloured segments that show formal warnings and directions to comply leading to the TCP Code, with several enforcement mechanisms also leading to the Tel Act IPND obligations." style="position:absolute;left:0;text-align:left;margin-left:23.1pt;margin-top:468.2pt;width:404.25pt;height:29.2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" filled="f" stroked="f">
                <v:textbox>
                  <w:txbxContent>
                    <w:p w14:paraId="45F697D9" w14:textId="77777777" w:rsidR="00712508" w:rsidRPr="00020C22" w:rsidRDefault="00712508" w:rsidP="003F2C9F">
                      <w:pPr>
                        <w:spacing w:after="0" w:line="240" w:lineRule="auto"/>
                        <w:rPr>
                          <w:sz w:val="18"/>
                          <w:szCs w:val="18"/>
                        </w:rPr>
                      </w:pPr>
                      <w:r w:rsidRPr="00020C22">
                        <w:rPr>
                          <w:sz w:val="18"/>
                          <w:szCs w:val="18"/>
                        </w:rPr>
                        <w:t xml:space="preserve">Figure 18. </w:t>
                      </w:r>
                      <w:r w:rsidRPr="00020C22">
                        <w:rPr>
                          <w:color w:val="000000"/>
                          <w:sz w:val="18"/>
                          <w:szCs w:val="18"/>
                        </w:rPr>
                        <w:t xml:space="preserve">Breakdown of Enforcement Actions by Type and Associated Regulatory Obligations </w:t>
                      </w:r>
                    </w:p>
                  </w:txbxContent>
                </v:textbox>
                <w10:wrap type="square" anchorx="margin"/>
              </v:shape>
            </w:pict>
          </mc:Fallback>
        </mc:AlternateContent>
      </w:r>
      <w:r>
        <w:rPr>
          <w:rFonts w:ascii="Times New Roman" w:eastAsia="Times New Roman" w:hAnsi="Times New Roman" w:cs="Times New Roman"/>
          <w:noProof/>
          <w:sz w:val="24"/>
          <w:szCs w:val="24"/>
          <w:lang w:eastAsia="en-AU"/>
        </w:rPr>
        <w:drawing>
          <wp:anchor distT="0" distB="0" distL="114300" distR="114300" simplePos="0" relativeHeight="251658250" behindDoc="0" locked="0" layoutInCell="1" allowOverlap="1" wp14:anchorId="038E94AF" wp14:editId="32605812">
            <wp:simplePos x="0" y="0"/>
            <wp:positionH relativeFrom="margin">
              <wp:align>center</wp:align>
            </wp:positionH>
            <wp:positionV relativeFrom="paragraph">
              <wp:posOffset>98425</wp:posOffset>
            </wp:positionV>
            <wp:extent cx="9258586" cy="6172200"/>
            <wp:effectExtent l="0" t="0" r="0" b="0"/>
            <wp:wrapSquare wrapText="bothSides"/>
            <wp:docPr id="15" name="Picture 15" descr="Figure 18 shows the Breakdown of Enforcement Actions by Type and Associated Regulatory Obligation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18 shows the Breakdown of Enforcement Actions by Type and Associated Regulatory Obligations.">
                      <a:extLst>
                        <a:ext uri="{C183D7F6-B498-43B3-948B-1728B52AA6E4}">
                          <adec:decorative xmlns:adec="http://schemas.microsoft.com/office/drawing/2017/decorative" val="0"/>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258586" cy="6172200"/>
                    </a:xfrm>
                    <a:prstGeom prst="rect">
                      <a:avLst/>
                    </a:prstGeom>
                  </pic:spPr>
                </pic:pic>
              </a:graphicData>
            </a:graphic>
            <wp14:sizeRelH relativeFrom="page">
              <wp14:pctWidth>0</wp14:pctWidth>
            </wp14:sizeRelH>
            <wp14:sizeRelV relativeFrom="page">
              <wp14:pctHeight>0</wp14:pctHeight>
            </wp14:sizeRelV>
          </wp:anchor>
        </w:drawing>
      </w:r>
    </w:p>
    <w:p w14:paraId="4CDE2D6F" w14:textId="34225556" w:rsidR="003F2C9F" w:rsidRDefault="003F2C9F" w:rsidP="005318BE">
      <w:pPr>
        <w:tabs>
          <w:tab w:val="left" w:pos="0"/>
        </w:tabs>
        <w:spacing w:after="0" w:line="240" w:lineRule="auto"/>
        <w:textAlignment w:val="baseline"/>
        <w:rPr>
          <w:rFonts w:ascii="Times New Roman" w:eastAsia="Times New Roman" w:hAnsi="Times New Roman" w:cs="Times New Roman"/>
          <w:sz w:val="24"/>
          <w:szCs w:val="24"/>
          <w:lang w:eastAsia="en-AU"/>
        </w:rPr>
        <w:sectPr w:rsidR="003F2C9F" w:rsidSect="009F02A7">
          <w:pgSz w:w="16838" w:h="11906" w:orient="landscape"/>
          <w:pgMar w:top="238" w:right="363" w:bottom="357" w:left="363" w:header="709" w:footer="709" w:gutter="0"/>
          <w:cols w:space="708"/>
          <w:docGrid w:linePitch="360"/>
        </w:sectPr>
      </w:pPr>
    </w:p>
    <w:p w14:paraId="0281DF48" w14:textId="446DE226" w:rsidR="005A4293" w:rsidRPr="005A4293" w:rsidRDefault="34087CBE" w:rsidP="00515C60">
      <w:pPr>
        <w:pStyle w:val="Heading2"/>
      </w:pPr>
      <w:bookmarkStart w:id="208" w:name="_Toc139031365"/>
      <w:bookmarkStart w:id="209" w:name="_Toc139024722"/>
      <w:bookmarkStart w:id="210" w:name="_Toc139024401"/>
      <w:bookmarkStart w:id="211" w:name="_Toc146201056"/>
      <w:bookmarkStart w:id="212" w:name="_Toc161836195"/>
      <w:r>
        <w:lastRenderedPageBreak/>
        <w:t xml:space="preserve">G </w:t>
      </w:r>
      <w:r>
        <w:tab/>
      </w:r>
      <w:bookmarkStart w:id="213" w:name="YearsWhenACMAEngagedinActivity"/>
      <w:r>
        <w:t xml:space="preserve">Years </w:t>
      </w:r>
      <w:r w:rsidR="67487E62">
        <w:t>W</w:t>
      </w:r>
      <w:r>
        <w:t xml:space="preserve">hen </w:t>
      </w:r>
      <w:r w:rsidR="00D11F2F">
        <w:t>the ACMA</w:t>
      </w:r>
      <w:r>
        <w:t xml:space="preserve"> </w:t>
      </w:r>
      <w:r w:rsidR="67487E62">
        <w:t>E</w:t>
      </w:r>
      <w:r>
        <w:t xml:space="preserve">ngaged in the </w:t>
      </w:r>
      <w:r w:rsidR="67487E62">
        <w:t>L</w:t>
      </w:r>
      <w:r>
        <w:t xml:space="preserve">east and </w:t>
      </w:r>
      <w:r w:rsidR="67487E62">
        <w:t>M</w:t>
      </w:r>
      <w:r>
        <w:t>ost</w:t>
      </w:r>
      <w:r w:rsidR="6C8F26F8">
        <w:t xml:space="preserve"> </w:t>
      </w:r>
      <w:r w:rsidR="67487E62">
        <w:t>E</w:t>
      </w:r>
      <w:r>
        <w:t xml:space="preserve">nforcement </w:t>
      </w:r>
      <w:r w:rsidR="67487E62">
        <w:t>A</w:t>
      </w:r>
      <w:r>
        <w:t>ctivity</w:t>
      </w:r>
      <w:bookmarkEnd w:id="208"/>
      <w:bookmarkEnd w:id="209"/>
      <w:bookmarkEnd w:id="210"/>
      <w:bookmarkEnd w:id="211"/>
      <w:bookmarkEnd w:id="212"/>
      <w:bookmarkEnd w:id="213"/>
    </w:p>
    <w:p w14:paraId="3E728D30" w14:textId="1554AA55" w:rsidR="00A93003" w:rsidRDefault="009E0E8F" w:rsidP="00D27293">
      <w:r>
        <w:br/>
      </w:r>
      <w:r w:rsidR="08F5C2DB">
        <w:t>Within the set of publicised enforcement action</w:t>
      </w:r>
      <w:r w:rsidR="0B26DDAF">
        <w:t>s</w:t>
      </w:r>
      <w:r w:rsidR="08F5C2DB">
        <w:t>, t</w:t>
      </w:r>
      <w:r w:rsidR="7093BED0">
        <w:t xml:space="preserve">he </w:t>
      </w:r>
      <w:r w:rsidR="7ED78A82">
        <w:t>least number of enforcement actions were taken in 2011-12</w:t>
      </w:r>
      <w:r w:rsidR="633B9F18">
        <w:t xml:space="preserve"> when </w:t>
      </w:r>
      <w:r w:rsidR="00D11F2F">
        <w:t>the ACMA</w:t>
      </w:r>
      <w:r w:rsidR="633B9F18">
        <w:t xml:space="preserve"> took only 4</w:t>
      </w:r>
      <w:r w:rsidR="7ED78A82">
        <w:t xml:space="preserve">. The </w:t>
      </w:r>
      <w:r w:rsidR="7093BED0">
        <w:t>highest number of actions were taken in 2013-14</w:t>
      </w:r>
      <w:r w:rsidR="0AFFECA6">
        <w:t xml:space="preserve"> (115)</w:t>
      </w:r>
      <w:r w:rsidR="415EE06B">
        <w:t xml:space="preserve">, followed by </w:t>
      </w:r>
      <w:r w:rsidR="5459B750">
        <w:t>2018-19</w:t>
      </w:r>
      <w:r w:rsidR="7093BED0">
        <w:t xml:space="preserve"> </w:t>
      </w:r>
      <w:r w:rsidR="03F9079C">
        <w:t xml:space="preserve">(79) </w:t>
      </w:r>
      <w:r w:rsidR="7093BED0">
        <w:t>and 2014-15</w:t>
      </w:r>
      <w:r w:rsidR="03F9079C">
        <w:t xml:space="preserve"> (64)</w:t>
      </w:r>
      <w:r w:rsidR="7093BED0">
        <w:t xml:space="preserve">. </w:t>
      </w:r>
      <w:r w:rsidR="55A5F449">
        <w:t xml:space="preserve">If the total of 502 enforcement actions is averaged over the </w:t>
      </w:r>
      <w:r w:rsidR="2A97CE73">
        <w:t>13.5-year</w:t>
      </w:r>
      <w:r w:rsidR="55A5F449">
        <w:t xml:space="preserve"> period examined here, </w:t>
      </w:r>
      <w:r w:rsidR="00D11F2F">
        <w:t>the ACMA</w:t>
      </w:r>
      <w:r w:rsidR="55A5F449">
        <w:t xml:space="preserve"> took just over 37 actions per year.</w:t>
      </w:r>
    </w:p>
    <w:p w14:paraId="19A3FB13" w14:textId="7B1868D0" w:rsidR="00DB5833" w:rsidRDefault="03354CED" w:rsidP="00D27293">
      <w:r>
        <w:t>Each</w:t>
      </w:r>
      <w:r w:rsidR="13433510">
        <w:t xml:space="preserve"> of </w:t>
      </w:r>
      <w:r>
        <w:t xml:space="preserve">the 26 </w:t>
      </w:r>
      <w:r w:rsidR="7093BED0">
        <w:t>directions to comply issued in 201</w:t>
      </w:r>
      <w:r w:rsidR="625454EE">
        <w:t>2</w:t>
      </w:r>
      <w:r w:rsidR="76CB9477">
        <w:t>-1</w:t>
      </w:r>
      <w:r w:rsidR="5787B10A">
        <w:t>3</w:t>
      </w:r>
      <w:r w:rsidR="37622E2A">
        <w:t>,</w:t>
      </w:r>
      <w:r w:rsidR="76CB9477">
        <w:t xml:space="preserve"> 201</w:t>
      </w:r>
      <w:r w:rsidR="08B013DE">
        <w:t>3</w:t>
      </w:r>
      <w:r w:rsidR="40ACCA09">
        <w:t>-</w:t>
      </w:r>
      <w:r w:rsidR="76CB9477">
        <w:t>1</w:t>
      </w:r>
      <w:r w:rsidR="5D79E9AA">
        <w:t>4</w:t>
      </w:r>
      <w:r w:rsidR="1E10E86E">
        <w:t>,</w:t>
      </w:r>
      <w:r w:rsidR="76CB9477">
        <w:t xml:space="preserve"> and </w:t>
      </w:r>
      <w:r w:rsidR="1E10E86E">
        <w:t>2014-15</w:t>
      </w:r>
      <w:r w:rsidR="59199126">
        <w:t xml:space="preserve"> </w:t>
      </w:r>
      <w:r w:rsidR="336FA82D">
        <w:t>relate</w:t>
      </w:r>
      <w:r w:rsidR="7509D0E4">
        <w:t>d</w:t>
      </w:r>
      <w:r w:rsidR="336FA82D">
        <w:t xml:space="preserve"> to the TCP Code and</w:t>
      </w:r>
      <w:r w:rsidR="5891878E">
        <w:t xml:space="preserve"> </w:t>
      </w:r>
      <w:r w:rsidR="7093BED0">
        <w:t xml:space="preserve">might be </w:t>
      </w:r>
      <w:r w:rsidR="442E7EF5">
        <w:t xml:space="preserve">a consequence of </w:t>
      </w:r>
      <w:r w:rsidR="00D11F2F">
        <w:t>the ACMA</w:t>
      </w:r>
      <w:r w:rsidR="350B5C9C">
        <w:t xml:space="preserve">’s </w:t>
      </w:r>
      <w:r w:rsidR="73507839">
        <w:t>interest in</w:t>
      </w:r>
      <w:r w:rsidR="350B5C9C">
        <w:t xml:space="preserve"> that code </w:t>
      </w:r>
      <w:r w:rsidR="006E1D47">
        <w:t xml:space="preserve">following its </w:t>
      </w:r>
      <w:r w:rsidR="7093BED0">
        <w:t xml:space="preserve">Reconnecting the Customer Inquiry, which began in 2010 and concluded in September 2011 with the publication of the </w:t>
      </w:r>
      <w:r w:rsidR="7093BED0" w:rsidRPr="2C87A58B">
        <w:rPr>
          <w:i/>
          <w:iCs/>
        </w:rPr>
        <w:t>Reconnecting the Customer: Final Public Inquiry Report</w:t>
      </w:r>
      <w:r w:rsidR="7093BED0">
        <w:t>.</w:t>
      </w:r>
      <w:r w:rsidR="03F504AD">
        <w:t xml:space="preserve"> </w:t>
      </w:r>
      <w:r w:rsidR="000168ED">
        <w:t xml:space="preserve">Within </w:t>
      </w:r>
      <w:r w:rsidR="00A642B2">
        <w:t>that period,</w:t>
      </w:r>
      <w:r w:rsidR="03F504AD">
        <w:t xml:space="preserve"> </w:t>
      </w:r>
      <w:r w:rsidR="00E31A36">
        <w:t xml:space="preserve">104 formal warnings were issued in 2013-14, 95 of which can be attributed to </w:t>
      </w:r>
      <w:r w:rsidR="00D11F2F">
        <w:t>the ACMA</w:t>
      </w:r>
      <w:r w:rsidR="00E31A36">
        <w:t>’s review of compliance with TCP Code requirements for information to be provided to CommCom.</w:t>
      </w:r>
    </w:p>
    <w:p w14:paraId="7C9A82AC" w14:textId="49E00B17" w:rsidR="000F2317" w:rsidRDefault="5B89DE62" w:rsidP="006E60A9">
      <w:r>
        <w:t xml:space="preserve">In the five-year period 2018-19 to 2022-23, </w:t>
      </w:r>
      <w:r w:rsidR="00D11F2F">
        <w:t>the ACMA</w:t>
      </w:r>
      <w:r>
        <w:t xml:space="preserve"> took 211 enforcement action</w:t>
      </w:r>
      <w:r w:rsidR="59136636">
        <w:t>s</w:t>
      </w:r>
      <w:r>
        <w:t xml:space="preserve">; while this is lower than the 259 actions it took in the previous five years, the results for the earlier period are affected by </w:t>
      </w:r>
      <w:r w:rsidR="45A23C93">
        <w:t xml:space="preserve">the </w:t>
      </w:r>
      <w:r>
        <w:t>compliance audit</w:t>
      </w:r>
      <w:r w:rsidR="45A23C93">
        <w:t>s</w:t>
      </w:r>
      <w:r>
        <w:t xml:space="preserve"> (following the establishment of Communications Compliance and the introduction of the Compliance Framework under the TCP Code) which led to </w:t>
      </w:r>
      <w:r w:rsidR="615F1759">
        <w:t>the 95</w:t>
      </w:r>
      <w:r>
        <w:t xml:space="preserve"> formal warnings</w:t>
      </w:r>
      <w:r w:rsidR="615F1759">
        <w:t xml:space="preserve"> mentioned above</w:t>
      </w:r>
      <w:r>
        <w:t>.</w:t>
      </w:r>
    </w:p>
    <w:p w14:paraId="0478C997" w14:textId="79B70A2D" w:rsidR="0031249C" w:rsidRDefault="3EDBCBD3" w:rsidP="009C4EAC">
      <w:pPr>
        <w:spacing w:after="100" w:afterAutospacing="1"/>
        <w:rPr>
          <w:rFonts w:eastAsia="Times New Roman" w:cs="Arial"/>
          <w:sz w:val="18"/>
          <w:szCs w:val="18"/>
          <w:lang w:eastAsia="en-AU"/>
        </w:rPr>
      </w:pPr>
      <w:r>
        <w:t xml:space="preserve">It should be noted that </w:t>
      </w:r>
      <w:r w:rsidR="49E7FD39">
        <w:t xml:space="preserve">a count of enforcement actions does not provide an indication of the complexity </w:t>
      </w:r>
      <w:r w:rsidR="00A642B2">
        <w:t>of</w:t>
      </w:r>
      <w:r w:rsidR="49E7FD39">
        <w:t xml:space="preserve"> the matters concerned including the obligations breached or severity of breaches</w:t>
      </w:r>
      <w:r w:rsidR="00A642B2">
        <w:t xml:space="preserve">. </w:t>
      </w:r>
      <w:r w:rsidR="00A9176C">
        <w:t>S</w:t>
      </w:r>
      <w:r w:rsidR="2259F989">
        <w:t xml:space="preserve">ince 1 July 2018, </w:t>
      </w:r>
      <w:r w:rsidR="00D11F2F">
        <w:t>the ACMA</w:t>
      </w:r>
      <w:r w:rsidR="2259F989">
        <w:t xml:space="preserve"> has issued remedial directions and infringement notices and accepted enforceable undertakings more frequently</w:t>
      </w:r>
      <w:r w:rsidR="00A9176C">
        <w:t>;</w:t>
      </w:r>
      <w:r w:rsidR="49E7FD39">
        <w:t xml:space="preserve"> </w:t>
      </w:r>
      <w:r w:rsidR="00A9176C">
        <w:t>t</w:t>
      </w:r>
      <w:r w:rsidR="5B89DE62">
        <w:t xml:space="preserve">his could suggest a stronger approach to enforcement than in previous years. </w:t>
      </w:r>
      <w:r w:rsidR="00FA46A7">
        <w:t xml:space="preserve">It may also reflect the specific types of regulatory rules breached.   </w:t>
      </w:r>
    </w:p>
    <w:p w14:paraId="1ECCB3BB" w14:textId="17610B11" w:rsidR="00AA37AF" w:rsidRDefault="00AA37AF" w:rsidP="00F65FF6">
      <w:pPr>
        <w:spacing w:after="100" w:afterAutospacing="1" w:line="240" w:lineRule="auto"/>
        <w:jc w:val="center"/>
        <w:rPr>
          <w:rFonts w:eastAsia="Times New Roman" w:cs="Arial"/>
          <w:sz w:val="18"/>
          <w:szCs w:val="18"/>
          <w:lang w:eastAsia="en-AU"/>
        </w:rPr>
      </w:pPr>
      <w:r w:rsidRPr="00AA37AF">
        <w:rPr>
          <w:rFonts w:eastAsia="Times New Roman" w:cs="Arial"/>
          <w:noProof/>
          <w:sz w:val="18"/>
          <w:szCs w:val="18"/>
          <w:lang w:eastAsia="en-AU"/>
        </w:rPr>
        <w:lastRenderedPageBreak/>
        <w:drawing>
          <wp:inline distT="0" distB="0" distL="0" distR="0" wp14:anchorId="00F2471F" wp14:editId="7218EE27">
            <wp:extent cx="5566410" cy="3832225"/>
            <wp:effectExtent l="0" t="0" r="0" b="3175"/>
            <wp:docPr id="2127729030" name="Picture 1" descr="A blue and white chart with numbers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29030" name="Picture 1" descr="A blue and white chart with numbers and text"/>
                    <pic:cNvPicPr/>
                  </pic:nvPicPr>
                  <pic:blipFill>
                    <a:blip r:embed="rId41"/>
                    <a:stretch>
                      <a:fillRect/>
                    </a:stretch>
                  </pic:blipFill>
                  <pic:spPr>
                    <a:xfrm>
                      <a:off x="0" y="0"/>
                      <a:ext cx="5566410" cy="3832225"/>
                    </a:xfrm>
                    <a:prstGeom prst="rect">
                      <a:avLst/>
                    </a:prstGeom>
                  </pic:spPr>
                </pic:pic>
              </a:graphicData>
            </a:graphic>
          </wp:inline>
        </w:drawing>
      </w:r>
    </w:p>
    <w:p w14:paraId="3B19E941" w14:textId="351F2632" w:rsidR="00AF0D2E" w:rsidRPr="00AF0D2E" w:rsidRDefault="00AF0D2E" w:rsidP="00AF0D2E">
      <w:pPr>
        <w:spacing w:after="100" w:afterAutospacing="1" w:line="240" w:lineRule="auto"/>
        <w:jc w:val="center"/>
        <w:rPr>
          <w:rFonts w:eastAsia="Times New Roman" w:cs="Arial"/>
          <w:b/>
          <w:bCs/>
          <w:sz w:val="18"/>
          <w:szCs w:val="18"/>
          <w:lang w:eastAsia="en-AU"/>
        </w:rPr>
      </w:pPr>
      <w:r w:rsidRPr="00AF0D2E">
        <w:rPr>
          <w:rFonts w:eastAsia="Times New Roman" w:cs="Arial"/>
          <w:b/>
          <w:bCs/>
          <w:sz w:val="18"/>
          <w:szCs w:val="18"/>
          <w:lang w:eastAsia="en-AU"/>
        </w:rPr>
        <w:t xml:space="preserve">Table 1: Total </w:t>
      </w:r>
      <w:r w:rsidR="00020C22">
        <w:rPr>
          <w:rFonts w:eastAsia="Times New Roman" w:cs="Arial"/>
          <w:b/>
          <w:bCs/>
          <w:sz w:val="18"/>
          <w:szCs w:val="18"/>
          <w:lang w:eastAsia="en-AU"/>
        </w:rPr>
        <w:t>N</w:t>
      </w:r>
      <w:r w:rsidRPr="00AF0D2E">
        <w:rPr>
          <w:rFonts w:eastAsia="Times New Roman" w:cs="Arial"/>
          <w:b/>
          <w:bCs/>
          <w:sz w:val="18"/>
          <w:szCs w:val="18"/>
          <w:lang w:eastAsia="en-AU"/>
        </w:rPr>
        <w:t xml:space="preserve">umber of </w:t>
      </w:r>
      <w:r w:rsidR="00D11F2F">
        <w:rPr>
          <w:rFonts w:eastAsia="Times New Roman" w:cs="Arial"/>
          <w:b/>
          <w:bCs/>
          <w:sz w:val="18"/>
          <w:szCs w:val="18"/>
          <w:lang w:eastAsia="en-AU"/>
        </w:rPr>
        <w:t>the ACMA</w:t>
      </w:r>
      <w:r w:rsidRPr="00AF0D2E">
        <w:rPr>
          <w:rFonts w:eastAsia="Times New Roman" w:cs="Arial"/>
          <w:b/>
          <w:bCs/>
          <w:sz w:val="18"/>
          <w:szCs w:val="18"/>
          <w:lang w:eastAsia="en-AU"/>
        </w:rPr>
        <w:t xml:space="preserve"> </w:t>
      </w:r>
      <w:r w:rsidR="00020C22">
        <w:rPr>
          <w:rFonts w:eastAsia="Times New Roman" w:cs="Arial"/>
          <w:b/>
          <w:bCs/>
          <w:sz w:val="18"/>
          <w:szCs w:val="18"/>
          <w:lang w:eastAsia="en-AU"/>
        </w:rPr>
        <w:t>E</w:t>
      </w:r>
      <w:r w:rsidRPr="00AF0D2E">
        <w:rPr>
          <w:rFonts w:eastAsia="Times New Roman" w:cs="Arial"/>
          <w:b/>
          <w:bCs/>
          <w:sz w:val="18"/>
          <w:szCs w:val="18"/>
          <w:lang w:eastAsia="en-AU"/>
        </w:rPr>
        <w:t xml:space="preserve">nforcement </w:t>
      </w:r>
      <w:r w:rsidR="00020C22">
        <w:rPr>
          <w:rFonts w:eastAsia="Times New Roman" w:cs="Arial"/>
          <w:b/>
          <w:bCs/>
          <w:sz w:val="18"/>
          <w:szCs w:val="18"/>
          <w:lang w:eastAsia="en-AU"/>
        </w:rPr>
        <w:t>A</w:t>
      </w:r>
      <w:r w:rsidRPr="00AF0D2E">
        <w:rPr>
          <w:rFonts w:eastAsia="Times New Roman" w:cs="Arial"/>
          <w:b/>
          <w:bCs/>
          <w:sz w:val="18"/>
          <w:szCs w:val="18"/>
          <w:lang w:eastAsia="en-AU"/>
        </w:rPr>
        <w:t xml:space="preserve">ctions </w:t>
      </w:r>
      <w:r w:rsidR="00020C22">
        <w:rPr>
          <w:rFonts w:eastAsia="Times New Roman" w:cs="Arial"/>
          <w:b/>
          <w:bCs/>
          <w:sz w:val="18"/>
          <w:szCs w:val="18"/>
          <w:lang w:eastAsia="en-AU"/>
        </w:rPr>
        <w:t>E</w:t>
      </w:r>
      <w:r w:rsidRPr="00AF0D2E">
        <w:rPr>
          <w:rFonts w:eastAsia="Times New Roman" w:cs="Arial"/>
          <w:b/>
          <w:bCs/>
          <w:sz w:val="18"/>
          <w:szCs w:val="18"/>
          <w:lang w:eastAsia="en-AU"/>
        </w:rPr>
        <w:t xml:space="preserve">ach </w:t>
      </w:r>
      <w:r w:rsidR="00020C22">
        <w:rPr>
          <w:rFonts w:eastAsia="Times New Roman" w:cs="Arial"/>
          <w:b/>
          <w:bCs/>
          <w:sz w:val="18"/>
          <w:szCs w:val="18"/>
          <w:lang w:eastAsia="en-AU"/>
        </w:rPr>
        <w:t>Y</w:t>
      </w:r>
      <w:r w:rsidRPr="00AF0D2E">
        <w:rPr>
          <w:rFonts w:eastAsia="Times New Roman" w:cs="Arial"/>
          <w:b/>
          <w:bCs/>
          <w:sz w:val="18"/>
          <w:szCs w:val="18"/>
          <w:lang w:eastAsia="en-AU"/>
        </w:rPr>
        <w:t>ear</w:t>
      </w:r>
    </w:p>
    <w:p w14:paraId="6E1075C1" w14:textId="77777777" w:rsidR="00363F6E" w:rsidRDefault="00363F6E" w:rsidP="002D388C">
      <w:pPr>
        <w:spacing w:after="100" w:afterAutospacing="1" w:line="240" w:lineRule="auto"/>
        <w:rPr>
          <w:rFonts w:eastAsia="Times New Roman" w:cs="Arial"/>
          <w:sz w:val="18"/>
          <w:szCs w:val="18"/>
          <w:lang w:eastAsia="en-AU"/>
        </w:rPr>
      </w:pPr>
    </w:p>
    <w:p w14:paraId="6588479C" w14:textId="79272702" w:rsidR="0026137A" w:rsidRPr="00077B7F" w:rsidRDefault="00AF0D2E" w:rsidP="002D388C">
      <w:pPr>
        <w:spacing w:after="100" w:afterAutospacing="1" w:line="240" w:lineRule="auto"/>
        <w:rPr>
          <w:rFonts w:eastAsia="Times New Roman" w:cs="Arial"/>
          <w:sz w:val="18"/>
          <w:szCs w:val="18"/>
          <w:lang w:eastAsia="en-AU"/>
        </w:rPr>
      </w:pPr>
      <w:r>
        <w:rPr>
          <w:rFonts w:eastAsia="Times New Roman" w:cs="Arial"/>
          <w:sz w:val="18"/>
          <w:szCs w:val="18"/>
          <w:lang w:eastAsia="en-AU"/>
        </w:rPr>
        <w:t xml:space="preserve">Note: </w:t>
      </w:r>
      <w:r w:rsidR="00B76FED">
        <w:rPr>
          <w:rFonts w:eastAsia="Times New Roman" w:cs="Arial"/>
          <w:sz w:val="18"/>
          <w:szCs w:val="18"/>
          <w:lang w:eastAsia="en-AU"/>
        </w:rPr>
        <w:t>Dates were unable to be found for two enforcement actions</w:t>
      </w:r>
      <w:r w:rsidR="00866B7F">
        <w:rPr>
          <w:rFonts w:eastAsia="Times New Roman" w:cs="Arial"/>
          <w:sz w:val="18"/>
          <w:szCs w:val="18"/>
          <w:lang w:eastAsia="en-AU"/>
        </w:rPr>
        <w:t>.</w:t>
      </w:r>
    </w:p>
    <w:p w14:paraId="36CB37C4" w14:textId="2C130244" w:rsidR="00395689" w:rsidRDefault="00A64FF7" w:rsidP="001019BA">
      <w:pPr>
        <w:pStyle w:val="ListParagraph"/>
        <w:numPr>
          <w:ilvl w:val="0"/>
          <w:numId w:val="62"/>
        </w:numPr>
        <w:spacing w:after="100" w:afterAutospacing="1" w:line="240" w:lineRule="auto"/>
        <w:rPr>
          <w:rFonts w:eastAsia="Times New Roman" w:cs="Arial"/>
          <w:sz w:val="18"/>
          <w:szCs w:val="18"/>
          <w:lang w:eastAsia="en-AU"/>
        </w:rPr>
      </w:pPr>
      <w:r w:rsidRPr="12EC14AA">
        <w:rPr>
          <w:rFonts w:eastAsia="Times New Roman" w:cs="Arial"/>
          <w:sz w:val="18"/>
          <w:szCs w:val="18"/>
          <w:lang w:eastAsia="en-AU"/>
        </w:rPr>
        <w:t>A</w:t>
      </w:r>
      <w:r w:rsidR="00EC1333" w:rsidRPr="00243521">
        <w:rPr>
          <w:rFonts w:eastAsia="Times New Roman" w:cs="Arial"/>
          <w:sz w:val="18"/>
          <w:szCs w:val="18"/>
          <w:lang w:eastAsia="en-AU"/>
        </w:rPr>
        <w:t>n</w:t>
      </w:r>
      <w:r w:rsidR="00EC1333" w:rsidRPr="00195B04">
        <w:rPr>
          <w:rFonts w:eastAsia="Times New Roman" w:cs="Arial"/>
          <w:sz w:val="18"/>
          <w:szCs w:val="18"/>
          <w:lang w:eastAsia="en-AU"/>
        </w:rPr>
        <w:t xml:space="preserve"> </w:t>
      </w:r>
      <w:r w:rsidR="00714789" w:rsidRPr="00195B04">
        <w:rPr>
          <w:rFonts w:eastAsia="Times New Roman" w:cs="Arial"/>
          <w:sz w:val="18"/>
          <w:szCs w:val="18"/>
          <w:lang w:eastAsia="en-AU"/>
        </w:rPr>
        <w:t>entry relating to an infringement notice for Exceed</w:t>
      </w:r>
      <w:r w:rsidR="004E2215" w:rsidRPr="12EC14AA">
        <w:rPr>
          <w:rFonts w:eastAsia="Times New Roman" w:cs="Arial"/>
          <w:sz w:val="18"/>
          <w:szCs w:val="18"/>
          <w:lang w:eastAsia="en-AU"/>
        </w:rPr>
        <w:t xml:space="preserve"> </w:t>
      </w:r>
      <w:r w:rsidR="00714789" w:rsidRPr="00195B04">
        <w:rPr>
          <w:rFonts w:eastAsia="Times New Roman" w:cs="Arial"/>
          <w:sz w:val="18"/>
          <w:szCs w:val="18"/>
          <w:lang w:eastAsia="en-AU"/>
        </w:rPr>
        <w:t xml:space="preserve">Connect published on </w:t>
      </w:r>
      <w:r w:rsidR="00D11F2F" w:rsidRPr="00E7233B">
        <w:rPr>
          <w:rFonts w:eastAsia="Times New Roman" w:cs="Arial"/>
          <w:sz w:val="18"/>
          <w:szCs w:val="18"/>
          <w:lang w:eastAsia="en-AU"/>
        </w:rPr>
        <w:t>the ACMA</w:t>
      </w:r>
      <w:r w:rsidR="00714789" w:rsidRPr="00E7233B">
        <w:rPr>
          <w:rFonts w:eastAsia="Times New Roman" w:cs="Arial"/>
          <w:sz w:val="18"/>
          <w:szCs w:val="18"/>
          <w:lang w:eastAsia="en-AU"/>
        </w:rPr>
        <w:t>’s website</w:t>
      </w:r>
      <w:r w:rsidR="00714789" w:rsidRPr="00195B04">
        <w:rPr>
          <w:rFonts w:eastAsia="Times New Roman" w:cs="Arial"/>
          <w:sz w:val="18"/>
          <w:szCs w:val="18"/>
          <w:lang w:eastAsia="en-AU"/>
        </w:rPr>
        <w:t xml:space="preserve"> had no specified date.</w:t>
      </w:r>
      <w:r w:rsidR="0065650C" w:rsidRPr="12EC14AA">
        <w:rPr>
          <w:rFonts w:eastAsia="Times New Roman" w:cs="Arial"/>
          <w:sz w:val="18"/>
          <w:szCs w:val="18"/>
          <w:lang w:eastAsia="en-AU"/>
        </w:rPr>
        <w:t xml:space="preserve"> The current website list does not provide dates for matters that occurred between December 2015 and March 2017.</w:t>
      </w:r>
      <w:r w:rsidR="004964DC" w:rsidRPr="12EC14AA">
        <w:rPr>
          <w:rFonts w:eastAsia="Times New Roman" w:cs="Arial"/>
          <w:sz w:val="18"/>
          <w:szCs w:val="18"/>
          <w:lang w:eastAsia="en-AU"/>
        </w:rPr>
        <w:t xml:space="preserve"> It does not appear on an earlier list of </w:t>
      </w:r>
      <w:r w:rsidR="00D11F2F">
        <w:rPr>
          <w:rFonts w:eastAsia="Times New Roman" w:cs="Arial"/>
          <w:sz w:val="18"/>
          <w:szCs w:val="18"/>
          <w:lang w:eastAsia="en-AU"/>
        </w:rPr>
        <w:t>the ACMA</w:t>
      </w:r>
      <w:r w:rsidR="004964DC" w:rsidRPr="12EC14AA">
        <w:rPr>
          <w:rFonts w:eastAsia="Times New Roman" w:cs="Arial"/>
          <w:sz w:val="18"/>
          <w:szCs w:val="18"/>
          <w:lang w:eastAsia="en-AU"/>
        </w:rPr>
        <w:t>’s ‘</w:t>
      </w:r>
      <w:proofErr w:type="spellStart"/>
      <w:r w:rsidR="004964DC" w:rsidRPr="00340D25">
        <w:rPr>
          <w:rFonts w:eastAsia="Times New Roman" w:cs="Arial"/>
          <w:sz w:val="18"/>
          <w:szCs w:val="18"/>
          <w:lang w:eastAsia="en-AU"/>
        </w:rPr>
        <w:t>Telecomms</w:t>
      </w:r>
      <w:proofErr w:type="spellEnd"/>
      <w:r w:rsidR="004964DC" w:rsidRPr="00340D25">
        <w:rPr>
          <w:rFonts w:eastAsia="Times New Roman" w:cs="Arial"/>
          <w:sz w:val="18"/>
          <w:szCs w:val="18"/>
          <w:lang w:eastAsia="en-AU"/>
        </w:rPr>
        <w:t xml:space="preserve"> investigation reports’</w:t>
      </w:r>
      <w:r w:rsidR="004964DC" w:rsidRPr="12EC14AA">
        <w:rPr>
          <w:rStyle w:val="Hyperlink"/>
          <w:rFonts w:eastAsia="Times New Roman" w:cs="Arial"/>
          <w:sz w:val="18"/>
          <w:szCs w:val="18"/>
          <w:lang w:eastAsia="en-AU"/>
        </w:rPr>
        <w:t xml:space="preserve"> </w:t>
      </w:r>
      <w:r w:rsidR="004964DC" w:rsidRPr="12EC14AA">
        <w:rPr>
          <w:rFonts w:eastAsia="Times New Roman" w:cs="Arial"/>
          <w:sz w:val="18"/>
          <w:szCs w:val="18"/>
          <w:lang w:eastAsia="en-AU"/>
        </w:rPr>
        <w:t>available from the WayBack machine.</w:t>
      </w:r>
      <w:r w:rsidR="00714789" w:rsidRPr="00195B04">
        <w:rPr>
          <w:rFonts w:eastAsia="Times New Roman" w:cs="Arial"/>
          <w:sz w:val="18"/>
          <w:szCs w:val="18"/>
          <w:lang w:eastAsia="en-AU"/>
        </w:rPr>
        <w:t xml:space="preserve"> </w:t>
      </w:r>
      <w:r w:rsidR="00243521" w:rsidRPr="12EC14AA">
        <w:rPr>
          <w:rFonts w:eastAsia="Times New Roman" w:cs="Arial"/>
          <w:sz w:val="18"/>
          <w:szCs w:val="18"/>
          <w:lang w:eastAsia="en-AU"/>
        </w:rPr>
        <w:t xml:space="preserve">It does not appear in </w:t>
      </w:r>
      <w:r w:rsidR="00D11F2F">
        <w:rPr>
          <w:rFonts w:eastAsia="Times New Roman" w:cs="Arial"/>
          <w:sz w:val="18"/>
          <w:szCs w:val="18"/>
          <w:lang w:eastAsia="en-AU"/>
        </w:rPr>
        <w:t>the ACMA</w:t>
      </w:r>
      <w:r w:rsidR="00243521" w:rsidRPr="12EC14AA">
        <w:rPr>
          <w:rFonts w:eastAsia="Times New Roman" w:cs="Arial"/>
          <w:sz w:val="18"/>
          <w:szCs w:val="18"/>
          <w:lang w:eastAsia="en-AU"/>
        </w:rPr>
        <w:t xml:space="preserve">’s Annual Reports. </w:t>
      </w:r>
      <w:r w:rsidR="00714789" w:rsidRPr="00195B04">
        <w:rPr>
          <w:rFonts w:eastAsia="Times New Roman" w:cs="Arial"/>
          <w:sz w:val="18"/>
          <w:szCs w:val="18"/>
          <w:lang w:eastAsia="en-AU"/>
        </w:rPr>
        <w:t>We have assumed</w:t>
      </w:r>
      <w:r w:rsidR="00EC1333" w:rsidRPr="00195B04">
        <w:rPr>
          <w:rFonts w:eastAsia="Times New Roman" w:cs="Arial"/>
          <w:sz w:val="18"/>
          <w:szCs w:val="18"/>
          <w:lang w:eastAsia="en-AU"/>
        </w:rPr>
        <w:t xml:space="preserve"> it was issued in 2015-16 because of its close proximity to the infringement notice issued to the online entry for David John Esmonde trading as Aunix. </w:t>
      </w:r>
      <w:r w:rsidR="00356067">
        <w:rPr>
          <w:rFonts w:eastAsia="Times New Roman" w:cs="Arial"/>
          <w:sz w:val="18"/>
          <w:szCs w:val="18"/>
          <w:lang w:eastAsia="en-AU"/>
        </w:rPr>
        <w:t>T</w:t>
      </w:r>
      <w:r w:rsidR="00D11F2F">
        <w:rPr>
          <w:rFonts w:eastAsia="Times New Roman" w:cs="Arial"/>
          <w:sz w:val="18"/>
          <w:szCs w:val="18"/>
          <w:lang w:eastAsia="en-AU"/>
        </w:rPr>
        <w:t>he ACMA</w:t>
      </w:r>
      <w:r w:rsidR="002C56E3">
        <w:rPr>
          <w:rFonts w:eastAsia="Times New Roman" w:cs="Arial"/>
          <w:sz w:val="18"/>
          <w:szCs w:val="18"/>
          <w:lang w:eastAsia="en-AU"/>
        </w:rPr>
        <w:t>’</w:t>
      </w:r>
      <w:r w:rsidR="00EC1333" w:rsidRPr="00195B04">
        <w:rPr>
          <w:rFonts w:eastAsia="Times New Roman" w:cs="Arial"/>
          <w:sz w:val="18"/>
          <w:szCs w:val="18"/>
          <w:lang w:eastAsia="en-AU"/>
        </w:rPr>
        <w:t xml:space="preserve">s </w:t>
      </w:r>
      <w:r w:rsidR="00EC1333" w:rsidRPr="12EC14AA">
        <w:rPr>
          <w:rFonts w:eastAsia="Times New Roman" w:cs="Arial"/>
          <w:i/>
          <w:iCs/>
          <w:sz w:val="18"/>
          <w:szCs w:val="18"/>
          <w:lang w:eastAsia="en-AU"/>
        </w:rPr>
        <w:t>Annual Report</w:t>
      </w:r>
      <w:r w:rsidR="00EC1333" w:rsidRPr="00195B04">
        <w:rPr>
          <w:rFonts w:eastAsia="Times New Roman" w:cs="Arial"/>
          <w:sz w:val="18"/>
          <w:szCs w:val="18"/>
          <w:lang w:eastAsia="en-AU"/>
        </w:rPr>
        <w:t xml:space="preserve"> </w:t>
      </w:r>
      <w:r w:rsidR="00EC1333" w:rsidRPr="12EC14AA">
        <w:rPr>
          <w:rFonts w:eastAsia="Times New Roman" w:cs="Arial"/>
          <w:i/>
          <w:iCs/>
          <w:sz w:val="18"/>
          <w:szCs w:val="18"/>
          <w:lang w:eastAsia="en-AU"/>
        </w:rPr>
        <w:t>2015-16</w:t>
      </w:r>
      <w:r w:rsidR="00EC1333" w:rsidRPr="00195B04">
        <w:rPr>
          <w:rFonts w:eastAsia="Times New Roman" w:cs="Arial"/>
          <w:sz w:val="18"/>
          <w:szCs w:val="18"/>
          <w:lang w:eastAsia="en-AU"/>
        </w:rPr>
        <w:t xml:space="preserve"> indicates the infringement notice against David John Esmonde was issued in 2015-2016.</w:t>
      </w:r>
      <w:r w:rsidR="000E152C">
        <w:rPr>
          <w:rStyle w:val="FootnoteReference"/>
          <w:rFonts w:eastAsia="Times New Roman" w:cs="Arial"/>
          <w:sz w:val="18"/>
          <w:szCs w:val="18"/>
          <w:lang w:eastAsia="en-AU"/>
        </w:rPr>
        <w:footnoteReference w:id="257"/>
      </w:r>
    </w:p>
    <w:p w14:paraId="54027D62" w14:textId="6FC6BB87" w:rsidR="00B7744C" w:rsidRDefault="00A64FF7" w:rsidP="001019BA">
      <w:pPr>
        <w:pStyle w:val="ListParagraph"/>
        <w:numPr>
          <w:ilvl w:val="0"/>
          <w:numId w:val="62"/>
        </w:numPr>
        <w:spacing w:after="100" w:afterAutospacing="1" w:line="240" w:lineRule="auto"/>
        <w:rPr>
          <w:rFonts w:eastAsia="Times New Roman" w:cs="Arial"/>
          <w:sz w:val="18"/>
          <w:szCs w:val="18"/>
          <w:lang w:eastAsia="en-AU"/>
        </w:rPr>
      </w:pPr>
      <w:r w:rsidRPr="27E57E23">
        <w:rPr>
          <w:rFonts w:eastAsia="Times New Roman" w:cs="Arial"/>
          <w:sz w:val="18"/>
          <w:szCs w:val="18"/>
          <w:lang w:eastAsia="en-AU"/>
        </w:rPr>
        <w:t>Similarly, a</w:t>
      </w:r>
      <w:r w:rsidR="00B7744C" w:rsidRPr="27E57E23">
        <w:rPr>
          <w:rFonts w:eastAsia="Times New Roman" w:cs="Arial"/>
          <w:sz w:val="18"/>
          <w:szCs w:val="18"/>
          <w:lang w:eastAsia="en-AU"/>
        </w:rPr>
        <w:t xml:space="preserve">n entry relating to an infringement notice for </w:t>
      </w:r>
      <w:proofErr w:type="spellStart"/>
      <w:r w:rsidR="00B7744C" w:rsidRPr="27E57E23">
        <w:rPr>
          <w:rFonts w:eastAsia="Times New Roman" w:cs="Arial"/>
          <w:sz w:val="18"/>
          <w:szCs w:val="18"/>
          <w:lang w:eastAsia="en-AU"/>
        </w:rPr>
        <w:t>iTalkBB</w:t>
      </w:r>
      <w:proofErr w:type="spellEnd"/>
      <w:r w:rsidR="00B7744C" w:rsidRPr="27E57E23">
        <w:rPr>
          <w:rFonts w:eastAsia="Times New Roman" w:cs="Arial"/>
          <w:sz w:val="18"/>
          <w:szCs w:val="18"/>
          <w:lang w:eastAsia="en-AU"/>
        </w:rPr>
        <w:t xml:space="preserve"> was listed on </w:t>
      </w:r>
      <w:r w:rsidR="00D11F2F">
        <w:rPr>
          <w:rFonts w:eastAsia="Times New Roman" w:cs="Arial"/>
          <w:sz w:val="18"/>
          <w:szCs w:val="18"/>
          <w:lang w:eastAsia="en-AU"/>
        </w:rPr>
        <w:t>the ACMA</w:t>
      </w:r>
      <w:r w:rsidR="00B7744C" w:rsidRPr="27E57E23">
        <w:rPr>
          <w:rFonts w:eastAsia="Times New Roman" w:cs="Arial"/>
          <w:sz w:val="18"/>
          <w:szCs w:val="18"/>
          <w:lang w:eastAsia="en-AU"/>
        </w:rPr>
        <w:t xml:space="preserve">’s website as having occurred between 2010-2016. It </w:t>
      </w:r>
      <w:r w:rsidR="00AE50EA" w:rsidRPr="27E57E23">
        <w:rPr>
          <w:rFonts w:eastAsia="Times New Roman" w:cs="Arial"/>
          <w:sz w:val="18"/>
          <w:szCs w:val="18"/>
          <w:lang w:eastAsia="en-AU"/>
        </w:rPr>
        <w:t xml:space="preserve">also </w:t>
      </w:r>
      <w:r w:rsidR="00B7744C" w:rsidRPr="27E57E23">
        <w:rPr>
          <w:rFonts w:eastAsia="Times New Roman" w:cs="Arial"/>
          <w:sz w:val="18"/>
          <w:szCs w:val="18"/>
          <w:lang w:eastAsia="en-AU"/>
        </w:rPr>
        <w:t>does not appear</w:t>
      </w:r>
      <w:r w:rsidR="009F1444" w:rsidRPr="27E57E23">
        <w:rPr>
          <w:rFonts w:eastAsia="Times New Roman" w:cs="Arial"/>
          <w:sz w:val="18"/>
          <w:szCs w:val="18"/>
          <w:lang w:eastAsia="en-AU"/>
        </w:rPr>
        <w:t xml:space="preserve"> in earlier website material or</w:t>
      </w:r>
      <w:r w:rsidR="00B7744C" w:rsidRPr="27E57E23">
        <w:rPr>
          <w:rFonts w:eastAsia="Times New Roman" w:cs="Arial"/>
          <w:sz w:val="18"/>
          <w:szCs w:val="18"/>
          <w:lang w:eastAsia="en-AU"/>
        </w:rPr>
        <w:t xml:space="preserve"> in </w:t>
      </w:r>
      <w:r w:rsidR="00D11F2F">
        <w:rPr>
          <w:rFonts w:eastAsia="Times New Roman" w:cs="Arial"/>
          <w:sz w:val="18"/>
          <w:szCs w:val="18"/>
          <w:lang w:eastAsia="en-AU"/>
        </w:rPr>
        <w:t>the ACMA</w:t>
      </w:r>
      <w:r w:rsidR="00B7744C" w:rsidRPr="27E57E23">
        <w:rPr>
          <w:rFonts w:eastAsia="Times New Roman" w:cs="Arial"/>
          <w:sz w:val="18"/>
          <w:szCs w:val="18"/>
          <w:lang w:eastAsia="en-AU"/>
        </w:rPr>
        <w:t xml:space="preserve">’s Annual Reports. </w:t>
      </w:r>
      <w:r w:rsidR="00331D1B" w:rsidRPr="27E57E23">
        <w:rPr>
          <w:rFonts w:eastAsia="Times New Roman" w:cs="Arial"/>
          <w:sz w:val="18"/>
          <w:szCs w:val="18"/>
          <w:lang w:eastAsia="en-AU"/>
        </w:rPr>
        <w:t>W</w:t>
      </w:r>
      <w:r w:rsidR="00B7744C" w:rsidRPr="27E57E23">
        <w:rPr>
          <w:rFonts w:eastAsia="Times New Roman" w:cs="Arial"/>
          <w:sz w:val="18"/>
          <w:szCs w:val="18"/>
          <w:lang w:eastAsia="en-AU"/>
        </w:rPr>
        <w:t>e have allocated it to 2015-16</w:t>
      </w:r>
      <w:r w:rsidR="002E0265" w:rsidRPr="27E57E23">
        <w:rPr>
          <w:rFonts w:eastAsia="Times New Roman" w:cs="Arial"/>
          <w:sz w:val="18"/>
          <w:szCs w:val="18"/>
          <w:lang w:eastAsia="en-AU"/>
        </w:rPr>
        <w:t xml:space="preserve"> for the same reasons</w:t>
      </w:r>
      <w:r w:rsidR="00562F2D" w:rsidRPr="27E57E23">
        <w:rPr>
          <w:rFonts w:eastAsia="Times New Roman" w:cs="Arial"/>
          <w:sz w:val="18"/>
          <w:szCs w:val="18"/>
          <w:lang w:eastAsia="en-AU"/>
        </w:rPr>
        <w:t xml:space="preserve"> as </w:t>
      </w:r>
      <w:r w:rsidR="00B471B1" w:rsidRPr="27E57E23">
        <w:rPr>
          <w:rFonts w:eastAsia="Times New Roman" w:cs="Arial"/>
          <w:sz w:val="18"/>
          <w:szCs w:val="18"/>
          <w:lang w:eastAsia="en-AU"/>
        </w:rPr>
        <w:t xml:space="preserve">the above </w:t>
      </w:r>
      <w:r w:rsidR="003311FB" w:rsidRPr="27E57E23">
        <w:rPr>
          <w:rFonts w:eastAsia="Times New Roman" w:cs="Arial"/>
          <w:sz w:val="18"/>
          <w:szCs w:val="18"/>
          <w:lang w:eastAsia="en-AU"/>
        </w:rPr>
        <w:t>Exceed</w:t>
      </w:r>
      <w:r w:rsidR="00B471B1" w:rsidRPr="27E57E23">
        <w:rPr>
          <w:rFonts w:eastAsia="Times New Roman" w:cs="Arial"/>
          <w:sz w:val="18"/>
          <w:szCs w:val="18"/>
          <w:lang w:eastAsia="en-AU"/>
        </w:rPr>
        <w:t xml:space="preserve"> </w:t>
      </w:r>
      <w:r w:rsidR="003311FB" w:rsidRPr="27E57E23">
        <w:rPr>
          <w:rFonts w:eastAsia="Times New Roman" w:cs="Arial"/>
          <w:sz w:val="18"/>
          <w:szCs w:val="18"/>
          <w:lang w:eastAsia="en-AU"/>
        </w:rPr>
        <w:t>Connect</w:t>
      </w:r>
      <w:r w:rsidR="00B471B1" w:rsidRPr="27E57E23">
        <w:rPr>
          <w:rFonts w:eastAsia="Times New Roman" w:cs="Arial"/>
          <w:sz w:val="18"/>
          <w:szCs w:val="18"/>
          <w:lang w:eastAsia="en-AU"/>
        </w:rPr>
        <w:t xml:space="preserve"> entry</w:t>
      </w:r>
      <w:r w:rsidR="00B7744C" w:rsidRPr="27E57E23">
        <w:rPr>
          <w:rFonts w:eastAsia="Times New Roman" w:cs="Arial"/>
          <w:sz w:val="18"/>
          <w:szCs w:val="18"/>
          <w:lang w:eastAsia="en-AU"/>
        </w:rPr>
        <w:t>.</w:t>
      </w:r>
    </w:p>
    <w:p w14:paraId="5D006DF4" w14:textId="2D272B94" w:rsidR="005A4293" w:rsidRPr="005A4293" w:rsidRDefault="005A4293" w:rsidP="005A4293">
      <w:pPr>
        <w:rPr>
          <w:rFonts w:ascii="Segoe UI" w:eastAsia="Times New Roman" w:hAnsi="Segoe UI" w:cs="Calibri"/>
          <w:sz w:val="18"/>
          <w:szCs w:val="18"/>
          <w:lang w:eastAsia="en-AU"/>
        </w:rPr>
      </w:pPr>
    </w:p>
    <w:p w14:paraId="6B83580B" w14:textId="19734FA9" w:rsidR="005A4293" w:rsidRPr="005A4293" w:rsidRDefault="005A4293" w:rsidP="4BCFC24D">
      <w:pPr>
        <w:pStyle w:val="Bullets"/>
      </w:pPr>
      <w:r w:rsidRPr="27E57E23">
        <w:rPr>
          <w:rFonts w:ascii="Times New Roman" w:eastAsia="Calibri" w:hAnsi="Times New Roman" w:cs="Times New Roman"/>
          <w:sz w:val="24"/>
          <w:szCs w:val="24"/>
          <w:lang w:eastAsia="en-AU"/>
        </w:rPr>
        <w:br w:type="page"/>
      </w:r>
    </w:p>
    <w:p w14:paraId="28D58D1E" w14:textId="77777777" w:rsidR="005A4293" w:rsidRPr="00515C60" w:rsidRDefault="005A4293" w:rsidP="00515C60">
      <w:pPr>
        <w:pStyle w:val="Heading1"/>
      </w:pPr>
      <w:bookmarkStart w:id="214" w:name="_Toc146201058"/>
      <w:bookmarkStart w:id="215" w:name="_Toc161836196"/>
      <w:r w:rsidRPr="00515C60">
        <w:lastRenderedPageBreak/>
        <w:t>Conclusion</w:t>
      </w:r>
      <w:bookmarkEnd w:id="214"/>
      <w:bookmarkEnd w:id="215"/>
    </w:p>
    <w:p w14:paraId="239379C3" w14:textId="77777777" w:rsidR="00515C60" w:rsidRDefault="00515C60" w:rsidP="0063588A"/>
    <w:p w14:paraId="6BB2FAB7" w14:textId="29A4C0F2" w:rsidR="0063588A" w:rsidRPr="00271736" w:rsidRDefault="00524C40" w:rsidP="0063588A">
      <w:r>
        <w:t>In this report, we ha</w:t>
      </w:r>
      <w:r w:rsidR="00D95ADF">
        <w:t xml:space="preserve">ve </w:t>
      </w:r>
      <w:r w:rsidR="00B52EB0" w:rsidRPr="005623A6">
        <w:t>provide</w:t>
      </w:r>
      <w:r w:rsidR="00D95ADF">
        <w:t>d</w:t>
      </w:r>
      <w:r w:rsidR="00B52EB0" w:rsidRPr="005623A6">
        <w:t xml:space="preserve"> an overview of</w:t>
      </w:r>
      <w:r w:rsidR="00D95ADF">
        <w:t xml:space="preserve"> the </w:t>
      </w:r>
      <w:r w:rsidR="00B52EB0" w:rsidRPr="005623A6">
        <w:t xml:space="preserve">two highly influential strategies of regulation that have informed and continue to inform </w:t>
      </w:r>
      <w:r w:rsidR="00D11F2F">
        <w:t>the ACMA</w:t>
      </w:r>
      <w:r w:rsidR="00B52EB0" w:rsidRPr="005623A6">
        <w:t>’s approach to enforcement and compliance</w:t>
      </w:r>
      <w:r w:rsidR="00D95ADF">
        <w:t xml:space="preserve">: </w:t>
      </w:r>
      <w:r w:rsidR="00F21022">
        <w:t>responsive regulation and risk-based regulation</w:t>
      </w:r>
      <w:r w:rsidR="00B52EB0" w:rsidRPr="005623A6">
        <w:t xml:space="preserve">. </w:t>
      </w:r>
      <w:r w:rsidR="0063588A" w:rsidRPr="00271736">
        <w:t xml:space="preserve">The former is often associated, including in the work of </w:t>
      </w:r>
      <w:r w:rsidR="00D11F2F">
        <w:t>the ACMA</w:t>
      </w:r>
      <w:r w:rsidR="0063588A">
        <w:t>,</w:t>
      </w:r>
      <w:r w:rsidR="0063588A" w:rsidRPr="00271736">
        <w:t xml:space="preserve"> with the enforcement pyramid which aims to ensure compliance with minimum standards. The latter is widely adopted in Australia and is embedded in public governance legislation that applies to all Commonwealth entities. </w:t>
      </w:r>
    </w:p>
    <w:p w14:paraId="4C492641" w14:textId="29FD3281" w:rsidR="001900D1" w:rsidRDefault="00AC4CF7" w:rsidP="00D95ADF">
      <w:r>
        <w:t xml:space="preserve">We have </w:t>
      </w:r>
      <w:r w:rsidR="00F025B5">
        <w:t xml:space="preserve">explained </w:t>
      </w:r>
      <w:r w:rsidR="005D05F5">
        <w:t xml:space="preserve">that </w:t>
      </w:r>
      <w:r w:rsidR="00D11F2F">
        <w:t>the ACMA</w:t>
      </w:r>
      <w:r w:rsidR="0019021E">
        <w:t xml:space="preserve"> has </w:t>
      </w:r>
      <w:r w:rsidR="005B4378">
        <w:t>a range of administrative</w:t>
      </w:r>
      <w:r w:rsidR="00D33733">
        <w:t xml:space="preserve">, </w:t>
      </w:r>
      <w:r w:rsidR="005B4378">
        <w:t xml:space="preserve">civil </w:t>
      </w:r>
      <w:r w:rsidR="00D33733">
        <w:t xml:space="preserve">and criminal </w:t>
      </w:r>
      <w:r w:rsidR="005B4378">
        <w:t xml:space="preserve">mechanisms to enforce </w:t>
      </w:r>
      <w:r w:rsidR="00EE698A">
        <w:t xml:space="preserve">the </w:t>
      </w:r>
      <w:r w:rsidR="15EE3CCF">
        <w:t>consumer</w:t>
      </w:r>
      <w:r w:rsidR="000A5D98">
        <w:t xml:space="preserve"> </w:t>
      </w:r>
      <w:r w:rsidR="15EE3CCF">
        <w:t>protection</w:t>
      </w:r>
      <w:r w:rsidR="0029570E">
        <w:t>-</w:t>
      </w:r>
      <w:r w:rsidR="15EE3CCF">
        <w:t>related provisions that are the focus of this report</w:t>
      </w:r>
      <w:r w:rsidR="00527EAB">
        <w:t xml:space="preserve">. </w:t>
      </w:r>
      <w:r w:rsidR="007C0243">
        <w:t>Its administrative</w:t>
      </w:r>
      <w:r w:rsidR="006D72B1">
        <w:t xml:space="preserve"> mechanisms </w:t>
      </w:r>
      <w:r w:rsidR="00807D98">
        <w:t xml:space="preserve">comprise </w:t>
      </w:r>
      <w:r w:rsidR="00975F0F">
        <w:t>formal warning</w:t>
      </w:r>
      <w:r w:rsidR="00AE036C">
        <w:t>s</w:t>
      </w:r>
      <w:r w:rsidR="00975F0F">
        <w:t>, direction</w:t>
      </w:r>
      <w:r w:rsidR="00AE036C">
        <w:t>s</w:t>
      </w:r>
      <w:r w:rsidR="00975F0F">
        <w:t xml:space="preserve"> to compl</w:t>
      </w:r>
      <w:r w:rsidR="002A2248">
        <w:t xml:space="preserve">y, </w:t>
      </w:r>
      <w:r w:rsidR="00975F0F">
        <w:t>infringement notice</w:t>
      </w:r>
      <w:r w:rsidR="00AE036C">
        <w:t>s and remedial directions</w:t>
      </w:r>
      <w:r w:rsidR="003611D2">
        <w:t>, and it also has the power to accept enforceable undertakings</w:t>
      </w:r>
      <w:r w:rsidR="00AE036C">
        <w:t>.</w:t>
      </w:r>
      <w:r w:rsidR="00973D87">
        <w:t xml:space="preserve"> </w:t>
      </w:r>
      <w:r w:rsidR="00BB1053">
        <w:t>Its</w:t>
      </w:r>
      <w:r w:rsidR="00973D87">
        <w:t xml:space="preserve"> civil mechanisms include </w:t>
      </w:r>
      <w:r w:rsidR="0076422D">
        <w:t>injunction</w:t>
      </w:r>
      <w:r w:rsidR="00155765">
        <w:t>s</w:t>
      </w:r>
      <w:r w:rsidR="0076422D">
        <w:t xml:space="preserve"> and civil penalt</w:t>
      </w:r>
      <w:r w:rsidR="00155765">
        <w:t>ies</w:t>
      </w:r>
      <w:r w:rsidR="00D227DF">
        <w:t>.</w:t>
      </w:r>
      <w:r w:rsidR="08831C3F">
        <w:t xml:space="preserve"> </w:t>
      </w:r>
      <w:r w:rsidR="00760514">
        <w:t xml:space="preserve">The criminal mechanism is the fine upon conviction. </w:t>
      </w:r>
      <w:r w:rsidR="003371CD">
        <w:t>W</w:t>
      </w:r>
      <w:r w:rsidR="007B6002">
        <w:t xml:space="preserve">e have highlighted that </w:t>
      </w:r>
      <w:r w:rsidR="00825BC2">
        <w:t>t</w:t>
      </w:r>
      <w:r w:rsidR="000F194D">
        <w:t xml:space="preserve">he precise </w:t>
      </w:r>
      <w:r w:rsidR="00F1050E">
        <w:t xml:space="preserve">enforcement </w:t>
      </w:r>
      <w:r w:rsidR="000F194D">
        <w:t>mechanism</w:t>
      </w:r>
      <w:r w:rsidR="00EC63A2">
        <w:t xml:space="preserve">s available </w:t>
      </w:r>
      <w:r w:rsidR="00825BC2">
        <w:t xml:space="preserve">to </w:t>
      </w:r>
      <w:r w:rsidR="00D11F2F">
        <w:t>the ACMA</w:t>
      </w:r>
      <w:r w:rsidR="00825BC2">
        <w:t xml:space="preserve"> </w:t>
      </w:r>
      <w:r w:rsidR="00EC63A2">
        <w:t xml:space="preserve">depend on the </w:t>
      </w:r>
      <w:r w:rsidR="003371CD">
        <w:t>specific rule</w:t>
      </w:r>
      <w:r w:rsidR="00371B81">
        <w:t xml:space="preserve"> in question</w:t>
      </w:r>
      <w:r w:rsidR="007A45F6">
        <w:t xml:space="preserve">. </w:t>
      </w:r>
      <w:r w:rsidR="000E2B30">
        <w:t>T</w:t>
      </w:r>
      <w:r w:rsidR="007A45F6">
        <w:t xml:space="preserve">he enforcement mechanisms for select service provider rules and </w:t>
      </w:r>
      <w:r w:rsidR="00887F42">
        <w:t>select carrier licence conditions are identical</w:t>
      </w:r>
      <w:r w:rsidR="000E2B30">
        <w:t>. However</w:t>
      </w:r>
      <w:r w:rsidR="00887F42">
        <w:t>, th</w:t>
      </w:r>
      <w:r w:rsidR="004D1A63">
        <w:t xml:space="preserve">e tools </w:t>
      </w:r>
      <w:r w:rsidR="00887F42">
        <w:t>available</w:t>
      </w:r>
      <w:r w:rsidR="004D1A63">
        <w:t xml:space="preserve"> </w:t>
      </w:r>
      <w:r w:rsidR="00497A4C">
        <w:t xml:space="preserve">to enforce </w:t>
      </w:r>
      <w:r w:rsidR="004D1A63">
        <w:t xml:space="preserve">industry codes and </w:t>
      </w:r>
      <w:r w:rsidR="00C658F1">
        <w:t>industry standard</w:t>
      </w:r>
      <w:r w:rsidR="00BB1053">
        <w:t>s</w:t>
      </w:r>
      <w:r w:rsidR="00C658F1">
        <w:t xml:space="preserve"> differ</w:t>
      </w:r>
      <w:r w:rsidR="00562791">
        <w:t xml:space="preserve"> </w:t>
      </w:r>
      <w:r w:rsidR="005F3AE6">
        <w:t>f</w:t>
      </w:r>
      <w:r w:rsidR="00A144C8">
        <w:t>rom each other</w:t>
      </w:r>
      <w:r w:rsidR="004F4C54">
        <w:t xml:space="preserve">. They also differ from the </w:t>
      </w:r>
      <w:r w:rsidR="00DC6B66">
        <w:t xml:space="preserve">tools </w:t>
      </w:r>
      <w:r w:rsidR="00E6316C">
        <w:t xml:space="preserve">available to enforce </w:t>
      </w:r>
      <w:r w:rsidR="000E2B30">
        <w:t>the select service provider rules and select carrier licence conditions.</w:t>
      </w:r>
      <w:r w:rsidR="00BB1053">
        <w:t xml:space="preserve"> The tools available to enforce industry codes are the weakest.</w:t>
      </w:r>
    </w:p>
    <w:p w14:paraId="2D4D7B7C" w14:textId="36476DFF" w:rsidR="0025246A" w:rsidRDefault="00EB760D" w:rsidP="00D95ADF">
      <w:r>
        <w:t xml:space="preserve">We have summarised </w:t>
      </w:r>
      <w:r w:rsidR="00D11F2F">
        <w:t>the ACMA</w:t>
      </w:r>
      <w:r w:rsidR="00B52EB0" w:rsidRPr="005623A6">
        <w:t>’s general approach to compliance and enforcemen</w:t>
      </w:r>
      <w:r w:rsidR="00CE33F8">
        <w:t>t</w:t>
      </w:r>
      <w:r w:rsidR="00330D29">
        <w:t xml:space="preserve">, </w:t>
      </w:r>
      <w:r w:rsidR="00CE33F8" w:rsidRPr="005623A6">
        <w:t xml:space="preserve">the factors that influence its decisions to </w:t>
      </w:r>
      <w:r w:rsidR="00CE33F8">
        <w:t>take enforcement action</w:t>
      </w:r>
      <w:r w:rsidR="00BB1053">
        <w:t xml:space="preserve"> (including </w:t>
      </w:r>
      <w:r w:rsidR="00CE33F8">
        <w:t>infringement notices and remedial directions</w:t>
      </w:r>
      <w:r w:rsidR="00BB1053">
        <w:t>)</w:t>
      </w:r>
      <w:r w:rsidR="00330D29">
        <w:t>, and its enforcement prio</w:t>
      </w:r>
      <w:r w:rsidR="00143624">
        <w:t>rities</w:t>
      </w:r>
      <w:r w:rsidR="00CE33F8">
        <w:t xml:space="preserve">. </w:t>
      </w:r>
      <w:r w:rsidR="00533450">
        <w:t>In addition, w</w:t>
      </w:r>
      <w:r w:rsidR="00330D29">
        <w:t xml:space="preserve">e </w:t>
      </w:r>
      <w:r w:rsidR="00BB1053">
        <w:t xml:space="preserve">have </w:t>
      </w:r>
      <w:r w:rsidR="001F0285">
        <w:t xml:space="preserve">noted </w:t>
      </w:r>
      <w:r w:rsidR="00E216AF">
        <w:t>that</w:t>
      </w:r>
      <w:r w:rsidR="00B52EB0" w:rsidRPr="005623A6">
        <w:t xml:space="preserve"> </w:t>
      </w:r>
      <w:r w:rsidR="001967F7">
        <w:t xml:space="preserve">there are </w:t>
      </w:r>
      <w:r w:rsidR="006E0A54">
        <w:t xml:space="preserve">some </w:t>
      </w:r>
      <w:r w:rsidR="001967F7">
        <w:t>differences</w:t>
      </w:r>
      <w:r w:rsidR="00690B49">
        <w:t xml:space="preserve"> between </w:t>
      </w:r>
      <w:r w:rsidR="00D11F2F">
        <w:t>the ACMA</w:t>
      </w:r>
      <w:r w:rsidR="00690B49">
        <w:t xml:space="preserve">’s understanding of responsiveness </w:t>
      </w:r>
      <w:r w:rsidR="00B52EB0" w:rsidRPr="005623A6">
        <w:t xml:space="preserve">and </w:t>
      </w:r>
      <w:r w:rsidR="006E0A54">
        <w:t xml:space="preserve">the understanding of </w:t>
      </w:r>
      <w:r w:rsidR="00E75402">
        <w:t xml:space="preserve">responsiveness advanced by </w:t>
      </w:r>
      <w:r w:rsidR="007E2CB9">
        <w:t xml:space="preserve">Ayres and Braithwaite </w:t>
      </w:r>
      <w:r w:rsidR="000D287E">
        <w:t>and other regulatory scholars.</w:t>
      </w:r>
      <w:r w:rsidR="001F0285">
        <w:t xml:space="preserve">  </w:t>
      </w:r>
    </w:p>
    <w:p w14:paraId="716BA986" w14:textId="09C1962A" w:rsidR="0046192F" w:rsidRDefault="00A72ECD" w:rsidP="00CF1034">
      <w:r>
        <w:t xml:space="preserve">The data we have been able to collect for this report  — the names of service providers against whom </w:t>
      </w:r>
      <w:r w:rsidR="00D11F2F">
        <w:t>the ACMA</w:t>
      </w:r>
      <w:r>
        <w:t xml:space="preserve"> has taken enforcement action between 1 January 2010 and 30 June 2023, the provisions </w:t>
      </w:r>
      <w:r w:rsidR="00D11F2F">
        <w:t>the ACMA</w:t>
      </w:r>
      <w:r>
        <w:t xml:space="preserve"> found they had breached, when </w:t>
      </w:r>
      <w:r w:rsidR="00D11F2F">
        <w:t>the ACMA</w:t>
      </w:r>
      <w:r>
        <w:t xml:space="preserve"> took enforcement action, and the types of enforcement actions </w:t>
      </w:r>
      <w:r w:rsidR="00D11F2F">
        <w:t>the ACMA</w:t>
      </w:r>
      <w:r>
        <w:t xml:space="preserve"> took against service providers</w:t>
      </w:r>
      <w:r w:rsidR="00432D50">
        <w:t xml:space="preserve"> </w:t>
      </w:r>
      <w:r w:rsidR="00CB2DFB">
        <w:t>—</w:t>
      </w:r>
      <w:r w:rsidR="00432D50">
        <w:t xml:space="preserve"> </w:t>
      </w:r>
      <w:r>
        <w:t xml:space="preserve">do not enable us to engage in a comprehensive review of how </w:t>
      </w:r>
      <w:r w:rsidR="00D11F2F">
        <w:t>the ACMA</w:t>
      </w:r>
      <w:r>
        <w:t xml:space="preserve"> has exercised its enforcement discretion and whether it has acted consistently with the principles of responsive regulation and risk-based regulation. </w:t>
      </w:r>
      <w:r w:rsidR="00CF1034">
        <w:t xml:space="preserve">Comprehensive assessment of </w:t>
      </w:r>
      <w:r w:rsidR="00D11F2F">
        <w:t>the ACMA</w:t>
      </w:r>
      <w:r w:rsidR="00CF1034">
        <w:t>’s enforcement practices would require access to all investigation</w:t>
      </w:r>
      <w:r w:rsidR="002A46D2">
        <w:t xml:space="preserve"> </w:t>
      </w:r>
      <w:r w:rsidR="6651BC4E">
        <w:t>reports</w:t>
      </w:r>
      <w:r w:rsidR="00CF1034">
        <w:t>, a much richer understanding of context</w:t>
      </w:r>
      <w:r w:rsidR="002A46D2">
        <w:t>,</w:t>
      </w:r>
      <w:r w:rsidR="00CF1034">
        <w:t xml:space="preserve"> and </w:t>
      </w:r>
      <w:r w:rsidR="1AE848CD">
        <w:t>consideration</w:t>
      </w:r>
      <w:r w:rsidR="00ED6703">
        <w:t xml:space="preserve"> of</w:t>
      </w:r>
      <w:r w:rsidR="00CF1034">
        <w:t xml:space="preserve"> other data accessible via methods such as interviews with key stakeholders and surveys of regulators and the regulated companies. </w:t>
      </w:r>
    </w:p>
    <w:p w14:paraId="1F5A68F9" w14:textId="18D700BB" w:rsidR="00A72ECD" w:rsidRDefault="00A72ECD" w:rsidP="00CF1034">
      <w:r>
        <w:t xml:space="preserve">Nevertheless, the data </w:t>
      </w:r>
      <w:r w:rsidR="00F957A8">
        <w:t xml:space="preserve">collected </w:t>
      </w:r>
      <w:r>
        <w:t xml:space="preserve">suggests that when </w:t>
      </w:r>
      <w:r w:rsidR="00D11F2F">
        <w:t>the ACMA</w:t>
      </w:r>
      <w:r>
        <w:t xml:space="preserve"> does take enforcement action, it acts in accordance with and subject to the limitations of the </w:t>
      </w:r>
      <w:r w:rsidR="00AA7AED">
        <w:t>Tel Act</w:t>
      </w:r>
      <w:r>
        <w:t xml:space="preserve">. It also suggests that </w:t>
      </w:r>
      <w:r w:rsidR="00D11F2F">
        <w:t>the ACMA</w:t>
      </w:r>
      <w:r>
        <w:t xml:space="preserve"> broadly acts in a way that is consistent with its Compliance and Enforcement Policy, its Regulatory Guides, and the Telecommunications (Infringement Notices) Guidelines 2022 (Cth) outlined in Chapter 3. </w:t>
      </w:r>
    </w:p>
    <w:p w14:paraId="60D67846" w14:textId="3F410D6C" w:rsidR="000259F3" w:rsidRDefault="00B127D6" w:rsidP="00B127D6">
      <w:r w:rsidRPr="00FB4FE7">
        <w:t>However, the data provoke</w:t>
      </w:r>
      <w:r>
        <w:t xml:space="preserve">s </w:t>
      </w:r>
      <w:r w:rsidRPr="00FB4FE7">
        <w:t xml:space="preserve">questions (outside the scope of this report) about </w:t>
      </w:r>
      <w:r>
        <w:t xml:space="preserve">the adequacy of </w:t>
      </w:r>
      <w:r w:rsidR="00D11F2F">
        <w:t>the ACMA</w:t>
      </w:r>
      <w:r>
        <w:t xml:space="preserve">’s </w:t>
      </w:r>
      <w:r w:rsidR="00AA7AED">
        <w:t>Tel Act</w:t>
      </w:r>
      <w:r>
        <w:t xml:space="preserve"> enforcement powers</w:t>
      </w:r>
      <w:r w:rsidR="009D2BE2">
        <w:t xml:space="preserve"> – </w:t>
      </w:r>
      <w:r w:rsidR="004D5A85">
        <w:t>i</w:t>
      </w:r>
      <w:r w:rsidR="00DA1E77">
        <w:t xml:space="preserve">n particular, </w:t>
      </w:r>
      <w:r w:rsidR="003B2CED">
        <w:t xml:space="preserve">whether </w:t>
      </w:r>
      <w:r w:rsidR="00D11F2F">
        <w:t>the ACMA</w:t>
      </w:r>
      <w:r w:rsidR="003B2CED">
        <w:t xml:space="preserve"> needs additional tools (used in isolation or combination) to secure or motivate industry compliance. </w:t>
      </w:r>
      <w:r w:rsidR="00D00AFE">
        <w:t xml:space="preserve">These </w:t>
      </w:r>
      <w:r w:rsidR="00D00AFE">
        <w:lastRenderedPageBreak/>
        <w:t>questions would include the following</w:t>
      </w:r>
      <w:r w:rsidR="00F62092">
        <w:t xml:space="preserve">, all of which are questions for </w:t>
      </w:r>
      <w:r w:rsidR="004453A1">
        <w:t xml:space="preserve">government policy rather than </w:t>
      </w:r>
      <w:r w:rsidR="00D11F2F">
        <w:t>the ACMA</w:t>
      </w:r>
      <w:r w:rsidR="004453A1">
        <w:t xml:space="preserve">’s </w:t>
      </w:r>
      <w:r w:rsidR="00942D47">
        <w:t>imp</w:t>
      </w:r>
      <w:r w:rsidR="000506EC">
        <w:t>lementation of current regulation</w:t>
      </w:r>
      <w:r w:rsidR="00D00AFE">
        <w:t>.</w:t>
      </w:r>
    </w:p>
    <w:p w14:paraId="422B5C02" w14:textId="70C4F1F4" w:rsidR="00595A43" w:rsidRDefault="00891133" w:rsidP="00EE2791">
      <w:pPr>
        <w:pStyle w:val="Bullets"/>
      </w:pPr>
      <w:r>
        <w:t>When a code of practice is breached, s</w:t>
      </w:r>
      <w:r w:rsidR="00D83DF3">
        <w:t xml:space="preserve">hould </w:t>
      </w:r>
      <w:r w:rsidR="00D11F2F">
        <w:t>the ACMA</w:t>
      </w:r>
      <w:r w:rsidR="00F47BC8">
        <w:t xml:space="preserve"> </w:t>
      </w:r>
      <w:r w:rsidR="00E734C9">
        <w:t xml:space="preserve">be limited to issuing a </w:t>
      </w:r>
      <w:r w:rsidR="007177BF">
        <w:t xml:space="preserve">formal warning or </w:t>
      </w:r>
      <w:r w:rsidR="00E734C9">
        <w:t>direction to comply</w:t>
      </w:r>
      <w:r w:rsidR="00EA59B1">
        <w:t>, or should it have access to other tools such as the issuing of infringement fines</w:t>
      </w:r>
      <w:r w:rsidR="00F1684E">
        <w:t xml:space="preserve"> and accepting an enforceable undertaking, if one is offered</w:t>
      </w:r>
      <w:r w:rsidR="00EA59B1">
        <w:t>?</w:t>
      </w:r>
      <w:r w:rsidR="003566D7">
        <w:t xml:space="preserve"> </w:t>
      </w:r>
      <w:r w:rsidR="00692E70">
        <w:t xml:space="preserve">While the current </w:t>
      </w:r>
      <w:r w:rsidR="00333A5B">
        <w:t xml:space="preserve">approach </w:t>
      </w:r>
      <w:r w:rsidR="005D721B">
        <w:t xml:space="preserve">is consistent with the </w:t>
      </w:r>
      <w:r w:rsidR="0031294D">
        <w:t xml:space="preserve">‘voluntary’ </w:t>
      </w:r>
      <w:r w:rsidR="0039491F">
        <w:t xml:space="preserve">status of registered codes, </w:t>
      </w:r>
      <w:r w:rsidR="00F213B2">
        <w:t xml:space="preserve">this report </w:t>
      </w:r>
      <w:r w:rsidR="00F3450F">
        <w:t xml:space="preserve">mentions two important areas of consumer protection – complaint handling and hardship policies – where the </w:t>
      </w:r>
      <w:r w:rsidR="00862364">
        <w:t xml:space="preserve">rules have </w:t>
      </w:r>
      <w:r w:rsidR="00F123C5">
        <w:t xml:space="preserve">been given additional weight through the transfer from the code environment to </w:t>
      </w:r>
      <w:r w:rsidR="00D11F2F">
        <w:t>the ACMA</w:t>
      </w:r>
      <w:r w:rsidR="000641EA">
        <w:t>-formulated standards that are directly enforceable on a first breach.</w:t>
      </w:r>
      <w:r w:rsidR="00A4311F">
        <w:t xml:space="preserve"> </w:t>
      </w:r>
    </w:p>
    <w:p w14:paraId="49854D15" w14:textId="0C5A788C" w:rsidR="000C165A" w:rsidRDefault="000C165A" w:rsidP="00EE2791">
      <w:pPr>
        <w:pStyle w:val="Bullets"/>
      </w:pPr>
      <w:r>
        <w:t xml:space="preserve">Should the </w:t>
      </w:r>
      <w:r w:rsidR="00C435D6">
        <w:t>value of an infri</w:t>
      </w:r>
      <w:r w:rsidR="00337A20">
        <w:t>ngement fine be increased</w:t>
      </w:r>
      <w:r w:rsidR="00426397">
        <w:t xml:space="preserve"> </w:t>
      </w:r>
      <w:r w:rsidR="00610FA9">
        <w:t xml:space="preserve">to cover </w:t>
      </w:r>
      <w:r w:rsidR="00DF7250">
        <w:t xml:space="preserve">situations where a relatively serious single breach attracts a </w:t>
      </w:r>
      <w:r w:rsidR="00790A40">
        <w:t>heavier</w:t>
      </w:r>
      <w:r w:rsidR="009655D5">
        <w:t xml:space="preserve"> </w:t>
      </w:r>
      <w:r w:rsidR="00DF7250">
        <w:t>fine?</w:t>
      </w:r>
    </w:p>
    <w:p w14:paraId="39009796" w14:textId="138202CF" w:rsidR="41278A45" w:rsidRPr="00925654" w:rsidRDefault="00D20EC7" w:rsidP="0055744F">
      <w:pPr>
        <w:pStyle w:val="Bullets"/>
        <w:rPr>
          <w:szCs w:val="21"/>
        </w:rPr>
      </w:pPr>
      <w:r>
        <w:t xml:space="preserve">Should </w:t>
      </w:r>
      <w:r w:rsidR="00D11F2F">
        <w:t>the ACMA</w:t>
      </w:r>
      <w:r>
        <w:t xml:space="preserve"> be able to seek</w:t>
      </w:r>
      <w:r w:rsidR="00925654">
        <w:t xml:space="preserve"> – as canvassed in the regulatory literature</w:t>
      </w:r>
      <w:r w:rsidR="00557846">
        <w:t xml:space="preserve"> (and noted in </w:t>
      </w:r>
      <w:r w:rsidR="00AE6527">
        <w:t xml:space="preserve">Chapter </w:t>
      </w:r>
      <w:r w:rsidR="00557846">
        <w:t>1</w:t>
      </w:r>
      <w:r w:rsidR="00107882">
        <w:t xml:space="preserve">, section </w:t>
      </w:r>
      <w:r w:rsidR="00557846">
        <w:t>A)</w:t>
      </w:r>
      <w:r w:rsidR="00925654">
        <w:t>, based on experience in other industries or jurisdictions –</w:t>
      </w:r>
      <w:r>
        <w:t xml:space="preserve"> the imposition of criminal penalties on providers who </w:t>
      </w:r>
      <w:r w:rsidR="00925654">
        <w:t xml:space="preserve">seriously and repeatedly </w:t>
      </w:r>
      <w:r>
        <w:t>fail to comply</w:t>
      </w:r>
      <w:r w:rsidR="300EAB31">
        <w:t xml:space="preserve"> </w:t>
      </w:r>
      <w:r w:rsidR="1DC59A2D">
        <w:t>with consumer protection rules</w:t>
      </w:r>
      <w:r w:rsidR="22021FA3">
        <w:t xml:space="preserve"> </w:t>
      </w:r>
      <w:r w:rsidR="00925654">
        <w:t xml:space="preserve"> and </w:t>
      </w:r>
      <w:r>
        <w:t>to exclude temporarily or permanently from the market service providers who serially breach their consumer</w:t>
      </w:r>
      <w:r w:rsidR="00925654">
        <w:t xml:space="preserve"> </w:t>
      </w:r>
      <w:r>
        <w:t xml:space="preserve">protection obligations </w:t>
      </w:r>
      <w:r w:rsidR="00557846">
        <w:t>with the</w:t>
      </w:r>
      <w:r>
        <w:t xml:space="preserve"> result </w:t>
      </w:r>
      <w:r w:rsidR="00557846">
        <w:t>of</w:t>
      </w:r>
      <w:r>
        <w:t xml:space="preserve"> serious consumer harm?</w:t>
      </w:r>
    </w:p>
    <w:p w14:paraId="093611E0" w14:textId="6CC52CB4" w:rsidR="004A0757" w:rsidRDefault="009B2421" w:rsidP="00B127D6">
      <w:r>
        <w:t>T</w:t>
      </w:r>
      <w:r w:rsidR="00094659">
        <w:t xml:space="preserve">he data </w:t>
      </w:r>
      <w:r>
        <w:t xml:space="preserve">also </w:t>
      </w:r>
      <w:r w:rsidR="00DB7D3B">
        <w:t xml:space="preserve">points to </w:t>
      </w:r>
      <w:r w:rsidR="003B160B">
        <w:t xml:space="preserve">aspects of compliance and enforcement </w:t>
      </w:r>
      <w:r w:rsidR="00320A44">
        <w:t xml:space="preserve">that deserve </w:t>
      </w:r>
      <w:r w:rsidR="00D4344E">
        <w:t xml:space="preserve">additional </w:t>
      </w:r>
      <w:r w:rsidR="00AF3B97">
        <w:t xml:space="preserve">consideration in order to </w:t>
      </w:r>
      <w:r w:rsidR="006526B6">
        <w:t xml:space="preserve">better </w:t>
      </w:r>
      <w:r w:rsidR="00AF3B97">
        <w:t xml:space="preserve">understand how </w:t>
      </w:r>
      <w:r w:rsidR="001B189A">
        <w:t xml:space="preserve">responsive </w:t>
      </w:r>
      <w:r w:rsidR="006526B6">
        <w:t xml:space="preserve">and risk-based </w:t>
      </w:r>
      <w:r w:rsidR="001B189A">
        <w:t xml:space="preserve">regulation can </w:t>
      </w:r>
      <w:r w:rsidR="00AC2609">
        <w:t xml:space="preserve">best be achieved. </w:t>
      </w:r>
      <w:r w:rsidR="004E1214">
        <w:t>T</w:t>
      </w:r>
      <w:r w:rsidR="00D11F2F">
        <w:t>he ACMA</w:t>
      </w:r>
      <w:r w:rsidR="00FE2DB4">
        <w:t xml:space="preserve"> has a long history of conducting compliance audits. From the data available to us, we can identify some </w:t>
      </w:r>
      <w:r w:rsidR="0040420C">
        <w:t xml:space="preserve">correlation of </w:t>
      </w:r>
      <w:r w:rsidR="00D11F2F">
        <w:t>the ACMA</w:t>
      </w:r>
      <w:r w:rsidR="005700B2">
        <w:t xml:space="preserve">’s </w:t>
      </w:r>
      <w:r w:rsidR="00A2121C">
        <w:t>self-initiated audits with enforcement outcomes</w:t>
      </w:r>
      <w:r w:rsidR="005A72DA">
        <w:t xml:space="preserve">, but we are unable at this stage to </w:t>
      </w:r>
      <w:r w:rsidR="00E944B0">
        <w:t xml:space="preserve">make </w:t>
      </w:r>
      <w:r w:rsidR="001C1FBA">
        <w:t xml:space="preserve">any definitive findings. </w:t>
      </w:r>
      <w:r w:rsidR="00BC1BFD">
        <w:t xml:space="preserve">A study of the </w:t>
      </w:r>
      <w:r w:rsidR="00022CAF">
        <w:t xml:space="preserve">relationship, over time, </w:t>
      </w:r>
      <w:r w:rsidR="000420E0">
        <w:t>of</w:t>
      </w:r>
      <w:r w:rsidR="00022CAF">
        <w:t xml:space="preserve"> </w:t>
      </w:r>
      <w:r w:rsidR="00D11F2F">
        <w:t>the ACMA</w:t>
      </w:r>
      <w:r w:rsidR="001C1FBA">
        <w:t xml:space="preserve">’s </w:t>
      </w:r>
      <w:r w:rsidR="00F109C2">
        <w:t>monitoring and compliance activities</w:t>
      </w:r>
      <w:r w:rsidR="005647B8">
        <w:t>, its enforcement actions, and subsequent compliance levels</w:t>
      </w:r>
      <w:r w:rsidR="00F109C2">
        <w:t xml:space="preserve"> </w:t>
      </w:r>
      <w:r w:rsidR="00211457">
        <w:t xml:space="preserve">and consumer outcomes </w:t>
      </w:r>
      <w:r w:rsidR="000420E0">
        <w:t xml:space="preserve">may </w:t>
      </w:r>
      <w:r w:rsidR="008152C7">
        <w:t xml:space="preserve">help to </w:t>
      </w:r>
      <w:r w:rsidR="000420E0">
        <w:t xml:space="preserve">highlight the value of </w:t>
      </w:r>
      <w:r w:rsidR="008A14DD">
        <w:t xml:space="preserve">the various components of </w:t>
      </w:r>
      <w:r w:rsidR="00D11F2F">
        <w:t>the ACMA</w:t>
      </w:r>
      <w:r w:rsidR="00211457">
        <w:t>’s</w:t>
      </w:r>
      <w:r w:rsidR="000420E0">
        <w:t xml:space="preserve"> </w:t>
      </w:r>
      <w:r w:rsidR="00C678B2">
        <w:t>work.</w:t>
      </w:r>
    </w:p>
    <w:p w14:paraId="12E6E043" w14:textId="2D5A4007" w:rsidR="00090906" w:rsidRDefault="00211457" w:rsidP="00B127D6">
      <w:r>
        <w:t>In addition</w:t>
      </w:r>
      <w:r w:rsidR="004A0757">
        <w:t xml:space="preserve">, </w:t>
      </w:r>
      <w:r w:rsidR="00F31E4B">
        <w:t xml:space="preserve">further inquiry into the circumstances of </w:t>
      </w:r>
      <w:r w:rsidR="00F70A6A">
        <w:t xml:space="preserve">the enforcement actions mentioned in this report – including, for example, </w:t>
      </w:r>
      <w:r w:rsidR="004C59D6">
        <w:t xml:space="preserve">consideration of how the degree of consumer harm might have affected </w:t>
      </w:r>
      <w:r w:rsidR="00D11F2F">
        <w:t>the ACMA</w:t>
      </w:r>
      <w:r w:rsidR="004C59D6">
        <w:t xml:space="preserve">’s decisions on enforcement actions – </w:t>
      </w:r>
      <w:r w:rsidR="00F31E4B">
        <w:t xml:space="preserve">could </w:t>
      </w:r>
      <w:r w:rsidR="00D0641C">
        <w:t xml:space="preserve">help </w:t>
      </w:r>
      <w:r w:rsidR="004C59D6">
        <w:t xml:space="preserve">to </w:t>
      </w:r>
      <w:r w:rsidR="00BF513D">
        <w:t>provid</w:t>
      </w:r>
      <w:r w:rsidR="00367CA5">
        <w:t>e</w:t>
      </w:r>
      <w:r w:rsidR="00BF513D">
        <w:t xml:space="preserve"> industry, government and the community with the means of assessing </w:t>
      </w:r>
      <w:r w:rsidR="00415AB0">
        <w:t xml:space="preserve">the regulator’s </w:t>
      </w:r>
      <w:r w:rsidR="006A5B41">
        <w:t xml:space="preserve">overall </w:t>
      </w:r>
      <w:r w:rsidR="007E6693">
        <w:t xml:space="preserve">enforcement </w:t>
      </w:r>
      <w:r w:rsidR="00415AB0">
        <w:t>approach</w:t>
      </w:r>
      <w:r w:rsidR="00CF0579">
        <w:t xml:space="preserve">. </w:t>
      </w:r>
      <w:r w:rsidR="00ED31E0">
        <w:t xml:space="preserve">This is not to suggest that </w:t>
      </w:r>
      <w:r w:rsidR="00D11F2F">
        <w:t>the ACMA</w:t>
      </w:r>
      <w:r w:rsidR="00ED31E0">
        <w:t xml:space="preserve"> has not </w:t>
      </w:r>
      <w:r w:rsidR="007E6693">
        <w:t>used its available powers</w:t>
      </w:r>
      <w:r w:rsidR="00ED31E0">
        <w:t xml:space="preserve"> in a way that </w:t>
      </w:r>
      <w:r w:rsidR="00995CD1">
        <w:t>promotes consumer protection outcomes</w:t>
      </w:r>
      <w:r w:rsidR="009B0D38">
        <w:t>. Indeed, over the period examined here</w:t>
      </w:r>
      <w:r w:rsidR="00995CD1">
        <w:t>,</w:t>
      </w:r>
      <w:r w:rsidR="009B0D38">
        <w:t xml:space="preserve"> </w:t>
      </w:r>
      <w:r w:rsidR="00D11F2F">
        <w:t>the ACMA</w:t>
      </w:r>
      <w:r w:rsidR="00392C8A">
        <w:t>, on two occasions (in 2011 and again in 2018),</w:t>
      </w:r>
      <w:r w:rsidR="00ED4539">
        <w:t xml:space="preserve"> publicly </w:t>
      </w:r>
      <w:r w:rsidR="00B357DA">
        <w:t xml:space="preserve">declared that it was reassessing its approach to key consumer protection measures in light of evolving industry practice and consumer experience. Our point here is </w:t>
      </w:r>
      <w:r w:rsidR="005B0C91">
        <w:t xml:space="preserve">that </w:t>
      </w:r>
      <w:r w:rsidR="003339FE">
        <w:t>an</w:t>
      </w:r>
      <w:r w:rsidR="00B357DA">
        <w:t xml:space="preserve"> independent consideration of </w:t>
      </w:r>
      <w:r w:rsidR="00D11F2F">
        <w:t>the ACMA</w:t>
      </w:r>
      <w:r w:rsidR="00B357DA">
        <w:t xml:space="preserve">’s </w:t>
      </w:r>
      <w:r w:rsidR="00C92CA9">
        <w:t>regulatory practice</w:t>
      </w:r>
      <w:r w:rsidR="003339FE">
        <w:t xml:space="preserve"> might reasonably take account of </w:t>
      </w:r>
      <w:r w:rsidR="0031636D">
        <w:t xml:space="preserve">aspects such as </w:t>
      </w:r>
      <w:r w:rsidR="00090906">
        <w:t>t</w:t>
      </w:r>
      <w:r w:rsidR="003339FE">
        <w:t>he following</w:t>
      </w:r>
      <w:r w:rsidR="00090906">
        <w:t>:</w:t>
      </w:r>
    </w:p>
    <w:p w14:paraId="6465721C" w14:textId="2973B8CB" w:rsidR="008B5ED7" w:rsidRDefault="00332E2E" w:rsidP="00EE2791">
      <w:pPr>
        <w:pStyle w:val="Bullets"/>
      </w:pPr>
      <w:r>
        <w:t>t</w:t>
      </w:r>
      <w:r w:rsidR="00B84DB1">
        <w:t xml:space="preserve">he extent to which </w:t>
      </w:r>
      <w:r w:rsidR="00C07776">
        <w:t xml:space="preserve">the degree of </w:t>
      </w:r>
      <w:r w:rsidR="00B84DB1">
        <w:t xml:space="preserve">consumer harm is an element in </w:t>
      </w:r>
      <w:r w:rsidR="0097531B">
        <w:t>decisions on enforcement action</w:t>
      </w:r>
      <w:r>
        <w:t>;</w:t>
      </w:r>
    </w:p>
    <w:p w14:paraId="729C5769" w14:textId="746E8FE2" w:rsidR="00E17C56" w:rsidRDefault="00332E2E" w:rsidP="003E32D1">
      <w:pPr>
        <w:pStyle w:val="Bullets"/>
      </w:pPr>
      <w:r>
        <w:t>t</w:t>
      </w:r>
      <w:r w:rsidR="00DD4842">
        <w:t xml:space="preserve">he </w:t>
      </w:r>
      <w:r w:rsidR="002B452A">
        <w:t>relative merits</w:t>
      </w:r>
      <w:r w:rsidR="00DE51BE">
        <w:t xml:space="preserve"> of </w:t>
      </w:r>
      <w:r w:rsidR="00C8018E">
        <w:t>using available alternative enforcement mechanism</w:t>
      </w:r>
      <w:r w:rsidR="0098559E">
        <w:t>s</w:t>
      </w:r>
      <w:r w:rsidR="00C8018E">
        <w:t xml:space="preserve"> </w:t>
      </w:r>
      <w:r w:rsidR="0858DE80">
        <w:t xml:space="preserve">(eg, </w:t>
      </w:r>
      <w:r w:rsidR="503411BB">
        <w:t xml:space="preserve">formal warnings </w:t>
      </w:r>
      <w:r w:rsidR="073C5530">
        <w:t>or</w:t>
      </w:r>
      <w:r w:rsidR="7740A2C8">
        <w:t xml:space="preserve"> directions to comply </w:t>
      </w:r>
      <w:r w:rsidR="073C5530">
        <w:t>for code breaches</w:t>
      </w:r>
      <w:r w:rsidR="0858DE80">
        <w:t xml:space="preserve">; </w:t>
      </w:r>
      <w:r w:rsidR="3E5E454F">
        <w:t xml:space="preserve">remedial directions or infringement fines for breaches of standards, determinations and service provider rules), having regard to </w:t>
      </w:r>
      <w:r w:rsidR="57C2F9F4">
        <w:t>specific examples and case studies</w:t>
      </w:r>
      <w:r>
        <w:t>;</w:t>
      </w:r>
    </w:p>
    <w:p w14:paraId="7C5F4175" w14:textId="2D0A33AC" w:rsidR="0041011E" w:rsidRDefault="00332E2E" w:rsidP="00EE2791">
      <w:pPr>
        <w:pStyle w:val="Bullets"/>
      </w:pPr>
      <w:r>
        <w:t>t</w:t>
      </w:r>
      <w:r w:rsidR="008057EC">
        <w:t xml:space="preserve">he targeting of </w:t>
      </w:r>
      <w:r w:rsidR="00583CFA">
        <w:t xml:space="preserve">available enforcement resources to </w:t>
      </w:r>
      <w:r w:rsidR="00257015">
        <w:t xml:space="preserve">service providers </w:t>
      </w:r>
      <w:r w:rsidR="003C6D30">
        <w:t xml:space="preserve">with demonstrated compliance </w:t>
      </w:r>
      <w:r w:rsidR="00E17C56">
        <w:t>problems</w:t>
      </w:r>
      <w:r>
        <w:t>;</w:t>
      </w:r>
    </w:p>
    <w:p w14:paraId="525FB727" w14:textId="60D07EDB" w:rsidR="00F3323C" w:rsidRDefault="00332E2E" w:rsidP="00EE2791">
      <w:pPr>
        <w:pStyle w:val="Bullets"/>
      </w:pPr>
      <w:r>
        <w:lastRenderedPageBreak/>
        <w:t>t</w:t>
      </w:r>
      <w:r w:rsidR="0098276C">
        <w:t xml:space="preserve">he </w:t>
      </w:r>
      <w:r w:rsidR="00563FBF">
        <w:t xml:space="preserve">additional deterrence </w:t>
      </w:r>
      <w:r w:rsidR="0098276C">
        <w:t xml:space="preserve">value of civil penalties </w:t>
      </w:r>
      <w:r w:rsidR="00F436ED">
        <w:t>(</w:t>
      </w:r>
      <w:r w:rsidR="00025137">
        <w:t>only three of wh</w:t>
      </w:r>
      <w:r w:rsidR="00F436ED">
        <w:t>ich were obtained in the period reviewed in this report</w:t>
      </w:r>
      <w:r w:rsidR="0098559E">
        <w:t>)</w:t>
      </w:r>
      <w:r w:rsidR="00F436ED">
        <w:t xml:space="preserve"> as well as injunctions, taking account of the additional cost to the regulator of th</w:t>
      </w:r>
      <w:r w:rsidR="00EB3E40">
        <w:t>e</w:t>
      </w:r>
      <w:r w:rsidR="00F436ED">
        <w:t>s</w:t>
      </w:r>
      <w:r w:rsidR="00EB3E40">
        <w:t>e</w:t>
      </w:r>
      <w:r w:rsidR="00F436ED">
        <w:t xml:space="preserve"> form</w:t>
      </w:r>
      <w:r w:rsidR="00EB3E40">
        <w:t>s</w:t>
      </w:r>
      <w:r w:rsidR="00F436ED">
        <w:t xml:space="preserve"> of enforcement action</w:t>
      </w:r>
      <w:r w:rsidR="00EB3E40">
        <w:t>s and industry’s likely response to them</w:t>
      </w:r>
      <w:r w:rsidR="00F436ED">
        <w:t>.</w:t>
      </w:r>
    </w:p>
    <w:p w14:paraId="29468299" w14:textId="23EA2DE1" w:rsidR="005E3EFD" w:rsidRDefault="00B22BA9" w:rsidP="00332E2E">
      <w:r>
        <w:t>Our case studies, presented in</w:t>
      </w:r>
      <w:r w:rsidR="00107882">
        <w:t xml:space="preserve"> section C of </w:t>
      </w:r>
      <w:r w:rsidR="00AE6527">
        <w:t xml:space="preserve">Chapter </w:t>
      </w:r>
      <w:r w:rsidR="009B57DC">
        <w:t xml:space="preserve">4, </w:t>
      </w:r>
      <w:r w:rsidR="009F32D8">
        <w:t xml:space="preserve">provide an illustration of how additional explanation of enforcement choices </w:t>
      </w:r>
      <w:r w:rsidR="005E3EFD">
        <w:t>could help industry and the community assess the effectiveness of regulation.</w:t>
      </w:r>
      <w:r w:rsidR="009B57DC">
        <w:t xml:space="preserve"> </w:t>
      </w:r>
    </w:p>
    <w:p w14:paraId="4C2CBC4D" w14:textId="26733207" w:rsidR="00CF3A35" w:rsidRPr="00332E2E" w:rsidRDefault="4E903D35" w:rsidP="00332E2E">
      <w:pPr>
        <w:rPr>
          <w:szCs w:val="21"/>
        </w:rPr>
      </w:pPr>
      <w:r>
        <w:t xml:space="preserve">Finally, </w:t>
      </w:r>
      <w:r w:rsidR="032B2875">
        <w:t xml:space="preserve">the </w:t>
      </w:r>
      <w:r w:rsidR="18E536FE">
        <w:t xml:space="preserve">material considered in this report highlights the importance of publicly available data on </w:t>
      </w:r>
      <w:r w:rsidR="482CDA7B">
        <w:t xml:space="preserve">enforcement of consumer protection </w:t>
      </w:r>
      <w:r w:rsidR="350A592C">
        <w:t>rules</w:t>
      </w:r>
      <w:r w:rsidR="31A34F89">
        <w:t>.</w:t>
      </w:r>
      <w:r w:rsidR="005656F4">
        <w:t xml:space="preserve"> </w:t>
      </w:r>
      <w:r w:rsidR="00427E0E">
        <w:t xml:space="preserve">As we noted in the introduction to Chapter 4, subject to some exceptions under the </w:t>
      </w:r>
      <w:r w:rsidR="00AA7AED">
        <w:t>Tel Act</w:t>
      </w:r>
      <w:r w:rsidR="00427E0E">
        <w:t xml:space="preserve">, </w:t>
      </w:r>
      <w:r w:rsidR="00D11F2F">
        <w:t>the ACMA</w:t>
      </w:r>
      <w:r w:rsidR="00427E0E">
        <w:t xml:space="preserve"> is not required to prepare and publish investigation reports.  Nor is it required to maintain a register of all enforcement action it may have taken against carriers or carriage service providers to secure compliance with the select consumer-protection rules. It is also not required to include copies of these directions and instruments in its annual reports. </w:t>
      </w:r>
      <w:r w:rsidR="00CF3A35">
        <w:t xml:space="preserve">The absence of such obligations means that, at the time we conducted this research, we did not have </w:t>
      </w:r>
      <w:r w:rsidR="03F94C8C">
        <w:t xml:space="preserve">any and/or easy </w:t>
      </w:r>
      <w:r w:rsidR="00CF3A35">
        <w:t>access to the following data</w:t>
      </w:r>
      <w:r w:rsidR="00EB0773">
        <w:t xml:space="preserve"> for the period under review</w:t>
      </w:r>
      <w:r w:rsidR="00CF3A35">
        <w:t>:</w:t>
      </w:r>
    </w:p>
    <w:p w14:paraId="543D4A82" w14:textId="6DD2409A" w:rsidR="00EB0773" w:rsidRPr="005656F4" w:rsidRDefault="005656F4" w:rsidP="005656F4">
      <w:pPr>
        <w:pStyle w:val="Bullets"/>
      </w:pPr>
      <w:r>
        <w:t>n</w:t>
      </w:r>
      <w:r w:rsidR="3178EF98">
        <w:t>umbers of investigations opened and closed (</w:t>
      </w:r>
      <w:r w:rsidR="00C47D9A">
        <w:t>our dataset is based on</w:t>
      </w:r>
      <w:r w:rsidR="1BD80819">
        <w:t xml:space="preserve"> </w:t>
      </w:r>
      <w:r w:rsidR="750709EB">
        <w:t xml:space="preserve">published </w:t>
      </w:r>
      <w:r w:rsidR="3178EF98">
        <w:t>investigations where there was a breach finding)</w:t>
      </w:r>
      <w:r>
        <w:t>;</w:t>
      </w:r>
    </w:p>
    <w:p w14:paraId="550290A0" w14:textId="2B56DA26" w:rsidR="00EB0773" w:rsidRPr="007D5D25" w:rsidRDefault="005656F4" w:rsidP="005656F4">
      <w:pPr>
        <w:pStyle w:val="Bullets"/>
      </w:pPr>
      <w:r>
        <w:t>i</w:t>
      </w:r>
      <w:r w:rsidR="3178EF98">
        <w:t>nvestigation reports with no breach findings</w:t>
      </w:r>
      <w:r w:rsidR="000571C1">
        <w:t xml:space="preserve"> </w:t>
      </w:r>
      <w:r w:rsidR="00815D07">
        <w:t xml:space="preserve">(we found </w:t>
      </w:r>
      <w:r w:rsidR="755F9204">
        <w:t>26</w:t>
      </w:r>
      <w:r w:rsidR="00815D07">
        <w:t xml:space="preserve"> published investigation report</w:t>
      </w:r>
      <w:r w:rsidR="007D5D25">
        <w:t>s</w:t>
      </w:r>
      <w:r w:rsidR="00815D07">
        <w:t xml:space="preserve"> with a finding of no breach)</w:t>
      </w:r>
      <w:r>
        <w:t>;</w:t>
      </w:r>
    </w:p>
    <w:p w14:paraId="1F526847" w14:textId="10017BEC" w:rsidR="00CF3A35" w:rsidRPr="005656F4" w:rsidRDefault="005656F4" w:rsidP="005656F4">
      <w:pPr>
        <w:pStyle w:val="Bullets"/>
      </w:pPr>
      <w:r>
        <w:t>i</w:t>
      </w:r>
      <w:r w:rsidR="3178EF98">
        <w:t xml:space="preserve">nvestigation reports with breach findings </w:t>
      </w:r>
      <w:r w:rsidR="401029CA">
        <w:t xml:space="preserve">that </w:t>
      </w:r>
      <w:r w:rsidR="00D11F2F">
        <w:t>the ACMA</w:t>
      </w:r>
      <w:r w:rsidR="401029CA">
        <w:t xml:space="preserve"> may not have published because of public interest concerns</w:t>
      </w:r>
      <w:r>
        <w:t>;</w:t>
      </w:r>
    </w:p>
    <w:p w14:paraId="1423FBA9" w14:textId="34EC6441" w:rsidR="00EB0773" w:rsidRPr="005656F4" w:rsidRDefault="005656F4" w:rsidP="005656F4">
      <w:pPr>
        <w:pStyle w:val="Bullets"/>
      </w:pPr>
      <w:r>
        <w:t>r</w:t>
      </w:r>
      <w:r w:rsidR="3178EF98">
        <w:t>ecords of the dates on which investigations were concluded and enforcement action taken (</w:t>
      </w:r>
      <w:r w:rsidR="00823993">
        <w:t xml:space="preserve">eg, </w:t>
      </w:r>
      <w:r w:rsidR="3178EF98">
        <w:t xml:space="preserve">a website listing of 2010 to 2016 </w:t>
      </w:r>
      <w:r w:rsidR="45019E0C">
        <w:t xml:space="preserve">investigations </w:t>
      </w:r>
      <w:r w:rsidR="3E621DD1">
        <w:t xml:space="preserve">refers to 60 investigations without listing a month or year in which </w:t>
      </w:r>
      <w:r w:rsidR="6C75FFCA">
        <w:t>enforcement action was taken</w:t>
      </w:r>
      <w:r w:rsidR="3178EF98">
        <w:t>)</w:t>
      </w:r>
      <w:r>
        <w:t>;</w:t>
      </w:r>
    </w:p>
    <w:p w14:paraId="10F6AECC" w14:textId="1FB9ECCE" w:rsidR="00EB0773" w:rsidRPr="005656F4" w:rsidRDefault="005656F4" w:rsidP="005656F4">
      <w:pPr>
        <w:pStyle w:val="Bullets"/>
      </w:pPr>
      <w:r>
        <w:t>e</w:t>
      </w:r>
      <w:r w:rsidR="3178EF98">
        <w:t>xplanations for why enforcement action was not taken in relation to some matters that were the subject of breach findings</w:t>
      </w:r>
      <w:r>
        <w:t>;</w:t>
      </w:r>
    </w:p>
    <w:p w14:paraId="220B87FF" w14:textId="189F0500" w:rsidR="00EB0773" w:rsidRPr="005656F4" w:rsidRDefault="005656F4" w:rsidP="005656F4">
      <w:pPr>
        <w:pStyle w:val="Bullets"/>
      </w:pPr>
      <w:r>
        <w:t>c</w:t>
      </w:r>
      <w:r w:rsidR="3178EF98">
        <w:t>opies of enforcement instruments</w:t>
      </w:r>
      <w:r w:rsidR="00146128">
        <w:t xml:space="preserve"> (eg, </w:t>
      </w:r>
      <w:r w:rsidR="00EF3F1A">
        <w:t xml:space="preserve">copies of the instruments issued before 2017 are no longer provided on the online lists, and some instruments for later years </w:t>
      </w:r>
      <w:r w:rsidR="0044405E">
        <w:t>are not available)</w:t>
      </w:r>
      <w:r w:rsidR="00B668AF">
        <w:t>.</w:t>
      </w:r>
    </w:p>
    <w:p w14:paraId="6D28F211" w14:textId="7B15DC9E" w:rsidR="00CF3A35" w:rsidRDefault="00CF3A35" w:rsidP="00427E0E">
      <w:r>
        <w:t xml:space="preserve">It may be reasonable to assume that </w:t>
      </w:r>
      <w:r w:rsidR="00293FB1">
        <w:t>it is not in the public interest for some</w:t>
      </w:r>
      <w:r>
        <w:t xml:space="preserve"> of the information </w:t>
      </w:r>
      <w:r w:rsidR="00FC3C65">
        <w:t>to be withheld from publication.</w:t>
      </w:r>
      <w:r>
        <w:t xml:space="preserve"> Much of it, however, </w:t>
      </w:r>
      <w:r w:rsidR="3C4CDD2F">
        <w:t xml:space="preserve">is unlikely </w:t>
      </w:r>
      <w:r w:rsidR="56382A5B">
        <w:t xml:space="preserve">to </w:t>
      </w:r>
      <w:r>
        <w:t>have this character, and some will have been</w:t>
      </w:r>
      <w:r w:rsidR="0CA01F85">
        <w:t xml:space="preserve"> </w:t>
      </w:r>
      <w:r>
        <w:t xml:space="preserve">public at some stage. </w:t>
      </w:r>
      <w:r w:rsidR="007E7EA5">
        <w:t xml:space="preserve">For example, </w:t>
      </w:r>
      <w:r w:rsidR="00D11F2F">
        <w:t>the ACMA</w:t>
      </w:r>
      <w:r w:rsidR="00A41640">
        <w:t xml:space="preserve"> regularly publishes information in its </w:t>
      </w:r>
      <w:r w:rsidR="007E7EA5">
        <w:t xml:space="preserve">media releases </w:t>
      </w:r>
      <w:r w:rsidR="00A41640">
        <w:t xml:space="preserve">that </w:t>
      </w:r>
      <w:r w:rsidR="00E31892">
        <w:t xml:space="preserve">notes the </w:t>
      </w:r>
      <w:r w:rsidR="00C143DF">
        <w:t xml:space="preserve">importance of compliance and </w:t>
      </w:r>
      <w:r w:rsidR="00A7074C">
        <w:t xml:space="preserve">these statements sometimes </w:t>
      </w:r>
      <w:r w:rsidR="006241CD">
        <w:t xml:space="preserve">explain its decision to pursue </w:t>
      </w:r>
      <w:r w:rsidR="00C143DF">
        <w:t>a certain en</w:t>
      </w:r>
      <w:r w:rsidR="00A7074C">
        <w:t>forcement action</w:t>
      </w:r>
      <w:r w:rsidR="00963343">
        <w:t>, but media releases are</w:t>
      </w:r>
      <w:r w:rsidR="007E7EA5">
        <w:t xml:space="preserve"> </w:t>
      </w:r>
      <w:r w:rsidR="00FC7791">
        <w:t xml:space="preserve">removed from the public record after </w:t>
      </w:r>
      <w:r w:rsidR="008F329B">
        <w:t>three</w:t>
      </w:r>
      <w:r w:rsidR="003E32D1">
        <w:t xml:space="preserve"> or four</w:t>
      </w:r>
      <w:r w:rsidR="00FC7791">
        <w:t xml:space="preserve"> years.</w:t>
      </w:r>
      <w:r w:rsidR="007E7EA5">
        <w:t xml:space="preserve"> </w:t>
      </w:r>
      <w:r w:rsidR="00927C56">
        <w:t xml:space="preserve">Similarly, reports on investigations prior to </w:t>
      </w:r>
      <w:r w:rsidR="007F101F">
        <w:t xml:space="preserve">March 2017 are no longer available from the </w:t>
      </w:r>
      <w:r w:rsidR="00D11F2F">
        <w:t>ACMA</w:t>
      </w:r>
      <w:r w:rsidR="007F101F">
        <w:t xml:space="preserve"> website, even though they were once published on the site. </w:t>
      </w:r>
      <w:r w:rsidR="00927C56">
        <w:t xml:space="preserve"> </w:t>
      </w:r>
    </w:p>
    <w:p w14:paraId="4FEDF546" w14:textId="2F8A9A3F" w:rsidR="0076099B" w:rsidRDefault="00427E0E" w:rsidP="6B208ED7">
      <w:r>
        <w:t xml:space="preserve">While we are grateful to </w:t>
      </w:r>
      <w:r w:rsidR="00D11F2F">
        <w:t>the ACMA</w:t>
      </w:r>
      <w:r>
        <w:t xml:space="preserve"> staff for the assistance they provided in reviewing a draft of this report and helping to </w:t>
      </w:r>
      <w:r w:rsidR="006B0468">
        <w:t xml:space="preserve">improve </w:t>
      </w:r>
      <w:r>
        <w:t xml:space="preserve">its accuracy, </w:t>
      </w:r>
      <w:r w:rsidR="17E7E645">
        <w:t xml:space="preserve">the report </w:t>
      </w:r>
      <w:r>
        <w:t xml:space="preserve">cannot be comprehensive because there is so much data that </w:t>
      </w:r>
      <w:r w:rsidR="00CF3A35">
        <w:t xml:space="preserve">has never been made public or is no longer on the public record. Without resorting to formal methods such as freedom of information requests, </w:t>
      </w:r>
      <w:r w:rsidR="0024043A">
        <w:t>only</w:t>
      </w:r>
      <w:r w:rsidR="00CF3A35">
        <w:t xml:space="preserve"> </w:t>
      </w:r>
      <w:r w:rsidR="00D11F2F">
        <w:t>the ACMA</w:t>
      </w:r>
      <w:r w:rsidR="00CF3A35">
        <w:t xml:space="preserve"> </w:t>
      </w:r>
      <w:r w:rsidR="001D2B4D">
        <w:t>can</w:t>
      </w:r>
      <w:r w:rsidR="00CF3A35">
        <w:t xml:space="preserve"> review the nature and extent of </w:t>
      </w:r>
      <w:r w:rsidR="001D2B4D">
        <w:t xml:space="preserve">its </w:t>
      </w:r>
      <w:r w:rsidR="00CF3A35">
        <w:t xml:space="preserve">enforcement action in relation to </w:t>
      </w:r>
      <w:r w:rsidR="12058203">
        <w:t>the</w:t>
      </w:r>
      <w:r w:rsidR="001D2B4D">
        <w:t>se</w:t>
      </w:r>
      <w:r w:rsidR="12058203">
        <w:t xml:space="preserve"> </w:t>
      </w:r>
      <w:r w:rsidR="00CF3A35">
        <w:t xml:space="preserve">telecommunications consumer protection rules. </w:t>
      </w:r>
    </w:p>
    <w:p w14:paraId="6187ED69" w14:textId="04D448E3" w:rsidR="003C67F8" w:rsidRDefault="00B8180A" w:rsidP="6B208ED7">
      <w:r>
        <w:lastRenderedPageBreak/>
        <w:t>T</w:t>
      </w:r>
      <w:r w:rsidR="00CF3A35">
        <w:t>h</w:t>
      </w:r>
      <w:r w:rsidR="00C578F9">
        <w:t xml:space="preserve">e absence of any </w:t>
      </w:r>
      <w:r w:rsidR="008C7688">
        <w:t xml:space="preserve">obligations to publish registers or other repositories of key data on telecommunications regulation </w:t>
      </w:r>
      <w:r w:rsidR="00C578F9">
        <w:t xml:space="preserve">shows a gap in the regulatory settings for which </w:t>
      </w:r>
      <w:r w:rsidR="008C7688">
        <w:t>Parliament</w:t>
      </w:r>
      <w:r w:rsidR="00C578F9">
        <w:t xml:space="preserve">, not </w:t>
      </w:r>
      <w:r w:rsidR="00D11F2F">
        <w:t>the ACMA</w:t>
      </w:r>
      <w:r w:rsidR="00C578F9">
        <w:t>, is responsible</w:t>
      </w:r>
      <w:r w:rsidR="008C7688">
        <w:t>.</w:t>
      </w:r>
      <w:r w:rsidR="00C578F9">
        <w:t xml:space="preserve"> </w:t>
      </w:r>
      <w:r w:rsidR="00F271E2">
        <w:t xml:space="preserve">To address this problem, amendments could be made to the </w:t>
      </w:r>
      <w:r w:rsidR="00AA7AED">
        <w:t>Tel Act</w:t>
      </w:r>
      <w:r w:rsidR="001C789A">
        <w:t xml:space="preserve"> and the TCPSSA</w:t>
      </w:r>
      <w:r w:rsidR="00CF3A35">
        <w:t xml:space="preserve"> to require the establishment of a formal register of </w:t>
      </w:r>
      <w:r w:rsidR="4A6DE397">
        <w:t xml:space="preserve">completed </w:t>
      </w:r>
      <w:r w:rsidR="00CF3A35">
        <w:t>investigations and enforcement action</w:t>
      </w:r>
      <w:r w:rsidR="001C789A">
        <w:t>s</w:t>
      </w:r>
      <w:r w:rsidR="000943FE">
        <w:t>. Inclusion of information in the register could be mad</w:t>
      </w:r>
      <w:r w:rsidR="006960DD">
        <w:t xml:space="preserve">e subject to </w:t>
      </w:r>
      <w:r w:rsidR="00D11F2F">
        <w:t>the ACMA</w:t>
      </w:r>
      <w:r w:rsidR="000943FE">
        <w:t xml:space="preserve"> being satisfied that publication is in the public interest</w:t>
      </w:r>
      <w:r w:rsidR="006600B3">
        <w:t>,</w:t>
      </w:r>
      <w:r w:rsidR="000943FE">
        <w:t xml:space="preserve"> drawing on the factors </w:t>
      </w:r>
      <w:r w:rsidR="006600B3">
        <w:t xml:space="preserve">such as those </w:t>
      </w:r>
      <w:r w:rsidR="000943FE">
        <w:t>set out in its existing policy</w:t>
      </w:r>
      <w:r w:rsidR="003C67F8">
        <w:t>.</w:t>
      </w:r>
      <w:r w:rsidR="00B95AA4">
        <w:rPr>
          <w:rStyle w:val="FootnoteReference"/>
        </w:rPr>
        <w:footnoteReference w:id="258"/>
      </w:r>
      <w:r>
        <w:t xml:space="preserve"> In our view, the </w:t>
      </w:r>
      <w:r w:rsidR="002021B4">
        <w:t>added</w:t>
      </w:r>
      <w:r w:rsidR="00F964D3">
        <w:t xml:space="preserve"> </w:t>
      </w:r>
      <w:r w:rsidR="002021B4">
        <w:t xml:space="preserve">level of </w:t>
      </w:r>
      <w:r w:rsidR="00F964D3">
        <w:t xml:space="preserve">transparency that would </w:t>
      </w:r>
      <w:r w:rsidR="002021B4">
        <w:t xml:space="preserve">flow from the publication of this data on </w:t>
      </w:r>
      <w:r w:rsidR="00F90CB3">
        <w:t xml:space="preserve">telecommunications </w:t>
      </w:r>
      <w:r w:rsidR="002021B4">
        <w:t xml:space="preserve">compliance and enforcement would help </w:t>
      </w:r>
      <w:r w:rsidR="00E07CFF">
        <w:t xml:space="preserve">the community </w:t>
      </w:r>
      <w:r w:rsidR="002021B4">
        <w:t xml:space="preserve">to </w:t>
      </w:r>
      <w:r w:rsidR="00E07CFF">
        <w:t xml:space="preserve">assess the adequacy of current </w:t>
      </w:r>
      <w:r w:rsidR="00EF6FEC">
        <w:t xml:space="preserve">consumer protection </w:t>
      </w:r>
      <w:r w:rsidR="00E07CFF">
        <w:t>regulatory obligations</w:t>
      </w:r>
      <w:r w:rsidR="00EF6FEC">
        <w:t xml:space="preserve"> and to</w:t>
      </w:r>
      <w:r w:rsidR="00E07CFF">
        <w:t xml:space="preserve"> </w:t>
      </w:r>
      <w:r w:rsidR="002021B4">
        <w:t xml:space="preserve">provide confidence in </w:t>
      </w:r>
      <w:r w:rsidR="00E07CFF">
        <w:t xml:space="preserve">the </w:t>
      </w:r>
      <w:r w:rsidR="00EF6FEC">
        <w:t xml:space="preserve">effectiveness of their </w:t>
      </w:r>
      <w:r w:rsidR="00F90CB3">
        <w:t>enforcement.</w:t>
      </w:r>
    </w:p>
    <w:p w14:paraId="55FC8033" w14:textId="77777777" w:rsidR="00C30DAD" w:rsidRDefault="00C30DAD">
      <w:pPr>
        <w:jc w:val="left"/>
        <w:rPr>
          <w:rFonts w:eastAsiaTheme="majorEastAsia" w:cstheme="majorBidi"/>
          <w:color w:val="0F4BEB"/>
          <w:sz w:val="44"/>
          <w:szCs w:val="32"/>
        </w:rPr>
      </w:pPr>
      <w:r>
        <w:br w:type="page"/>
      </w:r>
    </w:p>
    <w:p w14:paraId="0832F27C" w14:textId="4FECB29B" w:rsidR="003F2D8E" w:rsidRPr="005623A6" w:rsidRDefault="001412D7" w:rsidP="00C20911">
      <w:pPr>
        <w:pStyle w:val="Heading1"/>
        <w:jc w:val="center"/>
      </w:pPr>
      <w:bookmarkStart w:id="216" w:name="_Toc146201059"/>
      <w:bookmarkStart w:id="217" w:name="_Toc161836197"/>
      <w:r w:rsidRPr="005623A6">
        <w:lastRenderedPageBreak/>
        <w:t>ANNEX A</w:t>
      </w:r>
      <w:bookmarkEnd w:id="176"/>
      <w:bookmarkEnd w:id="177"/>
      <w:bookmarkEnd w:id="178"/>
      <w:bookmarkEnd w:id="216"/>
      <w:bookmarkEnd w:id="217"/>
    </w:p>
    <w:p w14:paraId="258D24E3" w14:textId="2BC5D8E5" w:rsidR="00DC0994" w:rsidRPr="005623A6" w:rsidRDefault="00DC0994" w:rsidP="003674FD">
      <w:pPr>
        <w:pStyle w:val="Heading2"/>
        <w:jc w:val="center"/>
      </w:pPr>
      <w:bookmarkStart w:id="218" w:name="_Toc161836198"/>
      <w:bookmarkStart w:id="219" w:name="_Toc139024403"/>
      <w:bookmarkStart w:id="220" w:name="_Toc139024724"/>
      <w:bookmarkStart w:id="221" w:name="_Toc139024845"/>
      <w:bookmarkStart w:id="222" w:name="_Toc139031367"/>
      <w:bookmarkStart w:id="223" w:name="_Toc146201060"/>
      <w:bookmarkStart w:id="224" w:name="IndustryCodesRegisteredbyACMAunderPart6"/>
      <w:bookmarkEnd w:id="179"/>
      <w:r>
        <w:t xml:space="preserve">Industry Codes </w:t>
      </w:r>
      <w:r w:rsidR="00B575EC">
        <w:t>R</w:t>
      </w:r>
      <w:r>
        <w:t xml:space="preserve">egistered by </w:t>
      </w:r>
      <w:r w:rsidR="00D11F2F">
        <w:t>the ACMA</w:t>
      </w:r>
      <w:r>
        <w:t xml:space="preserve"> under Part 6</w:t>
      </w:r>
      <w:bookmarkEnd w:id="218"/>
      <w:r w:rsidR="0E5B898C">
        <w:t xml:space="preserve"> </w:t>
      </w:r>
      <w:bookmarkEnd w:id="219"/>
      <w:bookmarkEnd w:id="220"/>
      <w:bookmarkEnd w:id="221"/>
      <w:bookmarkEnd w:id="222"/>
      <w:bookmarkEnd w:id="223"/>
    </w:p>
    <w:bookmarkEnd w:id="224"/>
    <w:p w14:paraId="32CCE7E4" w14:textId="69EEC6AF" w:rsidR="00DC0994" w:rsidRDefault="00DC0994" w:rsidP="00DC0994"/>
    <w:p w14:paraId="2443CEC3" w14:textId="77777777" w:rsidR="00055D6E" w:rsidRDefault="00DC0994" w:rsidP="001019BA">
      <w:pPr>
        <w:pStyle w:val="ListParagraph"/>
        <w:numPr>
          <w:ilvl w:val="0"/>
          <w:numId w:val="13"/>
        </w:numPr>
      </w:pPr>
      <w:r w:rsidRPr="005623A6">
        <w:t>Cabling Requirements for Business</w:t>
      </w:r>
    </w:p>
    <w:p w14:paraId="04D2EBDA" w14:textId="45BF7E2A" w:rsidR="00055D6E" w:rsidRDefault="00055D6E" w:rsidP="001019BA">
      <w:pPr>
        <w:pStyle w:val="ListParagraph"/>
        <w:numPr>
          <w:ilvl w:val="0"/>
          <w:numId w:val="13"/>
        </w:numPr>
      </w:pPr>
      <w:r w:rsidRPr="005623A6">
        <w:t>C617:2017 Connect Outstanding</w:t>
      </w:r>
      <w:r>
        <w:t xml:space="preserve"> Incorporating Variation No 1/2023 </w:t>
      </w:r>
    </w:p>
    <w:p w14:paraId="1C15BDAF" w14:textId="77777777" w:rsidR="00055D6E" w:rsidRPr="005623A6" w:rsidRDefault="00055D6E" w:rsidP="001019BA">
      <w:pPr>
        <w:pStyle w:val="ListParagraph"/>
        <w:numPr>
          <w:ilvl w:val="0"/>
          <w:numId w:val="13"/>
        </w:numPr>
      </w:pPr>
      <w:r w:rsidRPr="005623A6">
        <w:t>C513:2015 Customer and Network Fault Management</w:t>
      </w:r>
    </w:p>
    <w:p w14:paraId="79E8DDFB" w14:textId="017DFB3F" w:rsidR="00DC0994" w:rsidRPr="005623A6" w:rsidRDefault="00055D6E" w:rsidP="001019BA">
      <w:pPr>
        <w:pStyle w:val="ListParagraph"/>
        <w:numPr>
          <w:ilvl w:val="0"/>
          <w:numId w:val="13"/>
        </w:numPr>
      </w:pPr>
      <w:r w:rsidRPr="005623A6">
        <w:t>C536:2020 Emergency Call Services Requirements</w:t>
      </w:r>
    </w:p>
    <w:p w14:paraId="7598E350" w14:textId="77777777" w:rsidR="00DC0994" w:rsidRDefault="00DC0994" w:rsidP="001019BA">
      <w:pPr>
        <w:pStyle w:val="ListParagraph"/>
        <w:numPr>
          <w:ilvl w:val="0"/>
          <w:numId w:val="13"/>
        </w:numPr>
      </w:pPr>
      <w:r w:rsidRPr="005623A6">
        <w:t>C519:2004 End-to-end Network Performance</w:t>
      </w:r>
    </w:p>
    <w:p w14:paraId="7DBB8713" w14:textId="4E80E573" w:rsidR="00055D6E" w:rsidRPr="005623A6" w:rsidRDefault="00055D6E" w:rsidP="001019BA">
      <w:pPr>
        <w:pStyle w:val="ListParagraph"/>
        <w:numPr>
          <w:ilvl w:val="0"/>
          <w:numId w:val="13"/>
        </w:numPr>
      </w:pPr>
      <w:r w:rsidRPr="005623A6">
        <w:t>C525:20</w:t>
      </w:r>
      <w:r>
        <w:t>23</w:t>
      </w:r>
      <w:r w:rsidRPr="005623A6">
        <w:t xml:space="preserve"> Handling of Life Threatening and Unwelcome Communications</w:t>
      </w:r>
    </w:p>
    <w:p w14:paraId="4E188E32" w14:textId="77777777" w:rsidR="00055D6E" w:rsidRPr="005623A6" w:rsidRDefault="00055D6E" w:rsidP="001019BA">
      <w:pPr>
        <w:pStyle w:val="ListParagraph"/>
        <w:numPr>
          <w:ilvl w:val="0"/>
          <w:numId w:val="13"/>
        </w:numPr>
      </w:pPr>
      <w:r w:rsidRPr="005623A6">
        <w:t>C657:2015 Inbound Number Portability</w:t>
      </w:r>
    </w:p>
    <w:p w14:paraId="1A4E02C4" w14:textId="77777777" w:rsidR="00055D6E" w:rsidRPr="005623A6" w:rsidRDefault="00055D6E" w:rsidP="001019BA">
      <w:pPr>
        <w:pStyle w:val="ListParagraph"/>
        <w:numPr>
          <w:ilvl w:val="0"/>
          <w:numId w:val="13"/>
        </w:numPr>
      </w:pPr>
      <w:r w:rsidRPr="005623A6">
        <w:t>C555:2020 Integrated Public Number Database</w:t>
      </w:r>
    </w:p>
    <w:p w14:paraId="3C4600A0" w14:textId="77777777" w:rsidR="00055D6E" w:rsidRPr="005623A6" w:rsidRDefault="00055D6E" w:rsidP="001019BA">
      <w:pPr>
        <w:pStyle w:val="ListParagraph"/>
        <w:numPr>
          <w:ilvl w:val="0"/>
          <w:numId w:val="13"/>
        </w:numPr>
      </w:pPr>
      <w:r>
        <w:t>C625:2020 Information on Accessibility Features for Telephone Equipment</w:t>
      </w:r>
    </w:p>
    <w:p w14:paraId="7B40E168" w14:textId="77777777" w:rsidR="00055D6E" w:rsidRPr="005623A6" w:rsidRDefault="00055D6E" w:rsidP="001019BA">
      <w:pPr>
        <w:pStyle w:val="ListParagraph"/>
        <w:numPr>
          <w:ilvl w:val="0"/>
          <w:numId w:val="13"/>
        </w:numPr>
        <w:rPr>
          <w:b/>
          <w:bCs/>
        </w:rPr>
      </w:pPr>
      <w:r w:rsidRPr="005623A6">
        <w:t>C540:20</w:t>
      </w:r>
      <w:r>
        <w:t>23</w:t>
      </w:r>
      <w:r w:rsidRPr="005623A6">
        <w:t xml:space="preserve"> Local Number Portability</w:t>
      </w:r>
    </w:p>
    <w:p w14:paraId="3258A8E4" w14:textId="77777777" w:rsidR="00055D6E" w:rsidRPr="005623A6" w:rsidRDefault="00055D6E" w:rsidP="001019BA">
      <w:pPr>
        <w:pStyle w:val="ListParagraph"/>
        <w:numPr>
          <w:ilvl w:val="0"/>
          <w:numId w:val="13"/>
        </w:numPr>
        <w:rPr>
          <w:b/>
          <w:bCs/>
        </w:rPr>
      </w:pPr>
      <w:r w:rsidRPr="005623A6">
        <w:t>C570:2009 Mobile Number Portability</w:t>
      </w:r>
    </w:p>
    <w:p w14:paraId="57804EFA" w14:textId="77777777" w:rsidR="00055D6E" w:rsidRPr="005623A6" w:rsidRDefault="00055D6E" w:rsidP="001019BA">
      <w:pPr>
        <w:pStyle w:val="ListParagraph"/>
        <w:numPr>
          <w:ilvl w:val="0"/>
          <w:numId w:val="13"/>
        </w:numPr>
      </w:pPr>
      <w:r w:rsidRPr="005623A6">
        <w:t>C564:2020 Mobile Phone Base Station Deployment</w:t>
      </w:r>
    </w:p>
    <w:p w14:paraId="6A6757F6" w14:textId="77777777" w:rsidR="00055D6E" w:rsidRPr="005623A6" w:rsidRDefault="00055D6E" w:rsidP="001019BA">
      <w:pPr>
        <w:pStyle w:val="ListParagraph"/>
        <w:numPr>
          <w:ilvl w:val="0"/>
          <w:numId w:val="13"/>
        </w:numPr>
      </w:pPr>
      <w:r w:rsidRPr="005623A6">
        <w:t>C637:2019 Mobile Premium Services (MPS) Code- Incorporating Variation No 1/2021</w:t>
      </w:r>
    </w:p>
    <w:p w14:paraId="283D8682" w14:textId="46CD8992" w:rsidR="00055D6E" w:rsidRPr="005623A6" w:rsidRDefault="00055D6E" w:rsidP="001019BA">
      <w:pPr>
        <w:pStyle w:val="ListParagraph"/>
        <w:numPr>
          <w:ilvl w:val="0"/>
          <w:numId w:val="13"/>
        </w:numPr>
      </w:pPr>
      <w:r w:rsidRPr="005623A6">
        <w:t>C647:20</w:t>
      </w:r>
      <w:r>
        <w:t>23</w:t>
      </w:r>
      <w:r w:rsidRPr="005623A6">
        <w:t xml:space="preserve"> NBN Access Transfer</w:t>
      </w:r>
    </w:p>
    <w:p w14:paraId="5146A263" w14:textId="77777777" w:rsidR="00055D6E" w:rsidRPr="005623A6" w:rsidRDefault="00055D6E" w:rsidP="001019BA">
      <w:pPr>
        <w:pStyle w:val="ListParagraph"/>
        <w:numPr>
          <w:ilvl w:val="0"/>
          <w:numId w:val="13"/>
        </w:numPr>
      </w:pPr>
      <w:r w:rsidRPr="005623A6">
        <w:t>C658:2019 Next-Generation Broadband Systems Deployment in Customer Cabling</w:t>
      </w:r>
    </w:p>
    <w:p w14:paraId="3280FA05" w14:textId="77777777" w:rsidR="00055D6E" w:rsidRPr="005623A6" w:rsidRDefault="00055D6E" w:rsidP="001019BA">
      <w:pPr>
        <w:pStyle w:val="ListParagraph"/>
        <w:numPr>
          <w:ilvl w:val="0"/>
          <w:numId w:val="13"/>
        </w:numPr>
      </w:pPr>
      <w:r w:rsidRPr="005623A6">
        <w:t>C515:2015 Pre-selection</w:t>
      </w:r>
    </w:p>
    <w:p w14:paraId="4E219EB6" w14:textId="343377C1" w:rsidR="00055D6E" w:rsidRDefault="00055D6E" w:rsidP="001019BA">
      <w:pPr>
        <w:pStyle w:val="ListParagraph"/>
        <w:numPr>
          <w:ilvl w:val="0"/>
          <w:numId w:val="13"/>
        </w:numPr>
      </w:pPr>
      <w:r w:rsidRPr="005623A6">
        <w:t>C609:2007 Priority Assistance for Life Threatening Medical Condition</w:t>
      </w:r>
      <w:r>
        <w:t>s</w:t>
      </w:r>
    </w:p>
    <w:p w14:paraId="7453120D" w14:textId="3C51B969" w:rsidR="00055D6E" w:rsidRDefault="00055D6E" w:rsidP="001019BA">
      <w:pPr>
        <w:pStyle w:val="ListParagraph"/>
        <w:numPr>
          <w:ilvl w:val="0"/>
          <w:numId w:val="13"/>
        </w:numPr>
      </w:pPr>
      <w:r w:rsidRPr="005623A6">
        <w:t>C661:2022 Reducing Scam Calls and Scam SMS</w:t>
      </w:r>
    </w:p>
    <w:p w14:paraId="1554386D" w14:textId="50356A0B" w:rsidR="00055D6E" w:rsidRPr="005623A6" w:rsidRDefault="00055D6E" w:rsidP="001019BA">
      <w:pPr>
        <w:pStyle w:val="ListParagraph"/>
        <w:numPr>
          <w:ilvl w:val="0"/>
          <w:numId w:val="13"/>
        </w:numPr>
        <w:rPr>
          <w:b/>
          <w:bCs/>
        </w:rPr>
      </w:pPr>
      <w:r w:rsidRPr="005623A6">
        <w:t>C566:20</w:t>
      </w:r>
      <w:r>
        <w:t>23</w:t>
      </w:r>
      <w:r w:rsidRPr="005623A6">
        <w:t xml:space="preserve"> </w:t>
      </w:r>
      <w:r>
        <w:t>Number Management</w:t>
      </w:r>
      <w:r w:rsidR="00122F50">
        <w:t>:</w:t>
      </w:r>
      <w:r>
        <w:t xml:space="preserve"> Use of Numbers by Customers</w:t>
      </w:r>
    </w:p>
    <w:p w14:paraId="6E055C1E" w14:textId="77777777" w:rsidR="00055D6E" w:rsidRPr="005623A6" w:rsidRDefault="00055D6E" w:rsidP="001019BA">
      <w:pPr>
        <w:pStyle w:val="ListParagraph"/>
        <w:numPr>
          <w:ilvl w:val="0"/>
          <w:numId w:val="13"/>
        </w:numPr>
      </w:pPr>
      <w:r w:rsidRPr="005623A6">
        <w:t>C628:2019 Telecommunications Consumer Protections Code Incorporating Variation No 1/2022</w:t>
      </w:r>
    </w:p>
    <w:p w14:paraId="6344C339" w14:textId="7099ACF0" w:rsidR="00055D6E" w:rsidRPr="00107882" w:rsidRDefault="00055D6E" w:rsidP="001019BA">
      <w:pPr>
        <w:pStyle w:val="ListParagraph"/>
        <w:numPr>
          <w:ilvl w:val="0"/>
          <w:numId w:val="13"/>
        </w:numPr>
        <w:rPr>
          <w:b/>
          <w:bCs/>
        </w:rPr>
      </w:pPr>
      <w:r w:rsidRPr="005623A6">
        <w:t>C559:2012 ULLS Network Deployment</w:t>
      </w:r>
    </w:p>
    <w:p w14:paraId="528C6A53" w14:textId="3682F870" w:rsidR="00107882" w:rsidRDefault="00107882" w:rsidP="00107882">
      <w:pPr>
        <w:rPr>
          <w:b/>
          <w:bCs/>
        </w:rPr>
      </w:pPr>
    </w:p>
    <w:p w14:paraId="5FB86BE8" w14:textId="77777777" w:rsidR="00107882" w:rsidRPr="005623A6" w:rsidRDefault="00107882" w:rsidP="00107882">
      <w:r>
        <w:t>This list is current as at the time of writing.</w:t>
      </w:r>
    </w:p>
    <w:p w14:paraId="5981B2E2" w14:textId="77777777" w:rsidR="00107882" w:rsidRPr="00107882" w:rsidRDefault="00107882" w:rsidP="00107882">
      <w:pPr>
        <w:rPr>
          <w:b/>
          <w:bCs/>
        </w:rPr>
      </w:pPr>
    </w:p>
    <w:p w14:paraId="23F31EF0" w14:textId="38B89DDC" w:rsidR="00AD5004" w:rsidRPr="005623A6" w:rsidRDefault="00AD5004" w:rsidP="001019BA">
      <w:pPr>
        <w:pStyle w:val="ListParagraph"/>
        <w:numPr>
          <w:ilvl w:val="0"/>
          <w:numId w:val="13"/>
        </w:numPr>
      </w:pPr>
      <w:r w:rsidRPr="005623A6">
        <w:rPr>
          <w:b/>
          <w:bCs/>
        </w:rPr>
        <w:br w:type="page"/>
      </w:r>
    </w:p>
    <w:p w14:paraId="40F69010" w14:textId="77777777" w:rsidR="00AD5004" w:rsidRPr="005623A6" w:rsidRDefault="00AD5004" w:rsidP="00AD5004">
      <w:pPr>
        <w:pStyle w:val="Heading1"/>
        <w:jc w:val="center"/>
      </w:pPr>
      <w:bookmarkStart w:id="225" w:name="_Toc139024406"/>
      <w:bookmarkStart w:id="226" w:name="_Toc139024727"/>
      <w:bookmarkStart w:id="227" w:name="_Toc139031370"/>
      <w:bookmarkStart w:id="228" w:name="_Toc146201061"/>
      <w:bookmarkStart w:id="229" w:name="_Toc161836199"/>
      <w:bookmarkStart w:id="230" w:name="AnnexC"/>
      <w:r w:rsidRPr="005623A6">
        <w:lastRenderedPageBreak/>
        <w:t xml:space="preserve">ANNEX </w:t>
      </w:r>
      <w:r w:rsidR="00D22C9D">
        <w:t>B</w:t>
      </w:r>
      <w:bookmarkEnd w:id="225"/>
      <w:bookmarkEnd w:id="226"/>
      <w:bookmarkEnd w:id="227"/>
      <w:bookmarkEnd w:id="228"/>
      <w:bookmarkEnd w:id="229"/>
    </w:p>
    <w:p w14:paraId="4E019C77" w14:textId="77777777" w:rsidR="003B3190" w:rsidRPr="005623A6" w:rsidRDefault="00B0027B" w:rsidP="00AB5486">
      <w:pPr>
        <w:pStyle w:val="Heading2"/>
        <w:jc w:val="center"/>
      </w:pPr>
      <w:bookmarkStart w:id="231" w:name="_Toc139024407"/>
      <w:bookmarkStart w:id="232" w:name="_Toc139024728"/>
      <w:bookmarkStart w:id="233" w:name="_Toc139024849"/>
      <w:bookmarkStart w:id="234" w:name="_Toc139031371"/>
      <w:bookmarkStart w:id="235" w:name="_Toc146201062"/>
      <w:bookmarkStart w:id="236" w:name="_Toc161836200"/>
      <w:bookmarkStart w:id="237" w:name="DataCollectionMethodology"/>
      <w:bookmarkEnd w:id="230"/>
      <w:r w:rsidRPr="005623A6">
        <w:t>Data Collection</w:t>
      </w:r>
      <w:r w:rsidR="00AB5486" w:rsidRPr="005623A6">
        <w:t xml:space="preserve"> Methodology</w:t>
      </w:r>
      <w:bookmarkEnd w:id="231"/>
      <w:bookmarkEnd w:id="232"/>
      <w:bookmarkEnd w:id="233"/>
      <w:bookmarkEnd w:id="234"/>
      <w:bookmarkEnd w:id="235"/>
      <w:bookmarkEnd w:id="236"/>
    </w:p>
    <w:bookmarkEnd w:id="237"/>
    <w:p w14:paraId="2EDC553A" w14:textId="77777777" w:rsidR="00AB5486" w:rsidRPr="005623A6" w:rsidRDefault="00AB5486" w:rsidP="00AB5486">
      <w:pPr>
        <w:pStyle w:val="paragraph"/>
        <w:spacing w:before="0" w:beforeAutospacing="0" w:after="0" w:afterAutospacing="0"/>
        <w:textAlignment w:val="baseline"/>
        <w:rPr>
          <w:rStyle w:val="normaltextrun"/>
          <w:rFonts w:asciiTheme="minorHAnsi" w:hAnsiTheme="minorHAnsi" w:cstheme="minorHAnsi"/>
          <w:color w:val="242424"/>
          <w:sz w:val="22"/>
          <w:szCs w:val="22"/>
        </w:rPr>
      </w:pPr>
    </w:p>
    <w:p w14:paraId="4CA71CFF" w14:textId="6FD3D943" w:rsidR="000E224F" w:rsidRDefault="524FDA14" w:rsidP="00FC222F">
      <w:pPr>
        <w:rPr>
          <w:rStyle w:val="normaltextrun"/>
          <w:rFonts w:cs="Arial"/>
          <w:color w:val="242424"/>
          <w:szCs w:val="21"/>
        </w:rPr>
      </w:pPr>
      <w:r w:rsidRPr="3A0E6822">
        <w:rPr>
          <w:rStyle w:val="normaltextrun"/>
          <w:rFonts w:cs="Arial"/>
          <w:color w:val="242424"/>
        </w:rPr>
        <w:t xml:space="preserve">The starting point for </w:t>
      </w:r>
      <w:r w:rsidR="3DFA7C47" w:rsidRPr="3A0E6822">
        <w:rPr>
          <w:rStyle w:val="normaltextrun"/>
          <w:rFonts w:cs="Arial"/>
          <w:color w:val="242424"/>
        </w:rPr>
        <w:t xml:space="preserve">the </w:t>
      </w:r>
      <w:r w:rsidR="0A9C890C" w:rsidRPr="3A0E6822">
        <w:rPr>
          <w:rStyle w:val="normaltextrun"/>
          <w:rFonts w:cs="Arial"/>
          <w:color w:val="242424"/>
        </w:rPr>
        <w:t xml:space="preserve">data </w:t>
      </w:r>
      <w:r w:rsidR="51857983" w:rsidRPr="3A0E6822">
        <w:rPr>
          <w:rStyle w:val="normaltextrun"/>
          <w:rFonts w:cs="Arial"/>
          <w:color w:val="242424"/>
        </w:rPr>
        <w:t xml:space="preserve">that informs this report </w:t>
      </w:r>
      <w:r w:rsidRPr="3A0E6822">
        <w:rPr>
          <w:rStyle w:val="normaltextrun"/>
          <w:rFonts w:cs="Arial"/>
          <w:color w:val="242424"/>
        </w:rPr>
        <w:t xml:space="preserve">was </w:t>
      </w:r>
      <w:r w:rsidR="55D69830" w:rsidRPr="3A0E6822">
        <w:rPr>
          <w:rStyle w:val="normaltextrun"/>
          <w:rFonts w:cs="Arial"/>
          <w:color w:val="242424"/>
        </w:rPr>
        <w:t xml:space="preserve">a </w:t>
      </w:r>
      <w:r w:rsidRPr="3A0E6822">
        <w:rPr>
          <w:rStyle w:val="normaltextrun"/>
          <w:rFonts w:cs="Arial"/>
          <w:color w:val="242424"/>
        </w:rPr>
        <w:t>table</w:t>
      </w:r>
      <w:r w:rsidR="13F7670D" w:rsidRPr="3A0E6822">
        <w:rPr>
          <w:rStyle w:val="normaltextrun"/>
          <w:rFonts w:cs="Arial"/>
          <w:color w:val="242424"/>
        </w:rPr>
        <w:t xml:space="preserve"> prepared by </w:t>
      </w:r>
      <w:r w:rsidR="00D11F2F">
        <w:rPr>
          <w:rStyle w:val="normaltextrun"/>
          <w:rFonts w:cs="Arial"/>
          <w:color w:val="242424"/>
        </w:rPr>
        <w:t>the ACMA</w:t>
      </w:r>
      <w:r w:rsidR="13F7670D" w:rsidRPr="3A0E6822">
        <w:rPr>
          <w:rStyle w:val="normaltextrun"/>
          <w:rFonts w:cs="Arial"/>
          <w:color w:val="242424"/>
        </w:rPr>
        <w:t xml:space="preserve"> and </w:t>
      </w:r>
      <w:r w:rsidR="55D69830" w:rsidRPr="3A0E6822">
        <w:rPr>
          <w:rStyle w:val="normaltextrun"/>
          <w:rFonts w:cs="Arial"/>
          <w:color w:val="242424"/>
        </w:rPr>
        <w:t xml:space="preserve">provided </w:t>
      </w:r>
      <w:r w:rsidR="32AF6495" w:rsidRPr="3A0E6822">
        <w:rPr>
          <w:rStyle w:val="normaltextrun"/>
          <w:rFonts w:cs="Arial"/>
          <w:color w:val="242424"/>
        </w:rPr>
        <w:t xml:space="preserve">by ACCAN </w:t>
      </w:r>
      <w:r w:rsidR="13F7670D" w:rsidRPr="3A0E6822">
        <w:rPr>
          <w:rStyle w:val="normaltextrun"/>
          <w:rFonts w:cs="Arial"/>
          <w:color w:val="242424"/>
        </w:rPr>
        <w:t xml:space="preserve">to </w:t>
      </w:r>
      <w:r w:rsidR="55D69830" w:rsidRPr="3A0E6822">
        <w:rPr>
          <w:rStyle w:val="normaltextrun"/>
          <w:rFonts w:cs="Arial"/>
          <w:color w:val="242424"/>
        </w:rPr>
        <w:t>UTS</w:t>
      </w:r>
      <w:r w:rsidR="3DFA7C47" w:rsidRPr="3A0E6822">
        <w:rPr>
          <w:rStyle w:val="normaltextrun"/>
          <w:rFonts w:cs="Arial"/>
          <w:color w:val="242424"/>
        </w:rPr>
        <w:t xml:space="preserve"> (</w:t>
      </w:r>
      <w:r w:rsidR="001538AA" w:rsidRPr="12EC14AA">
        <w:rPr>
          <w:rStyle w:val="normaltextrun"/>
          <w:rFonts w:cs="Arial"/>
          <w:color w:val="242424"/>
        </w:rPr>
        <w:t>‘</w:t>
      </w:r>
      <w:r w:rsidR="3DFA7C47" w:rsidRPr="3A0E6822">
        <w:rPr>
          <w:rStyle w:val="normaltextrun"/>
          <w:rFonts w:cs="Arial"/>
          <w:color w:val="242424"/>
        </w:rPr>
        <w:t xml:space="preserve">the </w:t>
      </w:r>
      <w:r w:rsidR="00D11F2F">
        <w:rPr>
          <w:rStyle w:val="normaltextrun"/>
          <w:rFonts w:cs="Arial"/>
          <w:color w:val="242424"/>
        </w:rPr>
        <w:t>ACMA</w:t>
      </w:r>
      <w:r w:rsidR="3DFA7C47" w:rsidRPr="3A0E6822">
        <w:rPr>
          <w:rStyle w:val="normaltextrun"/>
          <w:rFonts w:cs="Arial"/>
          <w:color w:val="242424"/>
        </w:rPr>
        <w:t xml:space="preserve"> table</w:t>
      </w:r>
      <w:r w:rsidR="001538AA" w:rsidRPr="12EC14AA">
        <w:rPr>
          <w:rStyle w:val="normaltextrun"/>
          <w:rFonts w:cs="Arial"/>
          <w:color w:val="242424"/>
        </w:rPr>
        <w:t>’</w:t>
      </w:r>
      <w:r w:rsidR="3DFA7C47" w:rsidRPr="3A0E6822">
        <w:rPr>
          <w:rStyle w:val="normaltextrun"/>
          <w:rFonts w:cs="Arial"/>
          <w:color w:val="242424"/>
        </w:rPr>
        <w:t>).</w:t>
      </w:r>
      <w:r w:rsidR="13F7670D" w:rsidRPr="3A0E6822">
        <w:rPr>
          <w:rStyle w:val="normaltextrun"/>
          <w:rFonts w:cs="Arial"/>
          <w:color w:val="242424"/>
        </w:rPr>
        <w:t xml:space="preserve"> </w:t>
      </w:r>
      <w:r w:rsidR="3B274257" w:rsidRPr="3A0E6822">
        <w:rPr>
          <w:rStyle w:val="normaltextrun"/>
          <w:rFonts w:cs="Arial"/>
          <w:color w:val="242424"/>
        </w:rPr>
        <w:t xml:space="preserve">In February 2023, ACCAN </w:t>
      </w:r>
      <w:r w:rsidR="00B71516" w:rsidRPr="12EC14AA">
        <w:rPr>
          <w:rStyle w:val="normaltextrun"/>
          <w:rFonts w:cs="Arial"/>
          <w:color w:val="242424"/>
        </w:rPr>
        <w:t>had</w:t>
      </w:r>
      <w:r w:rsidR="3B274257" w:rsidRPr="12EC14AA">
        <w:rPr>
          <w:rStyle w:val="normaltextrun"/>
          <w:rFonts w:cs="Arial"/>
          <w:color w:val="242424"/>
        </w:rPr>
        <w:t xml:space="preserve"> </w:t>
      </w:r>
      <w:r w:rsidR="3B274257" w:rsidRPr="3A0E6822">
        <w:rPr>
          <w:rStyle w:val="normaltextrun"/>
          <w:rFonts w:cs="Arial"/>
          <w:color w:val="242424"/>
        </w:rPr>
        <w:t xml:space="preserve">requested a list of </w:t>
      </w:r>
      <w:r w:rsidR="00D11F2F">
        <w:rPr>
          <w:rStyle w:val="normaltextrun"/>
          <w:rFonts w:cs="Arial"/>
          <w:color w:val="242424"/>
        </w:rPr>
        <w:t>the ACMA</w:t>
      </w:r>
      <w:r w:rsidR="3B274257" w:rsidRPr="3A0E6822">
        <w:rPr>
          <w:rStyle w:val="normaltextrun"/>
          <w:rFonts w:cs="Arial"/>
          <w:color w:val="242424"/>
        </w:rPr>
        <w:t xml:space="preserve">’s enforcement actions over the last five years. </w:t>
      </w:r>
      <w:r w:rsidR="008F329B">
        <w:rPr>
          <w:rStyle w:val="normaltextrun"/>
          <w:rFonts w:cs="Arial"/>
          <w:color w:val="242424"/>
        </w:rPr>
        <w:t>T</w:t>
      </w:r>
      <w:r w:rsidR="00D11F2F">
        <w:rPr>
          <w:rStyle w:val="normaltextrun"/>
          <w:rFonts w:cs="Arial"/>
          <w:color w:val="242424"/>
        </w:rPr>
        <w:t>he ACMA</w:t>
      </w:r>
      <w:r w:rsidR="3B274257" w:rsidRPr="3A0E6822">
        <w:rPr>
          <w:rStyle w:val="normaltextrun"/>
          <w:rFonts w:cs="Arial"/>
          <w:color w:val="242424"/>
        </w:rPr>
        <w:t xml:space="preserve"> gave ACCAN a spreadsheet  comprising the data published on the ‘Investigations into Telco Providers’ page of its website over the period March 2017 to December 2022.</w:t>
      </w:r>
      <w:r w:rsidR="00A83904" w:rsidRPr="3A0E6822">
        <w:rPr>
          <w:rStyle w:val="FootnoteReference"/>
          <w:rFonts w:cs="Arial"/>
          <w:color w:val="242424"/>
        </w:rPr>
        <w:footnoteReference w:id="259"/>
      </w:r>
      <w:r w:rsidR="3B274257" w:rsidRPr="3A0E6822">
        <w:rPr>
          <w:rStyle w:val="normaltextrun"/>
          <w:rFonts w:cs="Arial"/>
          <w:color w:val="242424"/>
        </w:rPr>
        <w:t xml:space="preserve"> The data in the </w:t>
      </w:r>
      <w:r w:rsidR="00D11F2F">
        <w:rPr>
          <w:rStyle w:val="normaltextrun"/>
          <w:rFonts w:cs="Arial"/>
          <w:color w:val="242424"/>
        </w:rPr>
        <w:t>ACMA</w:t>
      </w:r>
      <w:r w:rsidR="3B274257" w:rsidRPr="3A0E6822">
        <w:rPr>
          <w:rStyle w:val="normaltextrun"/>
          <w:rFonts w:cs="Arial"/>
          <w:color w:val="242424"/>
        </w:rPr>
        <w:t xml:space="preserve"> table included</w:t>
      </w:r>
      <w:r w:rsidR="66B08807" w:rsidRPr="3A0E6822">
        <w:rPr>
          <w:rStyle w:val="normaltextrun"/>
          <w:rFonts w:cs="Arial"/>
          <w:color w:val="242424"/>
        </w:rPr>
        <w:t>:</w:t>
      </w:r>
      <w:r w:rsidR="472239C0" w:rsidRPr="3A0E6822">
        <w:rPr>
          <w:rStyle w:val="normaltextrun"/>
          <w:rFonts w:cs="Arial"/>
          <w:color w:val="242424"/>
        </w:rPr>
        <w:t xml:space="preserve"> the names of the service providers concerned</w:t>
      </w:r>
      <w:r w:rsidR="66B08807" w:rsidRPr="3A0E6822">
        <w:rPr>
          <w:rStyle w:val="normaltextrun"/>
          <w:rFonts w:cs="Arial"/>
          <w:color w:val="242424"/>
        </w:rPr>
        <w:t>;</w:t>
      </w:r>
      <w:r w:rsidR="472239C0" w:rsidRPr="3A0E6822">
        <w:rPr>
          <w:rStyle w:val="normaltextrun"/>
          <w:rFonts w:cs="Arial"/>
          <w:color w:val="242424"/>
        </w:rPr>
        <w:t xml:space="preserve"> the outcome of the investigation</w:t>
      </w:r>
      <w:r w:rsidR="66B08807" w:rsidRPr="3A0E6822">
        <w:rPr>
          <w:rStyle w:val="normaltextrun"/>
          <w:rFonts w:cs="Arial"/>
          <w:color w:val="242424"/>
        </w:rPr>
        <w:t>;</w:t>
      </w:r>
      <w:r w:rsidR="472239C0" w:rsidRPr="3A0E6822">
        <w:rPr>
          <w:rStyle w:val="normaltextrun"/>
          <w:rFonts w:cs="Arial"/>
          <w:color w:val="242424"/>
        </w:rPr>
        <w:t xml:space="preserve"> the dat</w:t>
      </w:r>
      <w:r w:rsidR="3B139417" w:rsidRPr="3A0E6822">
        <w:rPr>
          <w:rStyle w:val="normaltextrun"/>
          <w:rFonts w:cs="Arial"/>
          <w:color w:val="242424"/>
        </w:rPr>
        <w:t>e</w:t>
      </w:r>
      <w:r w:rsidR="472239C0" w:rsidRPr="3A0E6822">
        <w:rPr>
          <w:rStyle w:val="normaltextrun"/>
          <w:rFonts w:cs="Arial"/>
          <w:color w:val="242424"/>
        </w:rPr>
        <w:t xml:space="preserve"> the investigation report was published</w:t>
      </w:r>
      <w:r w:rsidR="66B08807" w:rsidRPr="3A0E6822">
        <w:rPr>
          <w:rStyle w:val="normaltextrun"/>
          <w:rFonts w:cs="Arial"/>
          <w:color w:val="242424"/>
        </w:rPr>
        <w:t>;</w:t>
      </w:r>
      <w:r w:rsidR="472239C0" w:rsidRPr="3A0E6822">
        <w:rPr>
          <w:rStyle w:val="normaltextrun"/>
          <w:rFonts w:cs="Arial"/>
          <w:color w:val="242424"/>
        </w:rPr>
        <w:t xml:space="preserve"> the type of enforcement action taken (eg, formal warning, enforceable undertaking, direction to comply, remedial action, infringement notice, civil penalties</w:t>
      </w:r>
      <w:r w:rsidR="161F672C" w:rsidRPr="3A0E6822">
        <w:rPr>
          <w:rStyle w:val="normaltextrun"/>
          <w:rFonts w:cs="Arial"/>
          <w:color w:val="242424"/>
        </w:rPr>
        <w:t>)</w:t>
      </w:r>
      <w:r w:rsidR="66B08807" w:rsidRPr="3A0E6822">
        <w:rPr>
          <w:rStyle w:val="normaltextrun"/>
          <w:rFonts w:cs="Arial"/>
          <w:color w:val="242424"/>
        </w:rPr>
        <w:t>;</w:t>
      </w:r>
      <w:r w:rsidR="472239C0" w:rsidRPr="3A0E6822">
        <w:rPr>
          <w:rStyle w:val="normaltextrun"/>
          <w:rFonts w:cs="Arial"/>
          <w:color w:val="242424"/>
        </w:rPr>
        <w:t xml:space="preserve"> </w:t>
      </w:r>
      <w:r w:rsidR="6F89E364" w:rsidRPr="3A0E6822">
        <w:rPr>
          <w:rStyle w:val="normaltextrun"/>
          <w:rFonts w:cs="Arial"/>
          <w:color w:val="242424"/>
        </w:rPr>
        <w:t xml:space="preserve">the total number of enforcement actions taken against the </w:t>
      </w:r>
      <w:r w:rsidR="161F672C" w:rsidRPr="3A0E6822">
        <w:rPr>
          <w:rStyle w:val="normaltextrun"/>
          <w:rFonts w:cs="Arial"/>
          <w:color w:val="242424"/>
        </w:rPr>
        <w:t>service provider</w:t>
      </w:r>
      <w:r w:rsidR="66B08807" w:rsidRPr="3A0E6822">
        <w:rPr>
          <w:rStyle w:val="normaltextrun"/>
          <w:rFonts w:cs="Arial"/>
          <w:color w:val="242424"/>
        </w:rPr>
        <w:t>;</w:t>
      </w:r>
      <w:r w:rsidR="161F672C" w:rsidRPr="3A0E6822">
        <w:rPr>
          <w:rStyle w:val="normaltextrun"/>
          <w:rFonts w:cs="Arial"/>
          <w:color w:val="242424"/>
        </w:rPr>
        <w:t xml:space="preserve"> and the amount specified in an infringement notice (if any).</w:t>
      </w:r>
    </w:p>
    <w:p w14:paraId="7E27C18F" w14:textId="09EC8951" w:rsidR="00DA3B7A" w:rsidRPr="00FC222F" w:rsidRDefault="00CD420B" w:rsidP="00DA3B7A">
      <w:pPr>
        <w:rPr>
          <w:rFonts w:cs="Arial"/>
          <w:szCs w:val="21"/>
        </w:rPr>
      </w:pPr>
      <w:r w:rsidRPr="12EC14AA">
        <w:rPr>
          <w:rStyle w:val="normaltextrun"/>
          <w:rFonts w:cs="Arial"/>
          <w:color w:val="242424"/>
        </w:rPr>
        <w:t xml:space="preserve">We then </w:t>
      </w:r>
      <w:r w:rsidR="00B84B9F" w:rsidRPr="12EC14AA">
        <w:rPr>
          <w:rStyle w:val="normaltextrun"/>
          <w:rFonts w:cs="Arial"/>
          <w:color w:val="242424"/>
        </w:rPr>
        <w:t xml:space="preserve">modified the </w:t>
      </w:r>
      <w:r w:rsidR="00D11F2F">
        <w:rPr>
          <w:rStyle w:val="normaltextrun"/>
          <w:rFonts w:cs="Arial"/>
          <w:color w:val="242424"/>
        </w:rPr>
        <w:t>ACMA</w:t>
      </w:r>
      <w:r w:rsidR="00B84B9F" w:rsidRPr="12EC14AA">
        <w:rPr>
          <w:rStyle w:val="normaltextrun"/>
          <w:rFonts w:cs="Arial"/>
          <w:color w:val="242424"/>
        </w:rPr>
        <w:t xml:space="preserve"> table </w:t>
      </w:r>
      <w:r w:rsidR="00550543" w:rsidRPr="12EC14AA">
        <w:rPr>
          <w:rStyle w:val="normaltextrun"/>
          <w:rFonts w:cs="Arial"/>
          <w:color w:val="242424"/>
        </w:rPr>
        <w:t xml:space="preserve">to exclude </w:t>
      </w:r>
      <w:r w:rsidR="00550543">
        <w:rPr>
          <w:rStyle w:val="normaltextrun"/>
          <w:rFonts w:cs="Arial"/>
          <w:color w:val="242424"/>
        </w:rPr>
        <w:t>b</w:t>
      </w:r>
      <w:r w:rsidR="00550543" w:rsidRPr="739C5FC2">
        <w:rPr>
          <w:rStyle w:val="normaltextrun"/>
          <w:rFonts w:cs="Arial"/>
          <w:color w:val="242424"/>
        </w:rPr>
        <w:t xml:space="preserve">reaches that were not relevant to the study </w:t>
      </w:r>
      <w:r w:rsidR="006D141E">
        <w:rPr>
          <w:rStyle w:val="normaltextrun"/>
          <w:rFonts w:cs="Arial"/>
          <w:color w:val="242424"/>
        </w:rPr>
        <w:t>(</w:t>
      </w:r>
      <w:r w:rsidR="00550543" w:rsidRPr="739C5FC2">
        <w:rPr>
          <w:rStyle w:val="normaltextrun"/>
          <w:rFonts w:cs="Arial"/>
          <w:color w:val="242424"/>
        </w:rPr>
        <w:t>mainly concern</w:t>
      </w:r>
      <w:r w:rsidR="006D141E">
        <w:rPr>
          <w:rStyle w:val="normaltextrun"/>
          <w:rFonts w:cs="Arial"/>
          <w:color w:val="242424"/>
        </w:rPr>
        <w:t>ing</w:t>
      </w:r>
      <w:r w:rsidR="00550543" w:rsidRPr="739C5FC2">
        <w:rPr>
          <w:rStyle w:val="normaltextrun"/>
          <w:rFonts w:cs="Arial"/>
          <w:color w:val="242424"/>
        </w:rPr>
        <w:t xml:space="preserve"> breaches of the </w:t>
      </w:r>
      <w:r w:rsidR="00550543" w:rsidRPr="12EC14AA">
        <w:rPr>
          <w:rStyle w:val="normaltextrun"/>
          <w:rFonts w:cs="Arial"/>
          <w:i/>
          <w:iCs/>
          <w:color w:val="242424"/>
        </w:rPr>
        <w:t>Spam Act 2003</w:t>
      </w:r>
      <w:r w:rsidR="00550543" w:rsidRPr="12EC14AA">
        <w:rPr>
          <w:rStyle w:val="normaltextrun"/>
          <w:rFonts w:cs="Arial"/>
          <w:color w:val="242424"/>
        </w:rPr>
        <w:t xml:space="preserve"> </w:t>
      </w:r>
      <w:r w:rsidR="00206FE6" w:rsidRPr="12EC14AA">
        <w:rPr>
          <w:rStyle w:val="normaltextrun"/>
          <w:rFonts w:cs="Arial"/>
          <w:color w:val="242424"/>
        </w:rPr>
        <w:t>(Cth)</w:t>
      </w:r>
      <w:r w:rsidR="00550543" w:rsidRPr="739C5FC2">
        <w:rPr>
          <w:rStyle w:val="normaltextrun"/>
          <w:rFonts w:cs="Arial"/>
          <w:color w:val="242424"/>
        </w:rPr>
        <w:t xml:space="preserve"> and the Do Not Call Register</w:t>
      </w:r>
      <w:r w:rsidR="006D141E">
        <w:rPr>
          <w:rStyle w:val="normaltextrun"/>
          <w:rFonts w:cs="Arial"/>
          <w:color w:val="242424"/>
        </w:rPr>
        <w:t>)</w:t>
      </w:r>
      <w:r w:rsidR="00550543" w:rsidRPr="739C5FC2">
        <w:rPr>
          <w:rStyle w:val="normaltextrun"/>
          <w:rFonts w:cs="Arial"/>
          <w:color w:val="242424"/>
        </w:rPr>
        <w:t>.</w:t>
      </w:r>
      <w:r w:rsidR="006D141E">
        <w:rPr>
          <w:rStyle w:val="normaltextrun"/>
          <w:rFonts w:cs="Arial"/>
          <w:color w:val="242424"/>
        </w:rPr>
        <w:t xml:space="preserve"> </w:t>
      </w:r>
      <w:r w:rsidR="0041314F">
        <w:rPr>
          <w:rStyle w:val="normaltextrun"/>
          <w:rFonts w:cs="Arial"/>
          <w:color w:val="242424"/>
        </w:rPr>
        <w:t xml:space="preserve">We also expanded </w:t>
      </w:r>
      <w:r w:rsidR="0041314F" w:rsidRPr="12EC14AA">
        <w:rPr>
          <w:rStyle w:val="normaltextrun"/>
          <w:rFonts w:cs="Arial"/>
          <w:color w:val="242424"/>
        </w:rPr>
        <w:t xml:space="preserve">the time period of the enforcement actions, adding </w:t>
      </w:r>
      <w:r w:rsidR="00B84B9F" w:rsidRPr="12EC14AA">
        <w:rPr>
          <w:rStyle w:val="normaltextrun"/>
          <w:rFonts w:cs="Arial"/>
          <w:color w:val="242424"/>
        </w:rPr>
        <w:t xml:space="preserve">consumer-related enforcement </w:t>
      </w:r>
      <w:r w:rsidR="007B631E" w:rsidRPr="12EC14AA">
        <w:rPr>
          <w:rStyle w:val="normaltextrun"/>
          <w:rFonts w:cs="Arial"/>
          <w:color w:val="242424"/>
        </w:rPr>
        <w:t>information f</w:t>
      </w:r>
      <w:r w:rsidR="00A14ACB" w:rsidRPr="12EC14AA">
        <w:rPr>
          <w:rStyle w:val="normaltextrun"/>
          <w:rFonts w:cs="Arial"/>
          <w:color w:val="242424"/>
        </w:rPr>
        <w:t xml:space="preserve">or the period of </w:t>
      </w:r>
      <w:r w:rsidR="007B631E" w:rsidRPr="12EC14AA">
        <w:rPr>
          <w:rStyle w:val="normaltextrun"/>
          <w:rFonts w:cs="Arial"/>
          <w:color w:val="242424"/>
        </w:rPr>
        <w:t xml:space="preserve">1 January </w:t>
      </w:r>
      <w:r w:rsidR="00A14ACB" w:rsidRPr="12EC14AA">
        <w:rPr>
          <w:rStyle w:val="normaltextrun"/>
          <w:rFonts w:cs="Arial"/>
          <w:color w:val="242424"/>
        </w:rPr>
        <w:t>2010</w:t>
      </w:r>
      <w:r w:rsidR="007B631E" w:rsidRPr="12EC14AA">
        <w:rPr>
          <w:rStyle w:val="normaltextrun"/>
          <w:rFonts w:cs="Arial"/>
          <w:color w:val="242424"/>
        </w:rPr>
        <w:t xml:space="preserve"> to 31 December 20</w:t>
      </w:r>
      <w:r w:rsidR="00B30266" w:rsidRPr="12EC14AA">
        <w:rPr>
          <w:rStyle w:val="normaltextrun"/>
          <w:rFonts w:cs="Arial"/>
          <w:color w:val="242424"/>
        </w:rPr>
        <w:t>16</w:t>
      </w:r>
      <w:r w:rsidR="00AB7300" w:rsidRPr="12EC14AA">
        <w:rPr>
          <w:rStyle w:val="normaltextrun"/>
          <w:rFonts w:cs="Arial"/>
          <w:color w:val="242424"/>
        </w:rPr>
        <w:t xml:space="preserve"> and </w:t>
      </w:r>
      <w:r w:rsidR="00EE2A38" w:rsidRPr="12EC14AA">
        <w:rPr>
          <w:rStyle w:val="normaltextrun"/>
          <w:rFonts w:cs="Arial"/>
          <w:color w:val="242424"/>
        </w:rPr>
        <w:t xml:space="preserve">any consumer-related enforcement actions taken between the </w:t>
      </w:r>
      <w:r w:rsidR="000949C1" w:rsidRPr="12EC14AA">
        <w:rPr>
          <w:rStyle w:val="normaltextrun"/>
          <w:rFonts w:cs="Arial"/>
          <w:color w:val="242424"/>
        </w:rPr>
        <w:t>last enfo</w:t>
      </w:r>
      <w:r w:rsidR="00A56537" w:rsidRPr="12EC14AA">
        <w:rPr>
          <w:rStyle w:val="normaltextrun"/>
          <w:rFonts w:cs="Arial"/>
          <w:color w:val="242424"/>
        </w:rPr>
        <w:t>rcement action in</w:t>
      </w:r>
      <w:r w:rsidR="00EE2A38" w:rsidRPr="12EC14AA">
        <w:rPr>
          <w:rStyle w:val="normaltextrun"/>
          <w:rFonts w:cs="Arial"/>
          <w:color w:val="242424"/>
        </w:rPr>
        <w:t xml:space="preserve"> the </w:t>
      </w:r>
      <w:r w:rsidR="00D11F2F">
        <w:rPr>
          <w:rStyle w:val="normaltextrun"/>
          <w:rFonts w:cs="Arial"/>
          <w:color w:val="242424"/>
        </w:rPr>
        <w:t>ACMA</w:t>
      </w:r>
      <w:r w:rsidR="00EE2A38" w:rsidRPr="12EC14AA">
        <w:rPr>
          <w:rStyle w:val="normaltextrun"/>
          <w:rFonts w:cs="Arial"/>
          <w:color w:val="242424"/>
        </w:rPr>
        <w:t xml:space="preserve"> table</w:t>
      </w:r>
      <w:r w:rsidR="00A56537" w:rsidRPr="12EC14AA">
        <w:rPr>
          <w:rStyle w:val="normaltextrun"/>
          <w:rFonts w:cs="Arial"/>
          <w:color w:val="242424"/>
        </w:rPr>
        <w:t xml:space="preserve"> </w:t>
      </w:r>
      <w:r w:rsidR="00B72942" w:rsidRPr="12EC14AA">
        <w:rPr>
          <w:rStyle w:val="normaltextrun"/>
          <w:rFonts w:cs="Arial"/>
          <w:color w:val="242424"/>
        </w:rPr>
        <w:t>and June 30</w:t>
      </w:r>
      <w:r w:rsidR="000B232C" w:rsidRPr="12EC14AA">
        <w:rPr>
          <w:rStyle w:val="normaltextrun"/>
          <w:rFonts w:cs="Arial"/>
          <w:color w:val="242424"/>
        </w:rPr>
        <w:t>, 2023</w:t>
      </w:r>
      <w:r w:rsidR="007B631E" w:rsidRPr="12EC14AA">
        <w:rPr>
          <w:rStyle w:val="normaltextrun"/>
          <w:rFonts w:cs="Arial"/>
          <w:color w:val="242424"/>
        </w:rPr>
        <w:t>.</w:t>
      </w:r>
      <w:r w:rsidR="008F3383" w:rsidRPr="12EC14AA">
        <w:rPr>
          <w:rStyle w:val="normaltextrun"/>
          <w:rFonts w:cs="Arial"/>
          <w:color w:val="242424"/>
        </w:rPr>
        <w:t xml:space="preserve"> </w:t>
      </w:r>
      <w:r w:rsidR="006E1C3D" w:rsidRPr="12EC14AA">
        <w:rPr>
          <w:rStyle w:val="normaltextrun"/>
          <w:rFonts w:cs="Arial"/>
          <w:color w:val="242424"/>
        </w:rPr>
        <w:t>We sourced the</w:t>
      </w:r>
      <w:r w:rsidR="008F3383" w:rsidRPr="12EC14AA">
        <w:rPr>
          <w:rStyle w:val="normaltextrun"/>
          <w:rFonts w:cs="Arial"/>
          <w:color w:val="242424"/>
        </w:rPr>
        <w:t xml:space="preserve"> </w:t>
      </w:r>
      <w:r w:rsidR="00CF13BF" w:rsidRPr="12EC14AA">
        <w:rPr>
          <w:rStyle w:val="normaltextrun"/>
          <w:rFonts w:cs="Arial"/>
          <w:color w:val="242424"/>
        </w:rPr>
        <w:t>more recent</w:t>
      </w:r>
      <w:r w:rsidR="008F3383" w:rsidRPr="12EC14AA">
        <w:rPr>
          <w:rStyle w:val="normaltextrun"/>
          <w:rFonts w:cs="Arial"/>
          <w:color w:val="242424"/>
        </w:rPr>
        <w:t xml:space="preserve"> entries from </w:t>
      </w:r>
      <w:r w:rsidR="000B232C" w:rsidRPr="12EC14AA">
        <w:rPr>
          <w:rStyle w:val="normaltextrun"/>
          <w:rFonts w:cs="Arial"/>
          <w:color w:val="242424"/>
        </w:rPr>
        <w:t xml:space="preserve">the </w:t>
      </w:r>
      <w:r w:rsidR="00D11F2F">
        <w:rPr>
          <w:rStyle w:val="normaltextrun"/>
          <w:rFonts w:cs="Arial"/>
          <w:color w:val="242424"/>
        </w:rPr>
        <w:t>ACMA</w:t>
      </w:r>
      <w:r w:rsidR="00EA240D" w:rsidRPr="12EC14AA">
        <w:rPr>
          <w:rStyle w:val="normaltextrun"/>
          <w:rFonts w:cs="Arial"/>
          <w:color w:val="242424"/>
        </w:rPr>
        <w:t xml:space="preserve"> website </w:t>
      </w:r>
      <w:r w:rsidR="00FE7A33" w:rsidRPr="12EC14AA">
        <w:rPr>
          <w:rStyle w:val="normaltextrun"/>
          <w:rFonts w:cs="Arial"/>
          <w:color w:val="242424"/>
        </w:rPr>
        <w:t xml:space="preserve">‘Investigations into </w:t>
      </w:r>
      <w:r w:rsidR="008E296E">
        <w:rPr>
          <w:rStyle w:val="normaltextrun"/>
          <w:rFonts w:cs="Arial"/>
          <w:color w:val="242424"/>
        </w:rPr>
        <w:t>T</w:t>
      </w:r>
      <w:r w:rsidR="00FE7A33" w:rsidRPr="12EC14AA">
        <w:rPr>
          <w:rStyle w:val="normaltextrun"/>
          <w:rFonts w:cs="Arial"/>
          <w:color w:val="242424"/>
        </w:rPr>
        <w:t xml:space="preserve">elco </w:t>
      </w:r>
      <w:r w:rsidR="008E296E">
        <w:rPr>
          <w:rStyle w:val="normaltextrun"/>
          <w:rFonts w:cs="Arial"/>
          <w:color w:val="242424"/>
        </w:rPr>
        <w:t>P</w:t>
      </w:r>
      <w:r w:rsidR="00082D86" w:rsidRPr="12EC14AA">
        <w:rPr>
          <w:rStyle w:val="normaltextrun"/>
          <w:rFonts w:cs="Arial"/>
          <w:color w:val="242424"/>
        </w:rPr>
        <w:t>roviders’</w:t>
      </w:r>
      <w:r w:rsidR="00B45FB8">
        <w:rPr>
          <w:rStyle w:val="normaltextrun"/>
          <w:rFonts w:cs="Arial"/>
          <w:color w:val="242424"/>
        </w:rPr>
        <w:t>, noted above</w:t>
      </w:r>
      <w:r w:rsidR="008E296E">
        <w:rPr>
          <w:rStyle w:val="normaltextrun"/>
          <w:rFonts w:cs="Arial"/>
          <w:color w:val="242424"/>
        </w:rPr>
        <w:t>.</w:t>
      </w:r>
      <w:r w:rsidR="00B45FB8" w:rsidRPr="00B45FB8">
        <w:rPr>
          <w:rStyle w:val="normaltextrun"/>
          <w:rFonts w:cs="Arial"/>
          <w:color w:val="242424"/>
        </w:rPr>
        <w:t xml:space="preserve"> </w:t>
      </w:r>
      <w:r w:rsidR="00B45FB8" w:rsidRPr="12EC14AA">
        <w:rPr>
          <w:rStyle w:val="normaltextrun"/>
          <w:rFonts w:cs="Arial"/>
          <w:color w:val="242424"/>
        </w:rPr>
        <w:t xml:space="preserve">We chose 2010 as the starting point because </w:t>
      </w:r>
      <w:r w:rsidR="00B45FB8">
        <w:rPr>
          <w:rStyle w:val="normaltextrun"/>
          <w:rFonts w:cs="Arial"/>
          <w:color w:val="242424"/>
        </w:rPr>
        <w:t>the ACMA</w:t>
      </w:r>
      <w:r w:rsidR="00B45FB8" w:rsidRPr="12EC14AA">
        <w:rPr>
          <w:rStyle w:val="normaltextrun"/>
          <w:rFonts w:cs="Arial"/>
          <w:color w:val="242424"/>
        </w:rPr>
        <w:t xml:space="preserve"> publishes on its website a list of telecommunications investigations from that year</w:t>
      </w:r>
      <w:r w:rsidR="008E296E">
        <w:rPr>
          <w:rStyle w:val="normaltextrun"/>
          <w:rFonts w:cs="Arial"/>
          <w:color w:val="242424"/>
        </w:rPr>
        <w:t xml:space="preserve"> on</w:t>
      </w:r>
      <w:r w:rsidR="00FE7A33" w:rsidRPr="12EC14AA">
        <w:rPr>
          <w:rStyle w:val="normaltextrun"/>
          <w:rFonts w:cs="Arial"/>
          <w:color w:val="242424"/>
        </w:rPr>
        <w:t>.</w:t>
      </w:r>
      <w:r w:rsidR="00D84C1B">
        <w:rPr>
          <w:rStyle w:val="FootnoteReference"/>
          <w:rFonts w:cs="Arial"/>
          <w:color w:val="242424"/>
          <w:szCs w:val="21"/>
        </w:rPr>
        <w:footnoteReference w:id="260"/>
      </w:r>
      <w:r w:rsidR="007B631E" w:rsidRPr="12EC14AA">
        <w:rPr>
          <w:rStyle w:val="normaltextrun"/>
          <w:rFonts w:cs="Arial"/>
          <w:color w:val="242424"/>
        </w:rPr>
        <w:t xml:space="preserve"> </w:t>
      </w:r>
      <w:r w:rsidR="00EC7C67" w:rsidRPr="12EC14AA">
        <w:rPr>
          <w:rStyle w:val="normaltextrun"/>
          <w:rFonts w:cs="Arial"/>
          <w:color w:val="242424"/>
        </w:rPr>
        <w:t>T</w:t>
      </w:r>
      <w:r w:rsidR="00771830" w:rsidRPr="12EC14AA">
        <w:rPr>
          <w:rStyle w:val="normaltextrun"/>
          <w:rFonts w:cs="Arial"/>
          <w:color w:val="242424"/>
        </w:rPr>
        <w:t xml:space="preserve">he website only includes </w:t>
      </w:r>
      <w:r w:rsidR="00D766FE" w:rsidRPr="12EC14AA">
        <w:rPr>
          <w:rStyle w:val="normaltextrun"/>
          <w:rFonts w:cs="Arial"/>
          <w:color w:val="242424"/>
        </w:rPr>
        <w:t>information on the name of the</w:t>
      </w:r>
      <w:r w:rsidR="00EC7C67" w:rsidRPr="12EC14AA">
        <w:rPr>
          <w:rStyle w:val="normaltextrun"/>
          <w:rFonts w:cs="Arial"/>
          <w:color w:val="242424"/>
        </w:rPr>
        <w:t xml:space="preserve"> </w:t>
      </w:r>
      <w:r w:rsidR="00D766FE" w:rsidRPr="12EC14AA">
        <w:rPr>
          <w:rStyle w:val="normaltextrun"/>
          <w:rFonts w:cs="Arial"/>
          <w:color w:val="242424"/>
        </w:rPr>
        <w:t xml:space="preserve">service provider, the </w:t>
      </w:r>
      <w:r w:rsidR="00EC7C67" w:rsidRPr="12EC14AA">
        <w:rPr>
          <w:rStyle w:val="normaltextrun"/>
          <w:rFonts w:cs="Arial"/>
          <w:color w:val="242424"/>
        </w:rPr>
        <w:t>provisions breached, and (in all but 60 matters) the month and year that the investigation report was published</w:t>
      </w:r>
      <w:r w:rsidR="00C52999" w:rsidRPr="12EC14AA">
        <w:rPr>
          <w:rStyle w:val="normaltextrun"/>
          <w:rFonts w:cs="Arial"/>
          <w:color w:val="242424"/>
        </w:rPr>
        <w:t>. As th</w:t>
      </w:r>
      <w:r w:rsidR="004E5CDD">
        <w:rPr>
          <w:rStyle w:val="normaltextrun"/>
          <w:rFonts w:cs="Arial"/>
          <w:color w:val="242424"/>
        </w:rPr>
        <w:t>e</w:t>
      </w:r>
      <w:r w:rsidR="00C52999" w:rsidRPr="12EC14AA">
        <w:rPr>
          <w:rStyle w:val="normaltextrun"/>
          <w:rFonts w:cs="Arial"/>
          <w:color w:val="242424"/>
        </w:rPr>
        <w:t xml:space="preserve"> page </w:t>
      </w:r>
      <w:r w:rsidR="004E5CDD">
        <w:rPr>
          <w:rStyle w:val="normaltextrun"/>
          <w:rFonts w:cs="Arial"/>
          <w:color w:val="242424"/>
        </w:rPr>
        <w:t xml:space="preserve">for the older matters </w:t>
      </w:r>
      <w:r w:rsidR="00EC7C67" w:rsidRPr="12EC14AA">
        <w:rPr>
          <w:rStyle w:val="normaltextrun"/>
          <w:rFonts w:cs="Arial"/>
          <w:color w:val="242424"/>
        </w:rPr>
        <w:t xml:space="preserve">does not </w:t>
      </w:r>
      <w:r w:rsidR="00C52999" w:rsidRPr="12EC14AA">
        <w:rPr>
          <w:rStyle w:val="normaltextrun"/>
          <w:rFonts w:cs="Arial"/>
          <w:color w:val="242424"/>
        </w:rPr>
        <w:t>link to a copy of the investigation report o</w:t>
      </w:r>
      <w:r w:rsidR="00EE0EDB" w:rsidRPr="12EC14AA">
        <w:rPr>
          <w:rStyle w:val="normaltextrun"/>
          <w:rFonts w:cs="Arial"/>
          <w:color w:val="242424"/>
        </w:rPr>
        <w:t>r</w:t>
      </w:r>
      <w:r w:rsidR="00C52999" w:rsidRPr="12EC14AA">
        <w:rPr>
          <w:rStyle w:val="normaltextrun"/>
          <w:rFonts w:cs="Arial"/>
          <w:color w:val="242424"/>
        </w:rPr>
        <w:t xml:space="preserve"> the enforcement outcome,</w:t>
      </w:r>
      <w:r w:rsidR="00EE0EDB" w:rsidRPr="12EC14AA">
        <w:rPr>
          <w:rStyle w:val="normaltextrun"/>
          <w:rFonts w:cs="Arial"/>
          <w:color w:val="242424"/>
        </w:rPr>
        <w:t xml:space="preserve"> we</w:t>
      </w:r>
      <w:r w:rsidR="00EC7C67" w:rsidRPr="12EC14AA">
        <w:rPr>
          <w:rStyle w:val="normaltextrun"/>
          <w:rFonts w:cs="Arial"/>
          <w:color w:val="242424"/>
        </w:rPr>
        <w:t xml:space="preserve"> </w:t>
      </w:r>
      <w:r w:rsidR="00EE0EDB" w:rsidRPr="12EC14AA">
        <w:rPr>
          <w:rStyle w:val="normaltextrun"/>
          <w:rFonts w:cs="Arial"/>
          <w:color w:val="242424"/>
        </w:rPr>
        <w:t xml:space="preserve">then </w:t>
      </w:r>
      <w:r w:rsidR="00B30266" w:rsidRPr="12EC14AA">
        <w:rPr>
          <w:rStyle w:val="normaltextrun"/>
          <w:rFonts w:cs="Arial"/>
          <w:color w:val="242424"/>
        </w:rPr>
        <w:t>search</w:t>
      </w:r>
      <w:r w:rsidR="00EE0EDB" w:rsidRPr="12EC14AA">
        <w:rPr>
          <w:rStyle w:val="normaltextrun"/>
          <w:rFonts w:cs="Arial"/>
          <w:color w:val="242424"/>
        </w:rPr>
        <w:t>ed</w:t>
      </w:r>
      <w:r w:rsidR="00B30266" w:rsidRPr="12EC14AA">
        <w:rPr>
          <w:rStyle w:val="normaltextrun"/>
          <w:rFonts w:cs="Arial"/>
          <w:color w:val="242424"/>
        </w:rPr>
        <w:t xml:space="preserve"> </w:t>
      </w:r>
      <w:r w:rsidR="00D11F2F">
        <w:rPr>
          <w:rStyle w:val="normaltextrun"/>
          <w:rFonts w:cs="Arial"/>
          <w:color w:val="242424"/>
        </w:rPr>
        <w:t>the ACMA</w:t>
      </w:r>
      <w:r w:rsidR="007B631E" w:rsidRPr="12EC14AA">
        <w:rPr>
          <w:rStyle w:val="normaltextrun"/>
          <w:rFonts w:cs="Arial"/>
          <w:color w:val="242424"/>
        </w:rPr>
        <w:t>’</w:t>
      </w:r>
      <w:r w:rsidR="00A14ACB" w:rsidRPr="12EC14AA">
        <w:rPr>
          <w:rStyle w:val="normaltextrun"/>
          <w:rFonts w:cs="Arial"/>
          <w:color w:val="242424"/>
        </w:rPr>
        <w:t xml:space="preserve">s Annual Reports </w:t>
      </w:r>
      <w:r w:rsidR="00B30266" w:rsidRPr="12EC14AA">
        <w:rPr>
          <w:rStyle w:val="normaltextrun"/>
          <w:rFonts w:cs="Arial"/>
          <w:color w:val="242424"/>
        </w:rPr>
        <w:t>(</w:t>
      </w:r>
      <w:r w:rsidR="00A14ACB" w:rsidRPr="12EC14AA">
        <w:rPr>
          <w:rStyle w:val="normaltextrun"/>
          <w:rFonts w:cs="Arial"/>
          <w:color w:val="242424"/>
        </w:rPr>
        <w:t xml:space="preserve">2009-10 to 2016-17 inclusive). </w:t>
      </w:r>
      <w:r w:rsidR="00084C76" w:rsidRPr="12EC14AA">
        <w:rPr>
          <w:rStyle w:val="normaltextrun"/>
          <w:rFonts w:cs="Arial"/>
          <w:color w:val="242424"/>
        </w:rPr>
        <w:t>Information</w:t>
      </w:r>
      <w:r w:rsidR="003342BF" w:rsidRPr="12EC14AA">
        <w:rPr>
          <w:rStyle w:val="normaltextrun"/>
          <w:rFonts w:cs="Arial"/>
          <w:color w:val="242424"/>
        </w:rPr>
        <w:t xml:space="preserve"> from the</w:t>
      </w:r>
      <w:r w:rsidR="00084C76" w:rsidRPr="12EC14AA">
        <w:rPr>
          <w:rStyle w:val="normaltextrun"/>
          <w:rFonts w:cs="Arial"/>
          <w:color w:val="242424"/>
        </w:rPr>
        <w:t xml:space="preserve"> </w:t>
      </w:r>
      <w:r w:rsidR="003342BF" w:rsidRPr="12EC14AA">
        <w:rPr>
          <w:rStyle w:val="normaltextrun"/>
          <w:rFonts w:cs="Arial"/>
          <w:color w:val="242424"/>
        </w:rPr>
        <w:t xml:space="preserve">Annual </w:t>
      </w:r>
      <w:r w:rsidR="00084C76" w:rsidRPr="12EC14AA">
        <w:rPr>
          <w:rStyle w:val="normaltextrun"/>
          <w:rFonts w:cs="Arial"/>
          <w:color w:val="242424"/>
        </w:rPr>
        <w:t>Reports</w:t>
      </w:r>
      <w:r w:rsidR="003342BF" w:rsidRPr="12EC14AA">
        <w:rPr>
          <w:rStyle w:val="normaltextrun"/>
          <w:rFonts w:cs="Arial"/>
          <w:color w:val="242424"/>
        </w:rPr>
        <w:t xml:space="preserve"> was</w:t>
      </w:r>
      <w:r w:rsidR="00A14ACB" w:rsidRPr="12EC14AA">
        <w:rPr>
          <w:rStyle w:val="normaltextrun"/>
          <w:rFonts w:cs="Arial"/>
          <w:color w:val="242424"/>
        </w:rPr>
        <w:t xml:space="preserve"> cross-checked with the information published on the </w:t>
      </w:r>
      <w:r w:rsidR="00D11F2F">
        <w:rPr>
          <w:rStyle w:val="normaltextrun"/>
          <w:rFonts w:cs="Arial"/>
          <w:color w:val="242424"/>
        </w:rPr>
        <w:t>ACMA</w:t>
      </w:r>
      <w:r w:rsidR="00A14ACB" w:rsidRPr="12EC14AA">
        <w:rPr>
          <w:rStyle w:val="normaltextrun"/>
          <w:rFonts w:cs="Arial"/>
          <w:color w:val="242424"/>
        </w:rPr>
        <w:t xml:space="preserve"> website.</w:t>
      </w:r>
      <w:r w:rsidR="00A14ACB" w:rsidRPr="12EC14AA">
        <w:rPr>
          <w:rStyle w:val="eop"/>
          <w:rFonts w:cs="Arial"/>
          <w:color w:val="242424"/>
        </w:rPr>
        <w:t> </w:t>
      </w:r>
      <w:r w:rsidR="00A14ACB" w:rsidRPr="12EC14AA">
        <w:rPr>
          <w:rStyle w:val="normaltextrun"/>
          <w:rFonts w:cs="Arial"/>
          <w:color w:val="242424"/>
        </w:rPr>
        <w:t xml:space="preserve">In some instances, </w:t>
      </w:r>
      <w:r w:rsidR="00B30266" w:rsidRPr="12EC14AA">
        <w:rPr>
          <w:rStyle w:val="normaltextrun"/>
          <w:rFonts w:cs="Arial"/>
          <w:color w:val="242424"/>
        </w:rPr>
        <w:t xml:space="preserve">the Annual Reports and the </w:t>
      </w:r>
      <w:r w:rsidR="00D11F2F">
        <w:rPr>
          <w:rStyle w:val="normaltextrun"/>
          <w:rFonts w:cs="Arial"/>
          <w:color w:val="242424"/>
        </w:rPr>
        <w:t>ACMA</w:t>
      </w:r>
      <w:r w:rsidR="00B30266" w:rsidRPr="12EC14AA">
        <w:rPr>
          <w:rStyle w:val="normaltextrun"/>
          <w:rFonts w:cs="Arial"/>
          <w:color w:val="242424"/>
        </w:rPr>
        <w:t xml:space="preserve"> </w:t>
      </w:r>
      <w:r w:rsidR="00A51062" w:rsidRPr="12EC14AA">
        <w:rPr>
          <w:rStyle w:val="normaltextrun"/>
          <w:rFonts w:cs="Arial"/>
          <w:color w:val="242424"/>
        </w:rPr>
        <w:t>w</w:t>
      </w:r>
      <w:r w:rsidR="00B30266" w:rsidRPr="12EC14AA">
        <w:rPr>
          <w:rStyle w:val="normaltextrun"/>
          <w:rFonts w:cs="Arial"/>
          <w:color w:val="242424"/>
        </w:rPr>
        <w:t xml:space="preserve">eb </w:t>
      </w:r>
      <w:r w:rsidR="00A51062" w:rsidRPr="12EC14AA">
        <w:rPr>
          <w:rStyle w:val="normaltextrun"/>
          <w:rFonts w:cs="Arial"/>
          <w:color w:val="242424"/>
        </w:rPr>
        <w:t>p</w:t>
      </w:r>
      <w:r w:rsidR="00B30266" w:rsidRPr="12EC14AA">
        <w:rPr>
          <w:rStyle w:val="normaltextrun"/>
          <w:rFonts w:cs="Arial"/>
          <w:color w:val="242424"/>
        </w:rPr>
        <w:t xml:space="preserve">age </w:t>
      </w:r>
      <w:r w:rsidR="00A14ACB" w:rsidRPr="12EC14AA">
        <w:rPr>
          <w:rStyle w:val="normaltextrun"/>
          <w:rFonts w:cs="Arial"/>
          <w:color w:val="242424"/>
        </w:rPr>
        <w:t xml:space="preserve">omitted information such as the provision breached. </w:t>
      </w:r>
      <w:r w:rsidR="00B30266" w:rsidRPr="12EC14AA">
        <w:rPr>
          <w:rStyle w:val="normaltextrun"/>
          <w:rFonts w:cs="Arial"/>
          <w:color w:val="242424"/>
        </w:rPr>
        <w:t>O</w:t>
      </w:r>
      <w:r w:rsidR="00A14ACB" w:rsidRPr="12EC14AA">
        <w:rPr>
          <w:rStyle w:val="normaltextrun"/>
          <w:rFonts w:cs="Arial"/>
          <w:color w:val="242424"/>
        </w:rPr>
        <w:t xml:space="preserve">ften </w:t>
      </w:r>
      <w:r w:rsidR="00B30266" w:rsidRPr="12EC14AA">
        <w:rPr>
          <w:rStyle w:val="normaltextrun"/>
          <w:rFonts w:cs="Arial"/>
          <w:color w:val="242424"/>
        </w:rPr>
        <w:t xml:space="preserve">this missing information </w:t>
      </w:r>
      <w:r w:rsidR="00A14ACB" w:rsidRPr="12EC14AA">
        <w:rPr>
          <w:rStyle w:val="normaltextrun"/>
          <w:rFonts w:cs="Arial"/>
          <w:color w:val="242424"/>
        </w:rPr>
        <w:t xml:space="preserve">related to breaches of the TCP </w:t>
      </w:r>
      <w:r w:rsidR="00FD4A61" w:rsidRPr="12EC14AA">
        <w:rPr>
          <w:rStyle w:val="normaltextrun"/>
          <w:rFonts w:cs="Arial"/>
          <w:color w:val="242424"/>
        </w:rPr>
        <w:t>C</w:t>
      </w:r>
      <w:r w:rsidR="00A14ACB" w:rsidRPr="12EC14AA">
        <w:rPr>
          <w:rStyle w:val="normaltextrun"/>
          <w:rFonts w:cs="Arial"/>
          <w:color w:val="242424"/>
        </w:rPr>
        <w:t xml:space="preserve">ode. In these instances, the breached provision was deduced from the </w:t>
      </w:r>
      <w:r w:rsidR="00B30266" w:rsidRPr="12EC14AA">
        <w:rPr>
          <w:rStyle w:val="normaltextrun"/>
          <w:rFonts w:cs="Arial"/>
          <w:color w:val="242424"/>
        </w:rPr>
        <w:t xml:space="preserve">date </w:t>
      </w:r>
      <w:r w:rsidR="00A14ACB" w:rsidRPr="12EC14AA">
        <w:rPr>
          <w:rStyle w:val="normaltextrun"/>
          <w:rFonts w:cs="Arial"/>
          <w:color w:val="242424"/>
        </w:rPr>
        <w:t xml:space="preserve">of the breach and the description of the breach. For instance, where the breach was listed as a </w:t>
      </w:r>
      <w:r w:rsidR="00FD4A61" w:rsidRPr="12EC14AA">
        <w:rPr>
          <w:rStyle w:val="normaltextrun"/>
          <w:rFonts w:cs="Arial"/>
          <w:color w:val="242424"/>
        </w:rPr>
        <w:t>‘</w:t>
      </w:r>
      <w:r w:rsidR="00A14ACB" w:rsidRPr="12EC14AA">
        <w:rPr>
          <w:rStyle w:val="normaltextrun"/>
          <w:rFonts w:cs="Arial"/>
          <w:color w:val="242424"/>
        </w:rPr>
        <w:t>failure to submit compliance statements to code compliance</w:t>
      </w:r>
      <w:r w:rsidR="00FD4A61" w:rsidRPr="12EC14AA">
        <w:rPr>
          <w:rStyle w:val="normaltextrun"/>
          <w:rFonts w:cs="Arial"/>
          <w:color w:val="242424"/>
        </w:rPr>
        <w:t>’</w:t>
      </w:r>
      <w:r w:rsidR="00A14ACB" w:rsidRPr="12EC14AA">
        <w:rPr>
          <w:rStyle w:val="normaltextrun"/>
          <w:rFonts w:cs="Arial"/>
          <w:color w:val="242424"/>
        </w:rPr>
        <w:t xml:space="preserve"> in 2016, clause 9.4 was identified as the relevant clause based on an examination of the TCP </w:t>
      </w:r>
      <w:r w:rsidR="00D1238A" w:rsidRPr="12EC14AA">
        <w:rPr>
          <w:rStyle w:val="normaltextrun"/>
          <w:rFonts w:cs="Arial"/>
          <w:color w:val="242424"/>
        </w:rPr>
        <w:t>C</w:t>
      </w:r>
      <w:r w:rsidR="00A14ACB" w:rsidRPr="12EC14AA">
        <w:rPr>
          <w:rStyle w:val="normaltextrun"/>
          <w:rFonts w:cs="Arial"/>
          <w:color w:val="242424"/>
        </w:rPr>
        <w:t>ode that was registered at the time. </w:t>
      </w:r>
      <w:r w:rsidR="00DA3B7A" w:rsidRPr="12EC14AA">
        <w:rPr>
          <w:rStyle w:val="eop"/>
          <w:rFonts w:cs="Arial"/>
          <w:color w:val="242424"/>
        </w:rPr>
        <w:t xml:space="preserve">We also drew on our own research data concerning the enforcement of the TCP Code to provide a more detailed summary of the provisions breached. </w:t>
      </w:r>
      <w:r w:rsidR="0093105C" w:rsidRPr="12EC14AA">
        <w:rPr>
          <w:rStyle w:val="normaltextrun"/>
          <w:rFonts w:cs="Arial"/>
          <w:color w:val="242424"/>
        </w:rPr>
        <w:t>Finally, we added information on the amount of civil penalties and a ‘deed of agreement’ which had been used on one occasion. </w:t>
      </w:r>
      <w:r w:rsidR="00DA3B7A" w:rsidRPr="12EC14AA">
        <w:rPr>
          <w:rStyle w:val="eop"/>
          <w:rFonts w:cs="Arial"/>
          <w:color w:val="242424"/>
        </w:rPr>
        <w:t> </w:t>
      </w:r>
    </w:p>
    <w:p w14:paraId="211D479E" w14:textId="4C6B34BE" w:rsidR="00A14ACB" w:rsidRPr="00FC222F" w:rsidRDefault="0038085D" w:rsidP="00FC222F">
      <w:pPr>
        <w:rPr>
          <w:rFonts w:cs="Arial"/>
          <w:color w:val="242424"/>
          <w:szCs w:val="21"/>
        </w:rPr>
      </w:pPr>
      <w:r w:rsidRPr="00FC222F">
        <w:rPr>
          <w:rStyle w:val="eop"/>
          <w:rFonts w:cs="Arial"/>
          <w:color w:val="242424"/>
          <w:szCs w:val="21"/>
        </w:rPr>
        <w:t xml:space="preserve">We also identified a few discrepancies between </w:t>
      </w:r>
      <w:r w:rsidR="00D11F2F">
        <w:rPr>
          <w:rStyle w:val="eop"/>
          <w:rFonts w:cs="Arial"/>
          <w:color w:val="242424"/>
          <w:szCs w:val="21"/>
        </w:rPr>
        <w:t>the ACMA</w:t>
      </w:r>
      <w:r w:rsidRPr="00FC222F">
        <w:rPr>
          <w:rStyle w:val="eop"/>
          <w:rFonts w:cs="Arial"/>
          <w:color w:val="242424"/>
          <w:szCs w:val="21"/>
        </w:rPr>
        <w:t xml:space="preserve">’s </w:t>
      </w:r>
      <w:r w:rsidR="002D53FB" w:rsidRPr="00FC222F">
        <w:rPr>
          <w:rStyle w:val="eop"/>
          <w:rFonts w:cs="Arial"/>
          <w:color w:val="242424"/>
          <w:szCs w:val="21"/>
        </w:rPr>
        <w:t>A</w:t>
      </w:r>
      <w:r w:rsidRPr="00FC222F">
        <w:rPr>
          <w:rStyle w:val="eop"/>
          <w:rFonts w:cs="Arial"/>
          <w:color w:val="242424"/>
          <w:szCs w:val="21"/>
        </w:rPr>
        <w:t xml:space="preserve">nnual </w:t>
      </w:r>
      <w:r w:rsidR="002D53FB" w:rsidRPr="00FC222F">
        <w:rPr>
          <w:rStyle w:val="eop"/>
          <w:rFonts w:cs="Arial"/>
          <w:color w:val="242424"/>
          <w:szCs w:val="21"/>
        </w:rPr>
        <w:t>R</w:t>
      </w:r>
      <w:r w:rsidRPr="00FC222F">
        <w:rPr>
          <w:rStyle w:val="eop"/>
          <w:rFonts w:cs="Arial"/>
          <w:color w:val="242424"/>
          <w:szCs w:val="21"/>
        </w:rPr>
        <w:t xml:space="preserve">eports and breaches for those periods on </w:t>
      </w:r>
      <w:r w:rsidR="00D11F2F">
        <w:rPr>
          <w:rStyle w:val="eop"/>
          <w:rFonts w:cs="Arial"/>
          <w:color w:val="242424"/>
          <w:szCs w:val="21"/>
        </w:rPr>
        <w:t>the ACMA</w:t>
      </w:r>
      <w:r w:rsidRPr="00FC222F">
        <w:rPr>
          <w:rStyle w:val="eop"/>
          <w:rFonts w:cs="Arial"/>
          <w:color w:val="242424"/>
          <w:szCs w:val="21"/>
        </w:rPr>
        <w:t xml:space="preserve">’s website. These mostly related to statements in </w:t>
      </w:r>
      <w:r w:rsidR="004E32D4" w:rsidRPr="00FC222F">
        <w:rPr>
          <w:rStyle w:val="eop"/>
          <w:rFonts w:cs="Arial"/>
          <w:color w:val="242424"/>
          <w:szCs w:val="21"/>
        </w:rPr>
        <w:t>A</w:t>
      </w:r>
      <w:r w:rsidRPr="00FC222F">
        <w:rPr>
          <w:rStyle w:val="eop"/>
          <w:rFonts w:cs="Arial"/>
          <w:color w:val="242424"/>
          <w:szCs w:val="21"/>
        </w:rPr>
        <w:t xml:space="preserve">nnual </w:t>
      </w:r>
      <w:r w:rsidR="004E32D4" w:rsidRPr="00FC222F">
        <w:rPr>
          <w:rStyle w:val="eop"/>
          <w:rFonts w:cs="Arial"/>
          <w:color w:val="242424"/>
          <w:szCs w:val="21"/>
        </w:rPr>
        <w:t>R</w:t>
      </w:r>
      <w:r w:rsidRPr="00FC222F">
        <w:rPr>
          <w:rStyle w:val="eop"/>
          <w:rFonts w:cs="Arial"/>
          <w:color w:val="242424"/>
          <w:szCs w:val="21"/>
        </w:rPr>
        <w:t xml:space="preserve">eports indicating breaches occurred, but the names of relevant service providers were not identified, or the type of enforcement action taken was not specified. When gaps in the </w:t>
      </w:r>
      <w:r w:rsidR="004E32D4" w:rsidRPr="00FC222F">
        <w:rPr>
          <w:rStyle w:val="eop"/>
          <w:rFonts w:cs="Arial"/>
          <w:color w:val="242424"/>
          <w:szCs w:val="21"/>
        </w:rPr>
        <w:t>A</w:t>
      </w:r>
      <w:r w:rsidRPr="00FC222F">
        <w:rPr>
          <w:rStyle w:val="eop"/>
          <w:rFonts w:cs="Arial"/>
          <w:color w:val="242424"/>
          <w:szCs w:val="21"/>
        </w:rPr>
        <w:t xml:space="preserve">nnual </w:t>
      </w:r>
      <w:r w:rsidR="004E32D4" w:rsidRPr="00FC222F">
        <w:rPr>
          <w:rStyle w:val="eop"/>
          <w:rFonts w:cs="Arial"/>
          <w:color w:val="242424"/>
          <w:szCs w:val="21"/>
        </w:rPr>
        <w:t>R</w:t>
      </w:r>
      <w:r w:rsidRPr="00FC222F">
        <w:rPr>
          <w:rStyle w:val="eop"/>
          <w:rFonts w:cs="Arial"/>
          <w:color w:val="242424"/>
          <w:szCs w:val="21"/>
        </w:rPr>
        <w:t xml:space="preserve">eports arose, we first cross-referenced the breaches for those periods on the </w:t>
      </w:r>
      <w:r w:rsidR="00D11F2F">
        <w:rPr>
          <w:rStyle w:val="eop"/>
          <w:rFonts w:cs="Arial"/>
          <w:color w:val="242424"/>
          <w:szCs w:val="21"/>
        </w:rPr>
        <w:t>ACMA</w:t>
      </w:r>
      <w:r w:rsidRPr="00FC222F">
        <w:rPr>
          <w:rStyle w:val="eop"/>
          <w:rFonts w:cs="Arial"/>
          <w:color w:val="242424"/>
          <w:szCs w:val="21"/>
        </w:rPr>
        <w:t xml:space="preserve">’s website. If no matches could be identified or no enforcement action could be discerned, other materials, such </w:t>
      </w:r>
      <w:r w:rsidRPr="00FC222F">
        <w:rPr>
          <w:rStyle w:val="eop"/>
          <w:rFonts w:cs="Arial"/>
          <w:color w:val="242424"/>
          <w:szCs w:val="21"/>
        </w:rPr>
        <w:lastRenderedPageBreak/>
        <w:t xml:space="preserve">as </w:t>
      </w:r>
      <w:r w:rsidR="00FF6B53">
        <w:rPr>
          <w:rStyle w:val="eop"/>
          <w:rFonts w:cs="Arial"/>
          <w:color w:val="242424"/>
          <w:szCs w:val="21"/>
        </w:rPr>
        <w:t xml:space="preserve">other </w:t>
      </w:r>
      <w:r w:rsidR="00D11F2F">
        <w:rPr>
          <w:rStyle w:val="eop"/>
          <w:rFonts w:cs="Arial"/>
          <w:color w:val="242424"/>
          <w:szCs w:val="21"/>
        </w:rPr>
        <w:t>the ACMA</w:t>
      </w:r>
      <w:r w:rsidR="00FF6B53">
        <w:rPr>
          <w:rStyle w:val="eop"/>
          <w:rFonts w:cs="Arial"/>
          <w:color w:val="242424"/>
          <w:szCs w:val="21"/>
        </w:rPr>
        <w:t xml:space="preserve"> publications (eg, its Communications Report series, bulletins and media releases) as well as </w:t>
      </w:r>
      <w:r w:rsidRPr="00FC222F">
        <w:rPr>
          <w:rStyle w:val="eop"/>
          <w:rFonts w:cs="Arial"/>
          <w:color w:val="242424"/>
          <w:szCs w:val="21"/>
        </w:rPr>
        <w:t xml:space="preserve">news reports </w:t>
      </w:r>
      <w:r w:rsidR="00FF6B53">
        <w:rPr>
          <w:rStyle w:val="eop"/>
          <w:rFonts w:cs="Arial"/>
          <w:color w:val="242424"/>
          <w:szCs w:val="21"/>
        </w:rPr>
        <w:t>and</w:t>
      </w:r>
      <w:r w:rsidRPr="00FC222F">
        <w:rPr>
          <w:rStyle w:val="eop"/>
          <w:rFonts w:cs="Arial"/>
          <w:color w:val="242424"/>
          <w:szCs w:val="21"/>
        </w:rPr>
        <w:t xml:space="preserve"> academic journal articles, were searched for any references. </w:t>
      </w:r>
      <w:r w:rsidR="00973FF2">
        <w:rPr>
          <w:rStyle w:val="eop"/>
          <w:rFonts w:cs="Arial"/>
          <w:color w:val="242424"/>
          <w:szCs w:val="21"/>
        </w:rPr>
        <w:t xml:space="preserve">As </w:t>
      </w:r>
      <w:r w:rsidR="00D11F2F">
        <w:rPr>
          <w:rStyle w:val="eop"/>
          <w:rFonts w:cs="Arial"/>
          <w:color w:val="242424"/>
          <w:szCs w:val="21"/>
        </w:rPr>
        <w:t>the ACMA</w:t>
      </w:r>
      <w:r w:rsidR="00973FF2">
        <w:rPr>
          <w:rStyle w:val="eop"/>
          <w:rFonts w:cs="Arial"/>
          <w:color w:val="242424"/>
          <w:szCs w:val="21"/>
        </w:rPr>
        <w:t xml:space="preserve"> no longer publishes its investigations reports </w:t>
      </w:r>
      <w:r w:rsidR="00810A72">
        <w:rPr>
          <w:rStyle w:val="eop"/>
          <w:rFonts w:cs="Arial"/>
          <w:color w:val="242424"/>
          <w:szCs w:val="21"/>
        </w:rPr>
        <w:t>and related</w:t>
      </w:r>
      <w:r w:rsidR="00CB6624">
        <w:rPr>
          <w:rStyle w:val="eop"/>
          <w:rFonts w:cs="Arial"/>
          <w:color w:val="242424"/>
          <w:szCs w:val="21"/>
        </w:rPr>
        <w:t xml:space="preserve"> enforcement actions </w:t>
      </w:r>
      <w:r w:rsidR="00563DA5">
        <w:rPr>
          <w:rStyle w:val="eop"/>
          <w:rFonts w:cs="Arial"/>
          <w:color w:val="242424"/>
          <w:szCs w:val="21"/>
        </w:rPr>
        <w:t>prior to 2017</w:t>
      </w:r>
      <w:r w:rsidR="00810A72">
        <w:rPr>
          <w:rStyle w:val="eop"/>
          <w:rFonts w:cs="Arial"/>
          <w:color w:val="242424"/>
          <w:szCs w:val="21"/>
        </w:rPr>
        <w:t xml:space="preserve">, we relied in part on copies of the </w:t>
      </w:r>
      <w:r w:rsidR="00D11F2F">
        <w:rPr>
          <w:rStyle w:val="eop"/>
          <w:rFonts w:cs="Arial"/>
          <w:color w:val="242424"/>
          <w:szCs w:val="21"/>
        </w:rPr>
        <w:t>ACMA</w:t>
      </w:r>
      <w:r w:rsidR="00810A72">
        <w:rPr>
          <w:rStyle w:val="eop"/>
          <w:rFonts w:cs="Arial"/>
          <w:color w:val="242424"/>
          <w:szCs w:val="21"/>
        </w:rPr>
        <w:t xml:space="preserve"> website that have been archived </w:t>
      </w:r>
      <w:r w:rsidR="00122F50">
        <w:rPr>
          <w:rStyle w:val="eop"/>
          <w:rFonts w:cs="Arial"/>
          <w:color w:val="242424"/>
          <w:szCs w:val="21"/>
        </w:rPr>
        <w:t xml:space="preserve">by the National Library of Australia on Trove and/or </w:t>
      </w:r>
      <w:r w:rsidR="00810A72">
        <w:rPr>
          <w:rStyle w:val="eop"/>
          <w:rFonts w:cs="Arial"/>
          <w:color w:val="242424"/>
          <w:szCs w:val="21"/>
        </w:rPr>
        <w:t>by the WayBack Machine.</w:t>
      </w:r>
      <w:r w:rsidR="00563DA5">
        <w:rPr>
          <w:rStyle w:val="eop"/>
          <w:rFonts w:cs="Arial"/>
          <w:color w:val="242424"/>
          <w:szCs w:val="21"/>
        </w:rPr>
        <w:t xml:space="preserve"> </w:t>
      </w:r>
      <w:r w:rsidRPr="00FC222F">
        <w:rPr>
          <w:rStyle w:val="eop"/>
          <w:rFonts w:cs="Arial"/>
          <w:color w:val="242424"/>
          <w:szCs w:val="21"/>
        </w:rPr>
        <w:t xml:space="preserve"> In</w:t>
      </w:r>
      <w:r w:rsidR="005B2C4F">
        <w:rPr>
          <w:rStyle w:val="eop"/>
          <w:rFonts w:cs="Arial"/>
          <w:color w:val="242424"/>
          <w:szCs w:val="21"/>
        </w:rPr>
        <w:t xml:space="preserve"> the one</w:t>
      </w:r>
      <w:r w:rsidRPr="00FC222F">
        <w:rPr>
          <w:rStyle w:val="eop"/>
          <w:rFonts w:cs="Arial"/>
          <w:color w:val="242424"/>
          <w:szCs w:val="21"/>
        </w:rPr>
        <w:t xml:space="preserve"> instance where further investigation was unable to clarify the service provider, the entry was included in the data with the service provider as ‘Unknown’. </w:t>
      </w:r>
      <w:r w:rsidR="000D79E5">
        <w:rPr>
          <w:rStyle w:val="eop"/>
          <w:rFonts w:cs="Arial"/>
          <w:color w:val="242424"/>
          <w:szCs w:val="21"/>
        </w:rPr>
        <w:t>This</w:t>
      </w:r>
      <w:r w:rsidR="000D79E5" w:rsidRPr="00FC222F">
        <w:rPr>
          <w:rStyle w:val="eop"/>
          <w:rFonts w:cs="Arial"/>
          <w:color w:val="242424"/>
          <w:szCs w:val="21"/>
        </w:rPr>
        <w:t xml:space="preserve"> </w:t>
      </w:r>
      <w:r w:rsidRPr="00FC222F">
        <w:rPr>
          <w:rStyle w:val="eop"/>
          <w:rFonts w:cs="Arial"/>
          <w:color w:val="242424"/>
          <w:szCs w:val="21"/>
        </w:rPr>
        <w:t>entr</w:t>
      </w:r>
      <w:r w:rsidR="000D79E5">
        <w:rPr>
          <w:rStyle w:val="eop"/>
          <w:rFonts w:cs="Arial"/>
          <w:color w:val="242424"/>
          <w:szCs w:val="21"/>
        </w:rPr>
        <w:t>y</w:t>
      </w:r>
      <w:r w:rsidRPr="00FC222F">
        <w:rPr>
          <w:rStyle w:val="eop"/>
          <w:rFonts w:cs="Arial"/>
          <w:color w:val="242424"/>
          <w:szCs w:val="21"/>
        </w:rPr>
        <w:t xml:space="preserve"> </w:t>
      </w:r>
      <w:r w:rsidR="000D79E5">
        <w:rPr>
          <w:rStyle w:val="eop"/>
          <w:rFonts w:cs="Arial"/>
          <w:color w:val="242424"/>
          <w:szCs w:val="21"/>
        </w:rPr>
        <w:t>is</w:t>
      </w:r>
      <w:r w:rsidR="000D79E5" w:rsidRPr="00FC222F">
        <w:rPr>
          <w:rStyle w:val="eop"/>
          <w:rFonts w:cs="Arial"/>
          <w:color w:val="242424"/>
          <w:szCs w:val="21"/>
        </w:rPr>
        <w:t xml:space="preserve"> </w:t>
      </w:r>
      <w:r w:rsidRPr="00FC222F">
        <w:rPr>
          <w:rStyle w:val="eop"/>
          <w:rFonts w:cs="Arial"/>
          <w:color w:val="242424"/>
          <w:szCs w:val="21"/>
        </w:rPr>
        <w:t xml:space="preserve">included in enforcement action tallies but </w:t>
      </w:r>
      <w:r w:rsidR="000D79E5">
        <w:rPr>
          <w:rStyle w:val="eop"/>
          <w:rFonts w:cs="Arial"/>
          <w:color w:val="242424"/>
          <w:szCs w:val="21"/>
        </w:rPr>
        <w:t>has</w:t>
      </w:r>
      <w:r w:rsidR="000D79E5" w:rsidRPr="00FC222F">
        <w:rPr>
          <w:rStyle w:val="eop"/>
          <w:rFonts w:cs="Arial"/>
          <w:color w:val="242424"/>
          <w:szCs w:val="21"/>
        </w:rPr>
        <w:t xml:space="preserve"> </w:t>
      </w:r>
      <w:r w:rsidRPr="00FC222F">
        <w:rPr>
          <w:rStyle w:val="eop"/>
          <w:rFonts w:cs="Arial"/>
          <w:color w:val="242424"/>
          <w:szCs w:val="21"/>
        </w:rPr>
        <w:t xml:space="preserve">been excluded in our count of total service providers investigated as it </w:t>
      </w:r>
      <w:r w:rsidR="004E32D4" w:rsidRPr="00FC222F">
        <w:rPr>
          <w:rStyle w:val="eop"/>
          <w:rFonts w:cs="Arial"/>
          <w:color w:val="242424"/>
          <w:szCs w:val="21"/>
        </w:rPr>
        <w:t>was</w:t>
      </w:r>
      <w:r w:rsidRPr="00FC222F">
        <w:rPr>
          <w:rStyle w:val="eop"/>
          <w:rFonts w:cs="Arial"/>
          <w:color w:val="242424"/>
          <w:szCs w:val="21"/>
        </w:rPr>
        <w:t xml:space="preserve"> impossible to determine </w:t>
      </w:r>
      <w:r w:rsidR="004E32D4" w:rsidRPr="00FC222F">
        <w:rPr>
          <w:rStyle w:val="eop"/>
          <w:rFonts w:cs="Arial"/>
          <w:color w:val="242424"/>
          <w:szCs w:val="21"/>
        </w:rPr>
        <w:t xml:space="preserve">if </w:t>
      </w:r>
      <w:r w:rsidR="00ED62A2">
        <w:rPr>
          <w:rStyle w:val="eop"/>
          <w:rFonts w:cs="Arial"/>
          <w:color w:val="242424"/>
          <w:szCs w:val="21"/>
        </w:rPr>
        <w:t>this</w:t>
      </w:r>
      <w:r w:rsidR="00ED62A2" w:rsidRPr="00FC222F">
        <w:rPr>
          <w:rStyle w:val="eop"/>
          <w:rFonts w:cs="Arial"/>
          <w:color w:val="242424"/>
          <w:szCs w:val="21"/>
        </w:rPr>
        <w:t xml:space="preserve"> </w:t>
      </w:r>
      <w:r w:rsidRPr="00FC222F">
        <w:rPr>
          <w:rStyle w:val="eop"/>
          <w:rFonts w:cs="Arial"/>
          <w:color w:val="242424"/>
          <w:szCs w:val="21"/>
        </w:rPr>
        <w:t>unknown service provider overlap</w:t>
      </w:r>
      <w:r w:rsidR="004E32D4" w:rsidRPr="00FC222F">
        <w:rPr>
          <w:rStyle w:val="eop"/>
          <w:rFonts w:cs="Arial"/>
          <w:color w:val="242424"/>
          <w:szCs w:val="21"/>
        </w:rPr>
        <w:t>ped</w:t>
      </w:r>
      <w:r w:rsidRPr="00FC222F">
        <w:rPr>
          <w:rStyle w:val="eop"/>
          <w:rFonts w:cs="Arial"/>
          <w:color w:val="242424"/>
          <w:szCs w:val="21"/>
        </w:rPr>
        <w:t xml:space="preserve"> with known service providers. Where the nature of the enforcement action (if any) could not be ascertained, this data was included as ‘no enforcement action taken’.</w:t>
      </w:r>
      <w:r w:rsidR="00784E09" w:rsidRPr="00FC222F">
        <w:rPr>
          <w:rStyle w:val="eop"/>
          <w:rFonts w:cs="Arial"/>
          <w:color w:val="242424"/>
          <w:szCs w:val="21"/>
        </w:rPr>
        <w:t xml:space="preserve"> </w:t>
      </w:r>
    </w:p>
    <w:p w14:paraId="7B5130F7" w14:textId="0881A831" w:rsidR="00A14ACB" w:rsidRPr="00FC222F" w:rsidRDefault="00A14ACB" w:rsidP="00FC222F">
      <w:pPr>
        <w:rPr>
          <w:rFonts w:cs="Arial"/>
          <w:szCs w:val="21"/>
        </w:rPr>
      </w:pPr>
    </w:p>
    <w:p w14:paraId="74D07940" w14:textId="494E806A" w:rsidR="004507EF" w:rsidRPr="00FC222F" w:rsidRDefault="004507EF" w:rsidP="739C5FC2">
      <w:pPr>
        <w:rPr>
          <w:rStyle w:val="eop"/>
          <w:rFonts w:cs="Arial"/>
        </w:rPr>
      </w:pPr>
    </w:p>
    <w:p w14:paraId="32F52495" w14:textId="1B3721EB" w:rsidR="0091106B" w:rsidRPr="005623A6" w:rsidRDefault="004507EF" w:rsidP="00FC222F">
      <w:pPr>
        <w:pStyle w:val="Heading1"/>
        <w:jc w:val="center"/>
      </w:pPr>
      <w:r w:rsidRPr="005623A6">
        <w:rPr>
          <w:rStyle w:val="eop"/>
          <w:rFonts w:cs="Arial"/>
        </w:rPr>
        <w:br w:type="page"/>
      </w:r>
      <w:bookmarkStart w:id="238" w:name="_Toc146201063"/>
      <w:bookmarkStart w:id="239" w:name="_Toc161836201"/>
      <w:r w:rsidR="0091106B" w:rsidRPr="005623A6">
        <w:lastRenderedPageBreak/>
        <w:t xml:space="preserve">ANNEX </w:t>
      </w:r>
      <w:r w:rsidR="00D22C9D">
        <w:t>C</w:t>
      </w:r>
      <w:bookmarkEnd w:id="238"/>
      <w:bookmarkEnd w:id="239"/>
    </w:p>
    <w:p w14:paraId="01892965" w14:textId="5DB6DDB6" w:rsidR="0091106B" w:rsidRPr="005623A6" w:rsidRDefault="0097038B" w:rsidP="0091106B">
      <w:pPr>
        <w:pStyle w:val="Heading2"/>
        <w:jc w:val="center"/>
      </w:pPr>
      <w:bookmarkStart w:id="240" w:name="_Toc146201064"/>
      <w:bookmarkStart w:id="241" w:name="_Toc161836202"/>
      <w:r>
        <w:t xml:space="preserve">Examples of </w:t>
      </w:r>
      <w:r w:rsidR="00D11F2F">
        <w:t>the ACMA</w:t>
      </w:r>
      <w:r w:rsidR="0091106B" w:rsidRPr="005623A6">
        <w:t xml:space="preserve"> Compliance Audits</w:t>
      </w:r>
      <w:bookmarkEnd w:id="240"/>
      <w:bookmarkEnd w:id="241"/>
    </w:p>
    <w:p w14:paraId="0605C330" w14:textId="77777777" w:rsidR="0091106B" w:rsidRDefault="0091106B" w:rsidP="0091106B">
      <w:pPr>
        <w:jc w:val="center"/>
        <w:rPr>
          <w:rFonts w:cs="Arial"/>
          <w:b/>
          <w:sz w:val="20"/>
          <w:szCs w:val="20"/>
        </w:rPr>
      </w:pPr>
    </w:p>
    <w:p w14:paraId="261DC475" w14:textId="4ADC59B3" w:rsidR="0091106B" w:rsidRDefault="0091106B" w:rsidP="00E252A3">
      <w:pPr>
        <w:jc w:val="left"/>
      </w:pPr>
      <w:r w:rsidRPr="00B4088C">
        <w:t xml:space="preserve">The following outline of </w:t>
      </w:r>
      <w:r w:rsidR="004021CC">
        <w:t xml:space="preserve">some </w:t>
      </w:r>
      <w:r w:rsidR="00D11F2F">
        <w:t>the ACMA</w:t>
      </w:r>
      <w:r w:rsidRPr="00B4088C">
        <w:t xml:space="preserve"> Compliance Audits is taken from </w:t>
      </w:r>
      <w:r w:rsidR="00D11F2F">
        <w:t>the ACMA</w:t>
      </w:r>
      <w:r w:rsidRPr="00B4088C">
        <w:t xml:space="preserve"> Annual Reports.</w:t>
      </w:r>
    </w:p>
    <w:tbl>
      <w:tblPr>
        <w:tblStyle w:val="TableGrid"/>
        <w:tblpPr w:leftFromText="181" w:rightFromText="181" w:vertAnchor="text" w:horzAnchor="margin" w:tblpY="25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listing ACMA's Compliance Audits from 2010 to 2023"/>
        <w:tblDescription w:val="Each row contains extracts of ACMA's Annual Reports from each year, detailing the compliance audits that were conducted during the relevant reporting period. "/>
      </w:tblPr>
      <w:tblGrid>
        <w:gridCol w:w="815"/>
        <w:gridCol w:w="7951"/>
      </w:tblGrid>
      <w:tr w:rsidR="00FC5A0B" w:rsidRPr="005623A6" w14:paraId="39BDFBF2" w14:textId="77777777" w:rsidTr="12EC14AA">
        <w:trPr>
          <w:tblHeader/>
        </w:trPr>
        <w:tc>
          <w:tcPr>
            <w:tcW w:w="465" w:type="pct"/>
            <w:tcBorders>
              <w:bottom w:val="single" w:sz="8" w:space="0" w:color="0F4BEB"/>
              <w:right w:val="single" w:sz="8" w:space="0" w:color="0F4BEB"/>
            </w:tcBorders>
          </w:tcPr>
          <w:p w14:paraId="5F068E6F" w14:textId="77777777" w:rsidR="00FC5A0B" w:rsidRPr="005623A6" w:rsidRDefault="00FC5A0B" w:rsidP="00FC5A0B">
            <w:pPr>
              <w:rPr>
                <w:rFonts w:cstheme="minorHAnsi"/>
                <w:b/>
                <w:sz w:val="20"/>
                <w:szCs w:val="20"/>
              </w:rPr>
            </w:pPr>
            <w:bookmarkStart w:id="242" w:name="_Toc139024408"/>
            <w:bookmarkStart w:id="243" w:name="_Toc139024729"/>
            <w:bookmarkStart w:id="244" w:name="_Toc139031372"/>
            <w:bookmarkStart w:id="245" w:name="AnnexD"/>
            <w:r>
              <w:rPr>
                <w:rFonts w:cstheme="minorHAnsi"/>
                <w:b/>
                <w:sz w:val="20"/>
                <w:szCs w:val="20"/>
              </w:rPr>
              <w:t xml:space="preserve">Year </w:t>
            </w:r>
          </w:p>
        </w:tc>
        <w:tc>
          <w:tcPr>
            <w:tcW w:w="4535" w:type="pct"/>
            <w:tcBorders>
              <w:left w:val="single" w:sz="8" w:space="0" w:color="0F4BEB"/>
              <w:bottom w:val="single" w:sz="8" w:space="0" w:color="0F4BEB"/>
            </w:tcBorders>
          </w:tcPr>
          <w:p w14:paraId="19930F48" w14:textId="77777777" w:rsidR="00FC5A0B" w:rsidRPr="005623A6" w:rsidRDefault="00FC5A0B" w:rsidP="00FC5A0B">
            <w:pPr>
              <w:rPr>
                <w:rFonts w:cstheme="minorHAnsi"/>
                <w:b/>
                <w:sz w:val="20"/>
                <w:szCs w:val="20"/>
              </w:rPr>
            </w:pPr>
            <w:r>
              <w:rPr>
                <w:rFonts w:cstheme="minorHAnsi"/>
                <w:b/>
                <w:sz w:val="20"/>
                <w:szCs w:val="20"/>
              </w:rPr>
              <w:t>Audits conducted</w:t>
            </w:r>
          </w:p>
        </w:tc>
      </w:tr>
      <w:tr w:rsidR="00FC5A0B" w:rsidRPr="005623A6" w14:paraId="2FD89F91" w14:textId="77777777" w:rsidTr="12EC14AA">
        <w:tc>
          <w:tcPr>
            <w:tcW w:w="465" w:type="pct"/>
            <w:tcBorders>
              <w:top w:val="single" w:sz="8" w:space="0" w:color="0F4BEB"/>
              <w:bottom w:val="single" w:sz="8" w:space="0" w:color="0F4BEB"/>
              <w:right w:val="single" w:sz="8" w:space="0" w:color="0F4BEB"/>
            </w:tcBorders>
          </w:tcPr>
          <w:p w14:paraId="487754FF" w14:textId="77777777" w:rsidR="00FC5A0B" w:rsidRPr="005623A6" w:rsidRDefault="00FC5A0B" w:rsidP="00FC5A0B">
            <w:pPr>
              <w:rPr>
                <w:rFonts w:cstheme="minorHAnsi"/>
                <w:b/>
                <w:sz w:val="20"/>
                <w:szCs w:val="20"/>
              </w:rPr>
            </w:pPr>
            <w:r w:rsidRPr="005623A6">
              <w:rPr>
                <w:rFonts w:cstheme="minorHAnsi"/>
                <w:b/>
                <w:sz w:val="20"/>
                <w:szCs w:val="20"/>
              </w:rPr>
              <w:t>2009-2010</w:t>
            </w:r>
          </w:p>
        </w:tc>
        <w:tc>
          <w:tcPr>
            <w:tcW w:w="4535" w:type="pct"/>
            <w:tcBorders>
              <w:top w:val="single" w:sz="8" w:space="0" w:color="0F4BEB"/>
              <w:left w:val="single" w:sz="8" w:space="0" w:color="0F4BEB"/>
              <w:bottom w:val="single" w:sz="8" w:space="0" w:color="0F4BEB"/>
            </w:tcBorders>
          </w:tcPr>
          <w:p w14:paraId="25048B90" w14:textId="7ABCCFB5" w:rsidR="00FC5A0B" w:rsidRPr="005623A6" w:rsidRDefault="7903FBFE" w:rsidP="00FC5A0B">
            <w:pPr>
              <w:rPr>
                <w:rFonts w:cstheme="minorHAnsi"/>
                <w:sz w:val="20"/>
                <w:szCs w:val="20"/>
              </w:rPr>
            </w:pPr>
            <w:r w:rsidRPr="47ACCDB0">
              <w:rPr>
                <w:b/>
                <w:bCs/>
                <w:sz w:val="20"/>
                <w:szCs w:val="20"/>
              </w:rPr>
              <w:t>Mobile Premium Services Code</w:t>
            </w:r>
            <w:r w:rsidRPr="12EC14AA">
              <w:rPr>
                <w:i/>
                <w:iCs/>
                <w:sz w:val="20"/>
                <w:szCs w:val="20"/>
              </w:rPr>
              <w:t xml:space="preserve">: </w:t>
            </w:r>
            <w:r w:rsidRPr="47ACCDB0">
              <w:rPr>
                <w:sz w:val="20"/>
                <w:szCs w:val="20"/>
              </w:rPr>
              <w:t xml:space="preserve">Throughout the reporting period, and following the registration of the Mobile Premium Services Code, the </w:t>
            </w:r>
            <w:r w:rsidR="00D11F2F">
              <w:rPr>
                <w:sz w:val="20"/>
                <w:szCs w:val="20"/>
              </w:rPr>
              <w:t>ACMA</w:t>
            </w:r>
            <w:r w:rsidRPr="47ACCDB0">
              <w:rPr>
                <w:sz w:val="20"/>
                <w:szCs w:val="20"/>
              </w:rPr>
              <w:t xml:space="preserve"> has undertaken an extensive and rigorous program of monitoring</w:t>
            </w:r>
            <w:r w:rsidR="4EE32EEB" w:rsidRPr="47ACCDB0">
              <w:rPr>
                <w:sz w:val="20"/>
                <w:szCs w:val="20"/>
              </w:rPr>
              <w:t xml:space="preserve"> </w:t>
            </w:r>
            <w:r w:rsidRPr="47ACCDB0">
              <w:rPr>
                <w:sz w:val="20"/>
                <w:szCs w:val="20"/>
              </w:rPr>
              <w:t xml:space="preserve">compliance by mobile premium services with the code. Using compliance audits, the </w:t>
            </w:r>
            <w:r w:rsidR="00D11F2F">
              <w:rPr>
                <w:sz w:val="20"/>
                <w:szCs w:val="20"/>
              </w:rPr>
              <w:t>ACMA</w:t>
            </w:r>
            <w:r w:rsidRPr="47ACCDB0">
              <w:rPr>
                <w:sz w:val="20"/>
                <w:szCs w:val="20"/>
              </w:rPr>
              <w:t xml:space="preserve"> has identified potential contraventions of the</w:t>
            </w:r>
            <w:r w:rsidR="4EE32EEB" w:rsidRPr="47ACCDB0">
              <w:rPr>
                <w:sz w:val="20"/>
                <w:szCs w:val="20"/>
              </w:rPr>
              <w:t xml:space="preserve"> </w:t>
            </w:r>
            <w:r w:rsidRPr="47ACCDB0">
              <w:rPr>
                <w:sz w:val="20"/>
                <w:szCs w:val="20"/>
              </w:rPr>
              <w:t>code and brought the problem to the attention of the supplier of the mobile premium service. In the majority of cases, changes to services</w:t>
            </w:r>
            <w:r w:rsidR="4EE32EEB" w:rsidRPr="47ACCDB0">
              <w:rPr>
                <w:sz w:val="20"/>
                <w:szCs w:val="20"/>
              </w:rPr>
              <w:t xml:space="preserve"> </w:t>
            </w:r>
            <w:r w:rsidRPr="109AC5CB">
              <w:rPr>
                <w:sz w:val="20"/>
                <w:szCs w:val="20"/>
              </w:rPr>
              <w:t xml:space="preserve">to achieve future compliance have been readily volunteered. </w:t>
            </w:r>
            <w:r w:rsidR="00356067">
              <w:rPr>
                <w:sz w:val="20"/>
                <w:szCs w:val="20"/>
              </w:rPr>
              <w:t>T</w:t>
            </w:r>
            <w:r w:rsidR="00D11F2F">
              <w:rPr>
                <w:sz w:val="20"/>
                <w:szCs w:val="20"/>
              </w:rPr>
              <w:t>he ACMA</w:t>
            </w:r>
            <w:r w:rsidRPr="109AC5CB">
              <w:rPr>
                <w:sz w:val="20"/>
                <w:szCs w:val="20"/>
              </w:rPr>
              <w:t xml:space="preserve"> noted that due to the compliance monitoring, the number of complaints about mobile premium services recorded by the TIO fell. </w:t>
            </w:r>
            <w:r w:rsidR="00FC5A0B" w:rsidRPr="109AC5CB">
              <w:rPr>
                <w:rStyle w:val="FootnoteReference"/>
                <w:sz w:val="20"/>
                <w:szCs w:val="20"/>
              </w:rPr>
              <w:footnoteReference w:id="261"/>
            </w:r>
          </w:p>
          <w:p w14:paraId="3A6ACD62" w14:textId="77777777" w:rsidR="00FC5A0B" w:rsidRPr="005623A6" w:rsidRDefault="00FC5A0B" w:rsidP="00FC5A0B">
            <w:pPr>
              <w:rPr>
                <w:rFonts w:cstheme="minorHAnsi"/>
                <w:sz w:val="20"/>
                <w:szCs w:val="20"/>
              </w:rPr>
            </w:pPr>
          </w:p>
          <w:p w14:paraId="2E55F9AD" w14:textId="52704E31" w:rsidR="00FC5A0B" w:rsidRPr="005623A6" w:rsidRDefault="7903FBFE" w:rsidP="00FC5A0B">
            <w:pPr>
              <w:rPr>
                <w:rFonts w:cstheme="minorHAnsi"/>
                <w:sz w:val="20"/>
                <w:szCs w:val="20"/>
              </w:rPr>
            </w:pPr>
            <w:r w:rsidRPr="47ACCDB0">
              <w:rPr>
                <w:b/>
                <w:bCs/>
                <w:sz w:val="20"/>
                <w:szCs w:val="20"/>
              </w:rPr>
              <w:t xml:space="preserve">Telecommunications Code Compliance: </w:t>
            </w:r>
            <w:r w:rsidRPr="47ACCDB0">
              <w:rPr>
                <w:sz w:val="20"/>
                <w:szCs w:val="20"/>
              </w:rPr>
              <w:t xml:space="preserve">In 2009-10, the </w:t>
            </w:r>
            <w:r w:rsidR="00D11F2F">
              <w:rPr>
                <w:sz w:val="20"/>
                <w:szCs w:val="20"/>
              </w:rPr>
              <w:t>ACMA</w:t>
            </w:r>
            <w:r w:rsidRPr="47ACCDB0">
              <w:rPr>
                <w:sz w:val="20"/>
                <w:szCs w:val="20"/>
              </w:rPr>
              <w:t xml:space="preserve"> revised its approach to code compliance, undertaking a smaller number of audits but focusing these more closely on providers with increasing complaint</w:t>
            </w:r>
            <w:r w:rsidR="4EE32EEB" w:rsidRPr="47ACCDB0">
              <w:rPr>
                <w:sz w:val="20"/>
                <w:szCs w:val="20"/>
              </w:rPr>
              <w:t xml:space="preserve"> </w:t>
            </w:r>
            <w:r w:rsidRPr="47ACCDB0">
              <w:rPr>
                <w:sz w:val="20"/>
                <w:szCs w:val="20"/>
              </w:rPr>
              <w:t>numbers, rather than making broad industry assessments. The assessments undertaken were more deeply analytical than those of</w:t>
            </w:r>
            <w:r w:rsidR="4EE32EEB" w:rsidRPr="47ACCDB0">
              <w:rPr>
                <w:sz w:val="20"/>
                <w:szCs w:val="20"/>
              </w:rPr>
              <w:t xml:space="preserve"> </w:t>
            </w:r>
            <w:r w:rsidRPr="109AC5CB">
              <w:rPr>
                <w:sz w:val="20"/>
                <w:szCs w:val="20"/>
              </w:rPr>
              <w:t xml:space="preserve">past years and made more frequent use of the </w:t>
            </w:r>
            <w:r w:rsidR="00D11F2F">
              <w:rPr>
                <w:sz w:val="20"/>
                <w:szCs w:val="20"/>
              </w:rPr>
              <w:t>ACMA</w:t>
            </w:r>
            <w:r w:rsidRPr="109AC5CB">
              <w:rPr>
                <w:sz w:val="20"/>
                <w:szCs w:val="20"/>
              </w:rPr>
              <w:t>’s formal powers.</w:t>
            </w:r>
            <w:r w:rsidR="00FC5A0B" w:rsidRPr="109AC5CB">
              <w:rPr>
                <w:rStyle w:val="FootnoteReference"/>
                <w:sz w:val="20"/>
                <w:szCs w:val="20"/>
              </w:rPr>
              <w:footnoteReference w:id="262"/>
            </w:r>
          </w:p>
          <w:p w14:paraId="335829DB" w14:textId="77777777" w:rsidR="00FC5A0B" w:rsidRPr="005623A6" w:rsidRDefault="00FC5A0B" w:rsidP="00FC5A0B">
            <w:pPr>
              <w:rPr>
                <w:rFonts w:cstheme="minorHAnsi"/>
                <w:sz w:val="20"/>
                <w:szCs w:val="20"/>
              </w:rPr>
            </w:pPr>
          </w:p>
          <w:p w14:paraId="584A7F63" w14:textId="7187D887" w:rsidR="00FC5A0B" w:rsidRPr="005623A6" w:rsidRDefault="7903FBFE" w:rsidP="00FC5A0B">
            <w:pPr>
              <w:rPr>
                <w:rFonts w:cstheme="minorHAnsi"/>
                <w:sz w:val="20"/>
                <w:szCs w:val="20"/>
              </w:rPr>
            </w:pPr>
            <w:r w:rsidRPr="47ACCDB0">
              <w:rPr>
                <w:b/>
                <w:bCs/>
                <w:sz w:val="20"/>
                <w:szCs w:val="20"/>
              </w:rPr>
              <w:t xml:space="preserve">Integrated Public Number Database: </w:t>
            </w:r>
            <w:r w:rsidRPr="109AC5CB">
              <w:rPr>
                <w:sz w:val="20"/>
                <w:szCs w:val="20"/>
              </w:rPr>
              <w:t xml:space="preserve">The </w:t>
            </w:r>
            <w:r w:rsidR="00D11F2F">
              <w:rPr>
                <w:sz w:val="20"/>
                <w:szCs w:val="20"/>
              </w:rPr>
              <w:t>ACMA</w:t>
            </w:r>
            <w:r w:rsidRPr="109AC5CB">
              <w:rPr>
                <w:sz w:val="20"/>
                <w:szCs w:val="20"/>
              </w:rPr>
              <w:t xml:space="preserve"> conducted its fourth audit of IPND address data during the reporting period. The snapshot of the IPND for the audit was taken in November 2009, with the </w:t>
            </w:r>
            <w:r w:rsidR="00D11F2F">
              <w:rPr>
                <w:sz w:val="20"/>
                <w:szCs w:val="20"/>
              </w:rPr>
              <w:t>ACMA</w:t>
            </w:r>
            <w:r w:rsidRPr="109AC5CB">
              <w:rPr>
                <w:sz w:val="20"/>
                <w:szCs w:val="20"/>
              </w:rPr>
              <w:t xml:space="preserve"> releasing the aggregate industry-wide results in April 2010. The quality of address data in the IPND has improved significantly since the first audit was conducted in 2004. The </w:t>
            </w:r>
            <w:r w:rsidR="00D11F2F">
              <w:rPr>
                <w:sz w:val="20"/>
                <w:szCs w:val="20"/>
              </w:rPr>
              <w:t>ACMA</w:t>
            </w:r>
            <w:r w:rsidRPr="109AC5CB">
              <w:rPr>
                <w:sz w:val="20"/>
                <w:szCs w:val="20"/>
              </w:rPr>
              <w:t xml:space="preserve"> will continue to work with data providers in 2010 to make further corrections and/or implement system improvements where necessary. The </w:t>
            </w:r>
            <w:r w:rsidR="00D11F2F">
              <w:rPr>
                <w:sz w:val="20"/>
                <w:szCs w:val="20"/>
              </w:rPr>
              <w:t>ACMA</w:t>
            </w:r>
            <w:r w:rsidRPr="109AC5CB">
              <w:rPr>
                <w:sz w:val="20"/>
                <w:szCs w:val="20"/>
              </w:rPr>
              <w:t xml:space="preserve"> will consider at a later time whether to conduct a fifth audit.</w:t>
            </w:r>
            <w:r w:rsidR="00FC5A0B" w:rsidRPr="109AC5CB">
              <w:rPr>
                <w:rStyle w:val="FootnoteReference"/>
                <w:sz w:val="20"/>
                <w:szCs w:val="20"/>
              </w:rPr>
              <w:footnoteReference w:id="263"/>
            </w:r>
          </w:p>
          <w:p w14:paraId="3D05E816" w14:textId="77777777" w:rsidR="00FC5A0B" w:rsidRPr="005623A6" w:rsidRDefault="00FC5A0B" w:rsidP="00FC5A0B">
            <w:pPr>
              <w:rPr>
                <w:rFonts w:cstheme="minorHAnsi"/>
                <w:sz w:val="20"/>
                <w:szCs w:val="20"/>
              </w:rPr>
            </w:pPr>
          </w:p>
          <w:p w14:paraId="26A555C8" w14:textId="7B9DE31C" w:rsidR="00FC5A0B" w:rsidRPr="005623A6" w:rsidRDefault="7903FBFE" w:rsidP="00FC5A0B">
            <w:pPr>
              <w:rPr>
                <w:rFonts w:cstheme="minorHAnsi"/>
                <w:b/>
                <w:sz w:val="20"/>
                <w:szCs w:val="20"/>
              </w:rPr>
            </w:pPr>
            <w:r w:rsidRPr="47ACCDB0">
              <w:rPr>
                <w:b/>
                <w:bCs/>
                <w:sz w:val="20"/>
                <w:szCs w:val="20"/>
              </w:rPr>
              <w:t xml:space="preserve">Mobile Premium Services: </w:t>
            </w:r>
            <w:r w:rsidRPr="109AC5CB">
              <w:rPr>
                <w:sz w:val="20"/>
                <w:szCs w:val="20"/>
              </w:rPr>
              <w:t xml:space="preserve">The </w:t>
            </w:r>
            <w:r w:rsidR="00D11F2F">
              <w:rPr>
                <w:sz w:val="20"/>
                <w:szCs w:val="20"/>
              </w:rPr>
              <w:t>ACMA</w:t>
            </w:r>
            <w:r w:rsidRPr="109AC5CB">
              <w:rPr>
                <w:sz w:val="20"/>
                <w:szCs w:val="20"/>
              </w:rPr>
              <w:t xml:space="preserve">’s primary monitoring activity for mobile premium services has been to undertake audits of the compliance of services with the obligations in the code. Services have been identified for auditing through the print media and television. Audit activity has included the inspection of advertisements, shadow shopping for services and examination of records of complaints received by the Telecommunications Industry Ombudsman. Where audit activity has identified potential contraventions of the code, the </w:t>
            </w:r>
            <w:r w:rsidR="00D11F2F">
              <w:rPr>
                <w:sz w:val="20"/>
                <w:szCs w:val="20"/>
              </w:rPr>
              <w:t>ACMA</w:t>
            </w:r>
            <w:r w:rsidRPr="109AC5CB">
              <w:rPr>
                <w:sz w:val="20"/>
                <w:szCs w:val="20"/>
              </w:rPr>
              <w:t xml:space="preserve"> has generally brought the problem to the attention of the supplier of the mobile premium service. In the majority of cases, changes to services to achieve future compliance have been readily volunteered.</w:t>
            </w:r>
            <w:r w:rsidR="00F22BE7">
              <w:rPr>
                <w:rStyle w:val="FootnoteReference"/>
                <w:sz w:val="20"/>
                <w:szCs w:val="20"/>
              </w:rPr>
              <w:footnoteReference w:id="264"/>
            </w:r>
          </w:p>
        </w:tc>
      </w:tr>
      <w:tr w:rsidR="00FC5A0B" w:rsidRPr="005623A6" w14:paraId="20C95461" w14:textId="77777777" w:rsidTr="12EC14AA">
        <w:tc>
          <w:tcPr>
            <w:tcW w:w="465" w:type="pct"/>
            <w:tcBorders>
              <w:top w:val="single" w:sz="8" w:space="0" w:color="0F4BEB"/>
              <w:bottom w:val="single" w:sz="8" w:space="0" w:color="0F4BEB"/>
              <w:right w:val="single" w:sz="8" w:space="0" w:color="0F4BEB"/>
            </w:tcBorders>
          </w:tcPr>
          <w:p w14:paraId="246E4336" w14:textId="77777777" w:rsidR="00FC5A0B" w:rsidRPr="005623A6" w:rsidRDefault="00FC5A0B" w:rsidP="00FC5A0B">
            <w:pPr>
              <w:rPr>
                <w:rFonts w:cstheme="minorHAnsi"/>
                <w:b/>
                <w:sz w:val="20"/>
                <w:szCs w:val="20"/>
              </w:rPr>
            </w:pPr>
            <w:r w:rsidRPr="005623A6">
              <w:rPr>
                <w:rFonts w:cstheme="minorHAnsi"/>
                <w:b/>
                <w:sz w:val="20"/>
                <w:szCs w:val="20"/>
              </w:rPr>
              <w:t>2010-2011</w:t>
            </w:r>
          </w:p>
        </w:tc>
        <w:tc>
          <w:tcPr>
            <w:tcW w:w="4535" w:type="pct"/>
            <w:tcBorders>
              <w:top w:val="single" w:sz="8" w:space="0" w:color="0F4BEB"/>
              <w:left w:val="single" w:sz="8" w:space="0" w:color="0F4BEB"/>
              <w:bottom w:val="single" w:sz="8" w:space="0" w:color="0F4BEB"/>
            </w:tcBorders>
          </w:tcPr>
          <w:p w14:paraId="351537AC" w14:textId="454219ED" w:rsidR="00FC5A0B" w:rsidRPr="005623A6" w:rsidRDefault="00D11F2F" w:rsidP="00FC5A0B">
            <w:pPr>
              <w:rPr>
                <w:rFonts w:cstheme="minorHAnsi"/>
                <w:sz w:val="20"/>
                <w:szCs w:val="20"/>
              </w:rPr>
            </w:pPr>
            <w:r>
              <w:rPr>
                <w:sz w:val="20"/>
                <w:szCs w:val="20"/>
              </w:rPr>
              <w:t>the ACMA</w:t>
            </w:r>
            <w:r w:rsidR="7903FBFE" w:rsidRPr="109AC5CB">
              <w:rPr>
                <w:sz w:val="20"/>
                <w:szCs w:val="20"/>
              </w:rPr>
              <w:t xml:space="preserve"> noted that it was “changing its approach to addressing consumer issues and complaints” asserting that “this is evident from our quarterly consumer bulletin, which reports on a range of proactive initiatives, including audits and compliance education.</w:t>
            </w:r>
            <w:r w:rsidR="00573981">
              <w:rPr>
                <w:rStyle w:val="FootnoteReference"/>
                <w:sz w:val="20"/>
                <w:szCs w:val="20"/>
              </w:rPr>
              <w:footnoteReference w:id="265"/>
            </w:r>
          </w:p>
          <w:p w14:paraId="0A059F26" w14:textId="44DD841D" w:rsidR="00FC5A0B" w:rsidRPr="005623A6" w:rsidRDefault="00FC5A0B" w:rsidP="00FC5A0B">
            <w:pPr>
              <w:rPr>
                <w:rFonts w:cstheme="minorHAnsi"/>
                <w:sz w:val="20"/>
                <w:szCs w:val="20"/>
              </w:rPr>
            </w:pPr>
          </w:p>
          <w:p w14:paraId="14B72A3B" w14:textId="7999C21A" w:rsidR="00FC5A0B" w:rsidRPr="005623A6" w:rsidRDefault="7903FBFE" w:rsidP="00FC5A0B">
            <w:pPr>
              <w:rPr>
                <w:rFonts w:cstheme="minorHAnsi"/>
                <w:sz w:val="20"/>
                <w:szCs w:val="20"/>
              </w:rPr>
            </w:pPr>
            <w:r w:rsidRPr="47ACCDB0">
              <w:rPr>
                <w:b/>
                <w:bCs/>
                <w:sz w:val="20"/>
                <w:szCs w:val="20"/>
              </w:rPr>
              <w:t xml:space="preserve">Mobile Premium Services: </w:t>
            </w:r>
            <w:r w:rsidRPr="109AC5CB">
              <w:rPr>
                <w:sz w:val="20"/>
                <w:szCs w:val="20"/>
              </w:rPr>
              <w:t xml:space="preserve">Throughout the reporting period, the </w:t>
            </w:r>
            <w:r w:rsidR="00D11F2F">
              <w:rPr>
                <w:sz w:val="20"/>
                <w:szCs w:val="20"/>
              </w:rPr>
              <w:t>ACMA</w:t>
            </w:r>
            <w:r w:rsidRPr="109AC5CB">
              <w:rPr>
                <w:sz w:val="20"/>
                <w:szCs w:val="20"/>
              </w:rPr>
              <w:t xml:space="preserve"> continued its extensive and rigorous program of monitoring compliance by mobile premium services with the Mobile Premium Services Code. Using compliance audits, the </w:t>
            </w:r>
            <w:r w:rsidR="00D11F2F">
              <w:rPr>
                <w:sz w:val="20"/>
                <w:szCs w:val="20"/>
              </w:rPr>
              <w:t>ACMA</w:t>
            </w:r>
            <w:r w:rsidRPr="109AC5CB">
              <w:rPr>
                <w:sz w:val="20"/>
                <w:szCs w:val="20"/>
              </w:rPr>
              <w:t xml:space="preserve"> has identified potential contraventions of the code and brought the problem to the attention </w:t>
            </w:r>
            <w:r w:rsidRPr="109AC5CB">
              <w:rPr>
                <w:sz w:val="20"/>
                <w:szCs w:val="20"/>
              </w:rPr>
              <w:lastRenderedPageBreak/>
              <w:t>of the mobile premium service suppliers. In the majority of cases, changes to services to achieve future compliance have been readily volunteered.</w:t>
            </w:r>
            <w:r w:rsidR="00662E8C">
              <w:rPr>
                <w:rStyle w:val="FootnoteReference"/>
                <w:sz w:val="20"/>
                <w:szCs w:val="20"/>
              </w:rPr>
              <w:footnoteReference w:id="266"/>
            </w:r>
          </w:p>
          <w:p w14:paraId="51DBE077" w14:textId="1919C03D" w:rsidR="00FC5A0B" w:rsidRPr="005623A6" w:rsidRDefault="00FC5A0B" w:rsidP="00FC5A0B">
            <w:pPr>
              <w:rPr>
                <w:rFonts w:cstheme="minorHAnsi"/>
                <w:sz w:val="20"/>
                <w:szCs w:val="20"/>
              </w:rPr>
            </w:pPr>
          </w:p>
          <w:p w14:paraId="7B3F168F" w14:textId="1AB8462D" w:rsidR="00FC5A0B" w:rsidRPr="005623A6" w:rsidRDefault="7903FBFE" w:rsidP="00FC5A0B">
            <w:pPr>
              <w:rPr>
                <w:rFonts w:cstheme="minorHAnsi"/>
                <w:sz w:val="20"/>
                <w:szCs w:val="20"/>
              </w:rPr>
            </w:pPr>
            <w:r w:rsidRPr="47ACCDB0">
              <w:rPr>
                <w:b/>
                <w:bCs/>
                <w:sz w:val="20"/>
                <w:szCs w:val="20"/>
              </w:rPr>
              <w:t xml:space="preserve">Telecommunications Code Compliance: </w:t>
            </w:r>
            <w:r w:rsidRPr="109AC5CB">
              <w:rPr>
                <w:sz w:val="20"/>
                <w:szCs w:val="20"/>
              </w:rPr>
              <w:t xml:space="preserve">The </w:t>
            </w:r>
            <w:r w:rsidR="00D11F2F">
              <w:rPr>
                <w:sz w:val="20"/>
                <w:szCs w:val="20"/>
              </w:rPr>
              <w:t>ACMA</w:t>
            </w:r>
            <w:r w:rsidRPr="109AC5CB">
              <w:rPr>
                <w:sz w:val="20"/>
                <w:szCs w:val="20"/>
              </w:rPr>
              <w:t xml:space="preserve"> continued a range of activities to promote compliance with the Telecommunications Consumer Protections Code (the TCP Code) and achieve better outcomes for consumers. This included regular audits of the compliance of providers with particular TCP Code obligations to identify non-compliance and working with providers to address issues.</w:t>
            </w:r>
            <w:r w:rsidR="00B62D41">
              <w:rPr>
                <w:rStyle w:val="FootnoteReference"/>
                <w:sz w:val="20"/>
                <w:szCs w:val="20"/>
              </w:rPr>
              <w:footnoteReference w:id="267"/>
            </w:r>
            <w:r w:rsidRPr="109AC5CB">
              <w:rPr>
                <w:sz w:val="20"/>
                <w:szCs w:val="20"/>
              </w:rPr>
              <w:t xml:space="preserve"> </w:t>
            </w:r>
          </w:p>
          <w:p w14:paraId="3E516A47" w14:textId="148D7142" w:rsidR="00FC5A0B" w:rsidRPr="005623A6" w:rsidRDefault="00FC5A0B" w:rsidP="001019BA">
            <w:pPr>
              <w:pStyle w:val="ListParagraph"/>
              <w:numPr>
                <w:ilvl w:val="0"/>
                <w:numId w:val="37"/>
              </w:numPr>
              <w:rPr>
                <w:rFonts w:cstheme="minorHAnsi"/>
                <w:sz w:val="20"/>
                <w:szCs w:val="20"/>
              </w:rPr>
            </w:pPr>
            <w:r w:rsidRPr="005623A6">
              <w:rPr>
                <w:rFonts w:cstheme="minorHAnsi"/>
                <w:sz w:val="20"/>
                <w:szCs w:val="20"/>
              </w:rPr>
              <w:t xml:space="preserve">Elaborates on Page 91: The </w:t>
            </w:r>
            <w:r w:rsidR="00D11F2F">
              <w:rPr>
                <w:rFonts w:cstheme="minorHAnsi"/>
                <w:sz w:val="20"/>
                <w:szCs w:val="20"/>
              </w:rPr>
              <w:t>ACMA</w:t>
            </w:r>
            <w:r w:rsidRPr="005623A6">
              <w:rPr>
                <w:rFonts w:cstheme="minorHAnsi"/>
                <w:sz w:val="20"/>
                <w:szCs w:val="20"/>
              </w:rPr>
              <w:t xml:space="preserve"> undertakes a range of activities to promote compliance with the Telecommunications Consumer Protections Code (the TCP Code) and achieve better outcomes for consumers. Many of these activities are educational. For example, the </w:t>
            </w:r>
            <w:r w:rsidR="00D11F2F">
              <w:rPr>
                <w:rFonts w:cstheme="minorHAnsi"/>
                <w:sz w:val="20"/>
                <w:szCs w:val="20"/>
              </w:rPr>
              <w:t>ACMA</w:t>
            </w:r>
            <w:r w:rsidRPr="005623A6">
              <w:rPr>
                <w:rFonts w:cstheme="minorHAnsi"/>
                <w:sz w:val="20"/>
                <w:szCs w:val="20"/>
              </w:rPr>
              <w:t xml:space="preserve"> regularly audits the compliance of providers with particular TCP Code obligations to identify non-compliance and then works with them to address issues.</w:t>
            </w:r>
          </w:p>
          <w:p w14:paraId="54670939" w14:textId="01CDFAF7" w:rsidR="00FC5A0B" w:rsidRPr="005623A6" w:rsidRDefault="00FC5A0B" w:rsidP="00FC5A0B">
            <w:pPr>
              <w:rPr>
                <w:rFonts w:cstheme="minorHAnsi"/>
                <w:sz w:val="20"/>
                <w:szCs w:val="20"/>
              </w:rPr>
            </w:pPr>
          </w:p>
          <w:p w14:paraId="0FD9AAF9" w14:textId="2CC475F8" w:rsidR="00FC5A0B" w:rsidRPr="005623A6" w:rsidRDefault="7903FBFE" w:rsidP="00FC5A0B">
            <w:pPr>
              <w:rPr>
                <w:rFonts w:cstheme="minorHAnsi"/>
                <w:sz w:val="20"/>
                <w:szCs w:val="20"/>
              </w:rPr>
            </w:pPr>
            <w:r w:rsidRPr="47ACCDB0">
              <w:rPr>
                <w:b/>
                <w:bCs/>
                <w:sz w:val="20"/>
                <w:szCs w:val="20"/>
              </w:rPr>
              <w:t xml:space="preserve">Auditing of Information Available on providers’ websites: </w:t>
            </w:r>
            <w:r w:rsidRPr="109AC5CB">
              <w:rPr>
                <w:sz w:val="20"/>
                <w:szCs w:val="20"/>
              </w:rPr>
              <w:t xml:space="preserve">During the reporting period, the </w:t>
            </w:r>
            <w:r w:rsidR="00D11F2F">
              <w:rPr>
                <w:sz w:val="20"/>
                <w:szCs w:val="20"/>
              </w:rPr>
              <w:t>ACMA</w:t>
            </w:r>
            <w:r w:rsidRPr="109AC5CB">
              <w:rPr>
                <w:sz w:val="20"/>
                <w:szCs w:val="20"/>
              </w:rPr>
              <w:t xml:space="preserve"> undertook four audits of providers’ websites, reviewing the information provided to consumers on landline, broadband, post-paid mobile and prepaid mobile products. The audits followed continuing high levels of complaints from customers that their bills were different from what they had expected and about point-of-sale information. The audits found a high level of compliance with clause 3.3.3 of the TCP Code.11 Providers promptly remedied non-compliance when it was identified. Despite this high level of compliance with clause 3.3.3, consumers complain that the available information does not prepare them for the bills they receive. This suggests that website information alone is not enough to educate consumers about the practical workings of their contracts and billing arrangements. The outcome of the audits (discussed below) has informed the </w:t>
            </w:r>
            <w:r w:rsidR="00D11F2F">
              <w:rPr>
                <w:sz w:val="20"/>
                <w:szCs w:val="20"/>
              </w:rPr>
              <w:t>ACMA</w:t>
            </w:r>
            <w:r w:rsidRPr="109AC5CB">
              <w:rPr>
                <w:sz w:val="20"/>
                <w:szCs w:val="20"/>
              </w:rPr>
              <w:t>’s input into the current review of the TCP Code and the recommendations of its Reconnecting the Customer public inquiry.</w:t>
            </w:r>
            <w:r w:rsidR="00FC5A0B" w:rsidRPr="109AC5CB">
              <w:rPr>
                <w:rStyle w:val="FootnoteReference"/>
                <w:sz w:val="20"/>
                <w:szCs w:val="20"/>
              </w:rPr>
              <w:footnoteReference w:id="268"/>
            </w:r>
          </w:p>
          <w:p w14:paraId="2C80CF13" w14:textId="5FA04DD9" w:rsidR="00FC5A0B" w:rsidRPr="005623A6" w:rsidRDefault="7903FBFE" w:rsidP="001019BA">
            <w:pPr>
              <w:pStyle w:val="ListParagraph"/>
              <w:numPr>
                <w:ilvl w:val="0"/>
                <w:numId w:val="37"/>
              </w:numPr>
              <w:rPr>
                <w:rFonts w:cstheme="minorHAnsi"/>
                <w:sz w:val="20"/>
                <w:szCs w:val="20"/>
              </w:rPr>
            </w:pPr>
            <w:r w:rsidRPr="109AC5CB">
              <w:rPr>
                <w:sz w:val="20"/>
                <w:szCs w:val="20"/>
                <w:u w:val="single"/>
              </w:rPr>
              <w:t>Website information on landline products:</w:t>
            </w:r>
            <w:r w:rsidRPr="109AC5CB">
              <w:rPr>
                <w:sz w:val="20"/>
                <w:szCs w:val="20"/>
              </w:rPr>
              <w:t xml:space="preserve">  Clause 4.2.4 of the TCP Code requires that suppliers provide information to customers before a customer signs a contract. This includes information about contract terms, product descriptions and minimum total charges. Thirty providers were audited across the industry, including all the major providers. Information about how call charges are calculated was found on all provider websites. However, details about service connection fees, early termination fees and minimum contract terms were sometimes unclear or difficult to locate. This confirmed the </w:t>
            </w:r>
            <w:r w:rsidR="00D11F2F">
              <w:rPr>
                <w:sz w:val="20"/>
                <w:szCs w:val="20"/>
              </w:rPr>
              <w:t>ACMA</w:t>
            </w:r>
            <w:r w:rsidRPr="109AC5CB">
              <w:rPr>
                <w:sz w:val="20"/>
                <w:szCs w:val="20"/>
              </w:rPr>
              <w:t xml:space="preserve">’s opinion—expressed to CA in advance of the TCP Code review—that providers need to improve their methods of providing important information to consumers. The </w:t>
            </w:r>
            <w:r w:rsidR="00D11F2F">
              <w:rPr>
                <w:sz w:val="20"/>
                <w:szCs w:val="20"/>
              </w:rPr>
              <w:t>ACMA</w:t>
            </w:r>
            <w:r w:rsidRPr="109AC5CB">
              <w:rPr>
                <w:sz w:val="20"/>
                <w:szCs w:val="20"/>
              </w:rPr>
              <w:t xml:space="preserve"> contacted four of the audited providers about the availability of landline website information. Two have made improvements to their websites, one supplied further information to demonstrate compliance and the other is no longer offering a landline product.</w:t>
            </w:r>
            <w:r w:rsidR="00FC5A0B" w:rsidRPr="109AC5CB">
              <w:rPr>
                <w:rStyle w:val="FootnoteReference"/>
                <w:sz w:val="20"/>
                <w:szCs w:val="20"/>
              </w:rPr>
              <w:footnoteReference w:id="269"/>
            </w:r>
          </w:p>
          <w:p w14:paraId="6494E3B7" w14:textId="23D75653" w:rsidR="00FC5A0B" w:rsidRPr="005623A6" w:rsidRDefault="7903FBFE" w:rsidP="001019BA">
            <w:pPr>
              <w:pStyle w:val="ListParagraph"/>
              <w:numPr>
                <w:ilvl w:val="0"/>
                <w:numId w:val="37"/>
              </w:numPr>
              <w:rPr>
                <w:rFonts w:cstheme="minorHAnsi"/>
                <w:sz w:val="20"/>
                <w:szCs w:val="20"/>
              </w:rPr>
            </w:pPr>
            <w:r w:rsidRPr="109AC5CB">
              <w:rPr>
                <w:sz w:val="20"/>
                <w:szCs w:val="20"/>
                <w:u w:val="single"/>
              </w:rPr>
              <w:t>Website information on broadband products</w:t>
            </w:r>
            <w:r w:rsidRPr="109AC5CB">
              <w:rPr>
                <w:sz w:val="20"/>
                <w:szCs w:val="20"/>
              </w:rPr>
              <w:t xml:space="preserve">: Twenty-five providers, including all the major providers, were audited across the industry for website information on broadband products. In most cases, key information about broadband products was found within one click of the main product page. Peak and off-peak time limits typically apply to all internet plans except mobile broadband products. The majority of providers gave clear information on time limits, information on the product page about what happens if a data limit is exceeded, and information on service connection fees and termination fees on the main product page. While most information could be found within one click of the main product page, the </w:t>
            </w:r>
            <w:r w:rsidR="00D11F2F">
              <w:rPr>
                <w:sz w:val="20"/>
                <w:szCs w:val="20"/>
              </w:rPr>
              <w:t>ACMA</w:t>
            </w:r>
            <w:r w:rsidRPr="109AC5CB">
              <w:rPr>
                <w:sz w:val="20"/>
                <w:szCs w:val="20"/>
              </w:rPr>
              <w:t xml:space="preserve"> was concerned that, in a number of instances, important information was only available in the standard form of agreement (SFOA) or three clicks from the main product page.</w:t>
            </w:r>
            <w:r w:rsidR="00FC5A0B" w:rsidRPr="109AC5CB">
              <w:rPr>
                <w:rStyle w:val="FootnoteReference"/>
                <w:sz w:val="20"/>
                <w:szCs w:val="20"/>
              </w:rPr>
              <w:footnoteReference w:id="270"/>
            </w:r>
          </w:p>
          <w:p w14:paraId="3EF0DF30" w14:textId="1717757D" w:rsidR="00FC5A0B" w:rsidRPr="005623A6" w:rsidRDefault="7903FBFE" w:rsidP="001019BA">
            <w:pPr>
              <w:pStyle w:val="ListParagraph"/>
              <w:numPr>
                <w:ilvl w:val="0"/>
                <w:numId w:val="37"/>
              </w:numPr>
              <w:rPr>
                <w:rFonts w:cstheme="minorHAnsi"/>
                <w:sz w:val="20"/>
                <w:szCs w:val="20"/>
              </w:rPr>
            </w:pPr>
            <w:r w:rsidRPr="109AC5CB">
              <w:rPr>
                <w:sz w:val="20"/>
                <w:szCs w:val="20"/>
                <w:u w:val="single"/>
              </w:rPr>
              <w:lastRenderedPageBreak/>
              <w:t>Website information on post-paid mobile products:</w:t>
            </w:r>
            <w:r w:rsidRPr="109AC5CB">
              <w:rPr>
                <w:sz w:val="20"/>
                <w:szCs w:val="20"/>
              </w:rPr>
              <w:t xml:space="preserve"> Twenty providers of post-paid mobile products, including all the major providers, were audited across the industry. Generally, it was found that key information about post-paid products was found within one click of the product page. While information about roaming charges was also readily found for the majority of providers, the level of information provided about credit control and usage-monitoring tools offered by providers was inconsistent. The </w:t>
            </w:r>
            <w:r w:rsidR="00D11F2F">
              <w:rPr>
                <w:sz w:val="20"/>
                <w:szCs w:val="20"/>
              </w:rPr>
              <w:t>ACMA</w:t>
            </w:r>
            <w:r w:rsidRPr="109AC5CB">
              <w:rPr>
                <w:sz w:val="20"/>
                <w:szCs w:val="20"/>
              </w:rPr>
              <w:t xml:space="preserve"> contacted some of the audited providers about the availability of website information or their unclear disclaimers. These providers either made prompt improvements to their website or supplied further information to demonstrate compliance.</w:t>
            </w:r>
            <w:r w:rsidR="00FC5A0B" w:rsidRPr="109AC5CB">
              <w:rPr>
                <w:rStyle w:val="FootnoteReference"/>
                <w:sz w:val="20"/>
                <w:szCs w:val="20"/>
              </w:rPr>
              <w:footnoteReference w:id="271"/>
            </w:r>
          </w:p>
          <w:p w14:paraId="39AF0A02" w14:textId="7A02ECE3" w:rsidR="00FC5A0B" w:rsidRPr="005623A6" w:rsidRDefault="7903FBFE" w:rsidP="001019BA">
            <w:pPr>
              <w:pStyle w:val="ListParagraph"/>
              <w:numPr>
                <w:ilvl w:val="0"/>
                <w:numId w:val="37"/>
              </w:numPr>
              <w:rPr>
                <w:rFonts w:cstheme="minorHAnsi"/>
                <w:sz w:val="20"/>
                <w:szCs w:val="20"/>
              </w:rPr>
            </w:pPr>
            <w:r w:rsidRPr="109AC5CB">
              <w:rPr>
                <w:sz w:val="20"/>
                <w:szCs w:val="20"/>
                <w:u w:val="single"/>
              </w:rPr>
              <w:t>Website information on prepaid mobile products:</w:t>
            </w:r>
            <w:r w:rsidRPr="109AC5CB">
              <w:rPr>
                <w:sz w:val="20"/>
                <w:szCs w:val="20"/>
              </w:rPr>
              <w:t xml:space="preserve"> Twenty providers of prepaid mobile products, including all the major providers, were audited across the industry. A satisfactory level of compliance with the requirement to provide information on charges and credit expiry for prepaid mobile services was found, with this information obtainable within one to three clicks from the product information web page. The </w:t>
            </w:r>
            <w:r w:rsidR="00D11F2F">
              <w:rPr>
                <w:sz w:val="20"/>
                <w:szCs w:val="20"/>
              </w:rPr>
              <w:t>ACMA</w:t>
            </w:r>
            <w:r w:rsidRPr="109AC5CB">
              <w:rPr>
                <w:sz w:val="20"/>
                <w:szCs w:val="20"/>
              </w:rPr>
              <w:t xml:space="preserve"> found that some suppliers provide information on mobile network coverage on request but do not state the same information on the product web pages. Most of the smaller providers who </w:t>
            </w:r>
            <w:proofErr w:type="spellStart"/>
            <w:r w:rsidRPr="109AC5CB">
              <w:rPr>
                <w:sz w:val="20"/>
                <w:szCs w:val="20"/>
              </w:rPr>
              <w:t>onsell</w:t>
            </w:r>
            <w:proofErr w:type="spellEnd"/>
            <w:r w:rsidRPr="109AC5CB">
              <w:rPr>
                <w:sz w:val="20"/>
                <w:szCs w:val="20"/>
              </w:rPr>
              <w:t xml:space="preserve"> the services of the major mobile networks do not have an online coverage map. However, most providers refer to the network provider’s coverage map through a hyperlink. The main areas for improvement for prepaid mobile services are the provision of consistent and clear information about international roaming charges and comprehensive information about available usage monitoring tools.</w:t>
            </w:r>
            <w:r w:rsidR="00FC5A0B" w:rsidRPr="109AC5CB">
              <w:rPr>
                <w:rStyle w:val="FootnoteReference"/>
                <w:sz w:val="20"/>
                <w:szCs w:val="20"/>
              </w:rPr>
              <w:footnoteReference w:id="272"/>
            </w:r>
          </w:p>
          <w:p w14:paraId="2AE186C7" w14:textId="77777777" w:rsidR="006B41A2" w:rsidRDefault="006B41A2" w:rsidP="00FC5A0B">
            <w:pPr>
              <w:rPr>
                <w:b/>
                <w:bCs/>
                <w:sz w:val="20"/>
                <w:szCs w:val="20"/>
              </w:rPr>
            </w:pPr>
          </w:p>
          <w:p w14:paraId="0B1FB2D7" w14:textId="5BD77AAA" w:rsidR="00FC5A0B" w:rsidRPr="005623A6" w:rsidRDefault="7903FBFE" w:rsidP="00FC5A0B">
            <w:pPr>
              <w:rPr>
                <w:rFonts w:cstheme="minorHAnsi"/>
                <w:sz w:val="20"/>
                <w:szCs w:val="20"/>
              </w:rPr>
            </w:pPr>
            <w:r w:rsidRPr="47ACCDB0">
              <w:rPr>
                <w:b/>
                <w:bCs/>
                <w:sz w:val="20"/>
                <w:szCs w:val="20"/>
              </w:rPr>
              <w:t xml:space="preserve">Auditing the Privacy of Billing Information: </w:t>
            </w:r>
            <w:r w:rsidRPr="109AC5CB">
              <w:rPr>
                <w:sz w:val="20"/>
                <w:szCs w:val="20"/>
              </w:rPr>
              <w:t xml:space="preserve">The TCP Code and Telecommunications Act impose obligations on providers about the disclosure and use of information gathered in the course of conducting their businesses.12 In October 2010, Telstra announced that certain customer details had inadvertently been disclosed to other customers following a mail-merge error. In early 2011, media reports suggested that Vodafone had mistakenly disclosed the personal information of its customers. The Office of the Information Commissioner (OAIC) took the lead in investigating this alleged disclosure. His published report into Vodafone is available on the OAIC website. The </w:t>
            </w:r>
            <w:r w:rsidR="00D11F2F">
              <w:rPr>
                <w:sz w:val="20"/>
                <w:szCs w:val="20"/>
              </w:rPr>
              <w:t>ACMA</w:t>
            </w:r>
            <w:r w:rsidRPr="109AC5CB">
              <w:rPr>
                <w:sz w:val="20"/>
                <w:szCs w:val="20"/>
              </w:rPr>
              <w:t xml:space="preserve"> was concerned that these incidents may have been symptomatic of a broader problem within the industry. The </w:t>
            </w:r>
            <w:r w:rsidR="00D11F2F">
              <w:rPr>
                <w:sz w:val="20"/>
                <w:szCs w:val="20"/>
              </w:rPr>
              <w:t>ACMA</w:t>
            </w:r>
            <w:r w:rsidRPr="109AC5CB">
              <w:rPr>
                <w:sz w:val="20"/>
                <w:szCs w:val="20"/>
              </w:rPr>
              <w:t xml:space="preserve"> requested information from the top 10 providers (based on TIO complaints) on the measures that each has in place to safeguard the personal information of customers and the adequacy of these measures. All providers have been given the information that is currently being assessed to determine areas of best practice and those that require clarification or rectification. The </w:t>
            </w:r>
            <w:r w:rsidR="00D11F2F">
              <w:rPr>
                <w:sz w:val="20"/>
                <w:szCs w:val="20"/>
              </w:rPr>
              <w:t>ACMA</w:t>
            </w:r>
            <w:r w:rsidRPr="109AC5CB">
              <w:rPr>
                <w:sz w:val="20"/>
                <w:szCs w:val="20"/>
              </w:rPr>
              <w:t xml:space="preserve"> will liaise with the OIAC on its findings.</w:t>
            </w:r>
            <w:r w:rsidR="00FC5A0B" w:rsidRPr="109AC5CB">
              <w:rPr>
                <w:rStyle w:val="FootnoteReference"/>
                <w:sz w:val="20"/>
                <w:szCs w:val="20"/>
              </w:rPr>
              <w:footnoteReference w:id="273"/>
            </w:r>
          </w:p>
          <w:p w14:paraId="5A1C99DA" w14:textId="77777777" w:rsidR="00FC5A0B" w:rsidRPr="005623A6" w:rsidRDefault="00FC5A0B" w:rsidP="00FC5A0B">
            <w:pPr>
              <w:rPr>
                <w:rFonts w:cstheme="minorHAnsi"/>
                <w:sz w:val="20"/>
                <w:szCs w:val="20"/>
              </w:rPr>
            </w:pPr>
          </w:p>
          <w:p w14:paraId="16471F6F" w14:textId="1E56F672" w:rsidR="00FC5A0B" w:rsidRPr="005623A6" w:rsidRDefault="7903FBFE" w:rsidP="00FC5A0B">
            <w:pPr>
              <w:rPr>
                <w:rFonts w:cstheme="minorHAnsi"/>
                <w:sz w:val="20"/>
                <w:szCs w:val="20"/>
              </w:rPr>
            </w:pPr>
            <w:r w:rsidRPr="47ACCDB0">
              <w:rPr>
                <w:b/>
                <w:bCs/>
                <w:sz w:val="20"/>
                <w:szCs w:val="20"/>
              </w:rPr>
              <w:t xml:space="preserve">Mobile Premium Services: </w:t>
            </w:r>
            <w:r w:rsidRPr="109AC5CB">
              <w:rPr>
                <w:sz w:val="20"/>
                <w:szCs w:val="20"/>
              </w:rPr>
              <w:t xml:space="preserve">During the reporting period the </w:t>
            </w:r>
            <w:r w:rsidR="00D11F2F">
              <w:rPr>
                <w:sz w:val="20"/>
                <w:szCs w:val="20"/>
              </w:rPr>
              <w:t>ACMA</w:t>
            </w:r>
            <w:r w:rsidRPr="109AC5CB">
              <w:rPr>
                <w:sz w:val="20"/>
                <w:szCs w:val="20"/>
              </w:rPr>
              <w:t xml:space="preserve"> continued its extensive and rigorous program of monitoring and enforcing industry compliance with the MPS Code. The program identified potential breaches of the code and recurring and systemic problems with services. The </w:t>
            </w:r>
            <w:r w:rsidR="00D11F2F">
              <w:rPr>
                <w:sz w:val="20"/>
                <w:szCs w:val="20"/>
              </w:rPr>
              <w:t>ACMA</w:t>
            </w:r>
            <w:r w:rsidRPr="109AC5CB">
              <w:rPr>
                <w:sz w:val="20"/>
                <w:szCs w:val="20"/>
              </w:rPr>
              <w:t xml:space="preserve"> audited services identified through print, online and television advertisements. Audit activity included inspecting advertisements, ‘shadow shopping’ for services and examining information about the nature of complaints received by the TIO. Where audits identified potential contraventions of the code, the </w:t>
            </w:r>
            <w:r w:rsidR="00D11F2F">
              <w:rPr>
                <w:sz w:val="20"/>
                <w:szCs w:val="20"/>
              </w:rPr>
              <w:t>ACMA</w:t>
            </w:r>
            <w:r w:rsidRPr="109AC5CB">
              <w:rPr>
                <w:sz w:val="20"/>
                <w:szCs w:val="20"/>
              </w:rPr>
              <w:t xml:space="preserve"> has brought the problems to the attention of the suppliers of the mobile premium services concerned. In the majority of cases, changes to services to achieve future compliance have been readily volunteered. </w:t>
            </w:r>
            <w:r w:rsidR="00356067">
              <w:rPr>
                <w:sz w:val="20"/>
                <w:szCs w:val="20"/>
              </w:rPr>
              <w:t>T</w:t>
            </w:r>
            <w:r w:rsidR="00D11F2F">
              <w:rPr>
                <w:sz w:val="20"/>
                <w:szCs w:val="20"/>
              </w:rPr>
              <w:t>he ACMA</w:t>
            </w:r>
            <w:r w:rsidRPr="109AC5CB">
              <w:rPr>
                <w:sz w:val="20"/>
                <w:szCs w:val="20"/>
              </w:rPr>
              <w:t xml:space="preserve"> Annual report 2010–11 | 97 In cases where compliance with the code was not otherwise able to be procured, the </w:t>
            </w:r>
            <w:r w:rsidR="00D11F2F">
              <w:rPr>
                <w:sz w:val="20"/>
                <w:szCs w:val="20"/>
              </w:rPr>
              <w:t>ACMA</w:t>
            </w:r>
            <w:r w:rsidRPr="109AC5CB">
              <w:rPr>
                <w:sz w:val="20"/>
                <w:szCs w:val="20"/>
              </w:rPr>
              <w:t xml:space="preserve"> has initiated investigations under paragraph 510(1)(c) of the Telecommunications Act. During the reporting period, 11 such investigations were initiated.</w:t>
            </w:r>
            <w:r w:rsidR="00BC398F">
              <w:rPr>
                <w:rStyle w:val="FootnoteReference"/>
                <w:sz w:val="20"/>
                <w:szCs w:val="20"/>
              </w:rPr>
              <w:footnoteReference w:id="274"/>
            </w:r>
          </w:p>
          <w:p w14:paraId="6F656B11" w14:textId="42D855F8" w:rsidR="00FC5A0B" w:rsidRPr="005623A6" w:rsidRDefault="7903FBFE" w:rsidP="00FC5A0B">
            <w:pPr>
              <w:rPr>
                <w:rFonts w:cstheme="minorHAnsi"/>
                <w:b/>
                <w:sz w:val="20"/>
                <w:szCs w:val="20"/>
              </w:rPr>
            </w:pPr>
            <w:r w:rsidRPr="47ACCDB0">
              <w:rPr>
                <w:b/>
                <w:bCs/>
                <w:sz w:val="20"/>
                <w:szCs w:val="20"/>
              </w:rPr>
              <w:t xml:space="preserve">Integrated Public Number Database: </w:t>
            </w:r>
            <w:r w:rsidRPr="109AC5CB">
              <w:rPr>
                <w:sz w:val="20"/>
                <w:szCs w:val="20"/>
              </w:rPr>
              <w:t xml:space="preserve">As part of its IPND compliance program, in February 2011 the </w:t>
            </w:r>
            <w:r w:rsidR="00D11F2F">
              <w:rPr>
                <w:sz w:val="20"/>
                <w:szCs w:val="20"/>
              </w:rPr>
              <w:t>ACMA</w:t>
            </w:r>
            <w:r w:rsidRPr="109AC5CB">
              <w:rPr>
                <w:sz w:val="20"/>
                <w:szCs w:val="20"/>
              </w:rPr>
              <w:t xml:space="preserve"> commenced an investigation into whether CSPs are complying </w:t>
            </w:r>
            <w:r w:rsidRPr="109AC5CB">
              <w:rPr>
                <w:sz w:val="20"/>
                <w:szCs w:val="20"/>
              </w:rPr>
              <w:lastRenderedPageBreak/>
              <w:t xml:space="preserve">with their obligations to provide accurate customer data to the IPND. The </w:t>
            </w:r>
            <w:r w:rsidR="00D11F2F">
              <w:rPr>
                <w:sz w:val="20"/>
                <w:szCs w:val="20"/>
              </w:rPr>
              <w:t>ACMA</w:t>
            </w:r>
            <w:r w:rsidRPr="109AC5CB">
              <w:rPr>
                <w:sz w:val="20"/>
                <w:szCs w:val="20"/>
              </w:rPr>
              <w:t xml:space="preserve"> requested 600 records from the IPND Manager for 30 CSPs to ascertain whether the records contained in the IPND matched the customer records held by the providers. The CSPs selected include both the large and small end of the market and take into account the results of the </w:t>
            </w:r>
            <w:r w:rsidR="00D11F2F">
              <w:rPr>
                <w:sz w:val="20"/>
                <w:szCs w:val="20"/>
              </w:rPr>
              <w:t>ACMA</w:t>
            </w:r>
            <w:r w:rsidRPr="109AC5CB">
              <w:rPr>
                <w:sz w:val="20"/>
                <w:szCs w:val="20"/>
              </w:rPr>
              <w:t xml:space="preserve">’s 2009–10 IPND audit. The </w:t>
            </w:r>
            <w:r w:rsidR="00D11F2F">
              <w:rPr>
                <w:sz w:val="20"/>
                <w:szCs w:val="20"/>
              </w:rPr>
              <w:t>ACMA</w:t>
            </w:r>
            <w:r w:rsidRPr="109AC5CB">
              <w:rPr>
                <w:sz w:val="20"/>
                <w:szCs w:val="20"/>
              </w:rPr>
              <w:t>’s investigation is continuing</w:t>
            </w:r>
            <w:r w:rsidRPr="47ACCDB0">
              <w:rPr>
                <w:b/>
                <w:bCs/>
                <w:sz w:val="20"/>
                <w:szCs w:val="20"/>
              </w:rPr>
              <w:t>.</w:t>
            </w:r>
            <w:r w:rsidR="00FC5A0B" w:rsidRPr="47ACCDB0">
              <w:rPr>
                <w:rStyle w:val="FootnoteReference"/>
                <w:b/>
                <w:bCs/>
                <w:sz w:val="20"/>
                <w:szCs w:val="20"/>
              </w:rPr>
              <w:footnoteReference w:id="275"/>
            </w:r>
          </w:p>
        </w:tc>
      </w:tr>
      <w:tr w:rsidR="00FC5A0B" w:rsidRPr="005623A6" w14:paraId="684C8C1E" w14:textId="77777777" w:rsidTr="12EC14AA">
        <w:tc>
          <w:tcPr>
            <w:tcW w:w="465" w:type="pct"/>
            <w:tcBorders>
              <w:top w:val="single" w:sz="8" w:space="0" w:color="0F4BEB"/>
              <w:bottom w:val="single" w:sz="8" w:space="0" w:color="0F4BEB"/>
              <w:right w:val="single" w:sz="8" w:space="0" w:color="0F4BEB"/>
            </w:tcBorders>
          </w:tcPr>
          <w:p w14:paraId="66B6C19C" w14:textId="77777777" w:rsidR="00FC5A0B" w:rsidRPr="005623A6" w:rsidRDefault="00FC5A0B" w:rsidP="00FC5A0B">
            <w:pPr>
              <w:rPr>
                <w:rFonts w:cstheme="minorHAnsi"/>
                <w:b/>
                <w:sz w:val="20"/>
                <w:szCs w:val="20"/>
              </w:rPr>
            </w:pPr>
            <w:r w:rsidRPr="005623A6">
              <w:rPr>
                <w:rFonts w:cstheme="minorHAnsi"/>
                <w:b/>
                <w:sz w:val="20"/>
                <w:szCs w:val="20"/>
              </w:rPr>
              <w:lastRenderedPageBreak/>
              <w:t>2011-12</w:t>
            </w:r>
          </w:p>
        </w:tc>
        <w:tc>
          <w:tcPr>
            <w:tcW w:w="4535" w:type="pct"/>
            <w:tcBorders>
              <w:top w:val="single" w:sz="8" w:space="0" w:color="0F4BEB"/>
              <w:left w:val="single" w:sz="8" w:space="0" w:color="0F4BEB"/>
              <w:bottom w:val="single" w:sz="8" w:space="0" w:color="0F4BEB"/>
            </w:tcBorders>
          </w:tcPr>
          <w:p w14:paraId="0C2E7C9B" w14:textId="11B29C4F" w:rsidR="00FC5A0B" w:rsidRPr="005623A6" w:rsidRDefault="00D11F2F" w:rsidP="00FC5A0B">
            <w:pPr>
              <w:rPr>
                <w:rFonts w:cstheme="minorHAnsi"/>
                <w:sz w:val="20"/>
                <w:szCs w:val="20"/>
              </w:rPr>
            </w:pPr>
            <w:r>
              <w:rPr>
                <w:b/>
                <w:bCs/>
                <w:sz w:val="20"/>
                <w:szCs w:val="20"/>
              </w:rPr>
              <w:t>the ACMA</w:t>
            </w:r>
            <w:r w:rsidR="7903FBFE" w:rsidRPr="47ACCDB0">
              <w:rPr>
                <w:b/>
                <w:bCs/>
                <w:sz w:val="20"/>
                <w:szCs w:val="20"/>
              </w:rPr>
              <w:t xml:space="preserve">’s approach to telecommunications code compliance: </w:t>
            </w:r>
            <w:r w:rsidR="7903FBFE" w:rsidRPr="109AC5CB">
              <w:rPr>
                <w:sz w:val="20"/>
                <w:szCs w:val="20"/>
              </w:rPr>
              <w:t xml:space="preserve">Notes that </w:t>
            </w:r>
            <w:r>
              <w:rPr>
                <w:sz w:val="20"/>
                <w:szCs w:val="20"/>
              </w:rPr>
              <w:t>the ACMA</w:t>
            </w:r>
            <w:r w:rsidR="7903FBFE" w:rsidRPr="109AC5CB">
              <w:rPr>
                <w:sz w:val="20"/>
                <w:szCs w:val="20"/>
              </w:rPr>
              <w:t>’s main areas of focus during the reporting period have included undertaking code ‘audit’ programs of provider compliance with financial hardship and privacy of billing information.</w:t>
            </w:r>
            <w:r w:rsidR="00BC398F">
              <w:rPr>
                <w:rStyle w:val="FootnoteReference"/>
                <w:sz w:val="20"/>
                <w:szCs w:val="20"/>
              </w:rPr>
              <w:footnoteReference w:id="276"/>
            </w:r>
            <w:r w:rsidR="7903FBFE" w:rsidRPr="109AC5CB">
              <w:rPr>
                <w:sz w:val="20"/>
                <w:szCs w:val="20"/>
              </w:rPr>
              <w:t xml:space="preserve"> </w:t>
            </w:r>
          </w:p>
          <w:p w14:paraId="30B6B99C" w14:textId="44279A48" w:rsidR="00FC5A0B" w:rsidRPr="005623A6" w:rsidRDefault="7903FBFE" w:rsidP="00FC5A0B">
            <w:pPr>
              <w:rPr>
                <w:rFonts w:cstheme="minorHAnsi"/>
                <w:sz w:val="20"/>
                <w:szCs w:val="20"/>
              </w:rPr>
            </w:pPr>
            <w:r w:rsidRPr="47ACCDB0">
              <w:rPr>
                <w:b/>
                <w:bCs/>
                <w:sz w:val="20"/>
                <w:szCs w:val="20"/>
              </w:rPr>
              <w:t xml:space="preserve">Auditing the privacy of billing information: </w:t>
            </w:r>
            <w:r w:rsidRPr="109AC5CB">
              <w:rPr>
                <w:sz w:val="20"/>
                <w:szCs w:val="20"/>
              </w:rPr>
              <w:t xml:space="preserve">The TCP Code and Telecommunications Act impose obligations on providers about the disclosure and use of information gathered in the course of conducting their businesses.9 The </w:t>
            </w:r>
            <w:r w:rsidR="00D11F2F">
              <w:rPr>
                <w:sz w:val="20"/>
                <w:szCs w:val="20"/>
              </w:rPr>
              <w:t>ACMA</w:t>
            </w:r>
            <w:r w:rsidRPr="109AC5CB">
              <w:rPr>
                <w:sz w:val="20"/>
                <w:szCs w:val="20"/>
              </w:rPr>
              <w:t xml:space="preserve"> continued its audit of the 10 large providers to determine the measures that each has in place to safeguard the personal information of customers and the adequacy of these measures. The </w:t>
            </w:r>
            <w:r w:rsidR="00D11F2F">
              <w:rPr>
                <w:sz w:val="20"/>
                <w:szCs w:val="20"/>
              </w:rPr>
              <w:t>ACMA</w:t>
            </w:r>
            <w:r w:rsidRPr="109AC5CB">
              <w:rPr>
                <w:sz w:val="20"/>
                <w:szCs w:val="20"/>
              </w:rPr>
              <w:t xml:space="preserve">’s analysis of initial responses indicated that for eight providers, there were areas that required more detailed investigation. These investigations commenced in September 2011. The </w:t>
            </w:r>
            <w:r w:rsidR="00D11F2F">
              <w:rPr>
                <w:sz w:val="20"/>
                <w:szCs w:val="20"/>
              </w:rPr>
              <w:t>ACMA</w:t>
            </w:r>
            <w:r w:rsidRPr="109AC5CB">
              <w:rPr>
                <w:sz w:val="20"/>
                <w:szCs w:val="20"/>
              </w:rPr>
              <w:t xml:space="preserve"> was satisfied that all providers investigated had appropriate measures in place to meet their requirements under the Act and the TCP Code. However, recommendations were made to two of these providers on areas for improvement.</w:t>
            </w:r>
            <w:r w:rsidR="00FC5A0B" w:rsidRPr="109AC5CB">
              <w:rPr>
                <w:rStyle w:val="FootnoteReference"/>
                <w:sz w:val="20"/>
                <w:szCs w:val="20"/>
              </w:rPr>
              <w:footnoteReference w:id="277"/>
            </w:r>
          </w:p>
          <w:p w14:paraId="6CFB5D87" w14:textId="77777777" w:rsidR="00FC5A0B" w:rsidRPr="005623A6" w:rsidRDefault="00FC5A0B" w:rsidP="00FC5A0B">
            <w:pPr>
              <w:rPr>
                <w:rFonts w:cstheme="minorHAnsi"/>
                <w:sz w:val="20"/>
                <w:szCs w:val="20"/>
              </w:rPr>
            </w:pPr>
          </w:p>
          <w:p w14:paraId="023FE54E" w14:textId="50617F98" w:rsidR="00FC5A0B" w:rsidRPr="005623A6" w:rsidRDefault="7903FBFE" w:rsidP="00FC5A0B">
            <w:pPr>
              <w:rPr>
                <w:rFonts w:cstheme="minorHAnsi"/>
                <w:b/>
                <w:sz w:val="20"/>
                <w:szCs w:val="20"/>
              </w:rPr>
            </w:pPr>
            <w:r w:rsidRPr="47ACCDB0">
              <w:rPr>
                <w:b/>
                <w:bCs/>
                <w:sz w:val="20"/>
                <w:szCs w:val="20"/>
              </w:rPr>
              <w:t xml:space="preserve">Mobile Premium Services Code: </w:t>
            </w:r>
            <w:r w:rsidRPr="109AC5CB">
              <w:rPr>
                <w:sz w:val="20"/>
                <w:szCs w:val="20"/>
              </w:rPr>
              <w:t xml:space="preserve">Using advertising, market intelligence, referrals from other agencies and information provided by industry, the </w:t>
            </w:r>
            <w:r w:rsidR="00D11F2F">
              <w:rPr>
                <w:sz w:val="20"/>
                <w:szCs w:val="20"/>
              </w:rPr>
              <w:t>ACMA</w:t>
            </w:r>
            <w:r w:rsidRPr="109AC5CB">
              <w:rPr>
                <w:sz w:val="20"/>
                <w:szCs w:val="20"/>
              </w:rPr>
              <w:t xml:space="preserve"> identified services and providers to audit for compliance with the Mobile Premium Services Code (MPS Code). Using compliance audits, the </w:t>
            </w:r>
            <w:r w:rsidR="00D11F2F">
              <w:rPr>
                <w:sz w:val="20"/>
                <w:szCs w:val="20"/>
              </w:rPr>
              <w:t>ACMA</w:t>
            </w:r>
            <w:r w:rsidRPr="109AC5CB">
              <w:rPr>
                <w:sz w:val="20"/>
                <w:szCs w:val="20"/>
              </w:rPr>
              <w:t xml:space="preserve"> identified potential contraventions of the MPS Code and brought the problem to the attention of the premium service providers. In most cases, informal action has resulted in changes to services to achieve future compliance</w:t>
            </w:r>
            <w:r w:rsidR="00FC5A0B" w:rsidRPr="109AC5CB">
              <w:rPr>
                <w:rStyle w:val="FootnoteReference"/>
                <w:sz w:val="20"/>
                <w:szCs w:val="20"/>
              </w:rPr>
              <w:footnoteReference w:id="278"/>
            </w:r>
            <w:r w:rsidRPr="109AC5CB">
              <w:rPr>
                <w:sz w:val="20"/>
                <w:szCs w:val="20"/>
              </w:rPr>
              <w:t xml:space="preserve"> …. The </w:t>
            </w:r>
            <w:r w:rsidR="00D11F2F">
              <w:rPr>
                <w:sz w:val="20"/>
                <w:szCs w:val="20"/>
              </w:rPr>
              <w:t>ACMA</w:t>
            </w:r>
            <w:r w:rsidRPr="109AC5CB">
              <w:rPr>
                <w:sz w:val="20"/>
                <w:szCs w:val="20"/>
              </w:rPr>
              <w:t xml:space="preserve"> also audited industry compliance with the two service provider determinations that apply to mobile premium services. It found that all mobile CSPs complied with the Telecommunications Service Provider (Mobile Premium Services) Determination 2010 (No. 1) by offering barring of mobile premium services and providing information about barring to their customers at the required intervals. It also found that all mobile content aggregators complied with Telecommunications Service Provider (Mobile Premium Services) Determination 2010 (No. 2) by having contracts only with content providers that were listed on the CA register.</w:t>
            </w:r>
            <w:r w:rsidR="00FC5A0B" w:rsidRPr="109AC5CB">
              <w:rPr>
                <w:rStyle w:val="FootnoteReference"/>
                <w:sz w:val="20"/>
                <w:szCs w:val="20"/>
              </w:rPr>
              <w:footnoteReference w:id="279"/>
            </w:r>
          </w:p>
        </w:tc>
      </w:tr>
      <w:tr w:rsidR="00FC5A0B" w:rsidRPr="005623A6" w14:paraId="203CC471" w14:textId="77777777" w:rsidTr="12EC14AA">
        <w:tc>
          <w:tcPr>
            <w:tcW w:w="465" w:type="pct"/>
            <w:tcBorders>
              <w:top w:val="single" w:sz="8" w:space="0" w:color="0F4BEB"/>
              <w:bottom w:val="single" w:sz="8" w:space="0" w:color="0F4BEB"/>
              <w:right w:val="single" w:sz="8" w:space="0" w:color="0F4BEB"/>
            </w:tcBorders>
          </w:tcPr>
          <w:p w14:paraId="5BA8503D" w14:textId="77777777" w:rsidR="00FC5A0B" w:rsidRPr="005623A6" w:rsidRDefault="00FC5A0B" w:rsidP="00FC5A0B">
            <w:pPr>
              <w:rPr>
                <w:rFonts w:cstheme="minorHAnsi"/>
                <w:b/>
                <w:sz w:val="20"/>
                <w:szCs w:val="20"/>
              </w:rPr>
            </w:pPr>
            <w:r w:rsidRPr="005623A6">
              <w:rPr>
                <w:rFonts w:cstheme="minorHAnsi"/>
                <w:b/>
                <w:sz w:val="20"/>
                <w:szCs w:val="20"/>
              </w:rPr>
              <w:t xml:space="preserve">2013-14 </w:t>
            </w:r>
          </w:p>
        </w:tc>
        <w:tc>
          <w:tcPr>
            <w:tcW w:w="4535" w:type="pct"/>
            <w:tcBorders>
              <w:top w:val="single" w:sz="8" w:space="0" w:color="0F4BEB"/>
              <w:left w:val="single" w:sz="8" w:space="0" w:color="0F4BEB"/>
              <w:bottom w:val="single" w:sz="8" w:space="0" w:color="0F4BEB"/>
            </w:tcBorders>
          </w:tcPr>
          <w:p w14:paraId="631B0FDF" w14:textId="770C88BD" w:rsidR="00FC5A0B" w:rsidRPr="005623A6" w:rsidRDefault="7903FBFE" w:rsidP="00FC5A0B">
            <w:pPr>
              <w:rPr>
                <w:rFonts w:cstheme="minorHAnsi"/>
                <w:sz w:val="20"/>
                <w:szCs w:val="20"/>
              </w:rPr>
            </w:pPr>
            <w:r w:rsidRPr="47ACCDB0">
              <w:rPr>
                <w:b/>
                <w:bCs/>
                <w:sz w:val="20"/>
                <w:szCs w:val="20"/>
              </w:rPr>
              <w:t xml:space="preserve">Enquiries and Investigations about compliance with the TCP Code: </w:t>
            </w:r>
            <w:r w:rsidRPr="109AC5CB">
              <w:rPr>
                <w:sz w:val="20"/>
                <w:szCs w:val="20"/>
              </w:rPr>
              <w:t xml:space="preserve">Following its March 2013 audit of critical information summaries, the </w:t>
            </w:r>
            <w:r w:rsidR="00D11F2F">
              <w:rPr>
                <w:sz w:val="20"/>
                <w:szCs w:val="20"/>
              </w:rPr>
              <w:t>ACMA</w:t>
            </w:r>
            <w:r w:rsidRPr="109AC5CB">
              <w:rPr>
                <w:sz w:val="20"/>
                <w:szCs w:val="20"/>
              </w:rPr>
              <w:t xml:space="preserve"> conducted a follow-up audit of 46 providers in March 2014 to check that they have critical information summaries and these are in the prescribed format. Of the 46 providers assessed, only two per cent failed to have a critical information summary; 90 per cent were immediately compliant</w:t>
            </w:r>
            <w:r w:rsidR="00FC5A0B" w:rsidRPr="109AC5CB">
              <w:rPr>
                <w:rStyle w:val="FootnoteReference"/>
                <w:sz w:val="20"/>
                <w:szCs w:val="20"/>
              </w:rPr>
              <w:footnoteReference w:id="280"/>
            </w:r>
            <w:r w:rsidRPr="109AC5CB">
              <w:rPr>
                <w:sz w:val="20"/>
                <w:szCs w:val="20"/>
              </w:rPr>
              <w:t xml:space="preserve">….. In December 2013, the </w:t>
            </w:r>
            <w:r w:rsidR="00D11F2F">
              <w:rPr>
                <w:sz w:val="20"/>
                <w:szCs w:val="20"/>
              </w:rPr>
              <w:t>ACMA</w:t>
            </w:r>
            <w:r w:rsidRPr="109AC5CB">
              <w:rPr>
                <w:sz w:val="20"/>
                <w:szCs w:val="20"/>
              </w:rPr>
              <w:t xml:space="preserve"> commenced an audit of seven large and medium-sized providers of included value plans to assess their compliance with the usage alert requirements. The </w:t>
            </w:r>
            <w:r w:rsidR="00D11F2F">
              <w:rPr>
                <w:sz w:val="20"/>
                <w:szCs w:val="20"/>
              </w:rPr>
              <w:t>ACMA</w:t>
            </w:r>
            <w:r w:rsidRPr="109AC5CB">
              <w:rPr>
                <w:sz w:val="20"/>
                <w:szCs w:val="20"/>
              </w:rPr>
              <w:t xml:space="preserve"> found that most providers had a small incidence of failure to send notifications or the correct information at the 100 per cent notification level. However, all providers aside from one (discussed below) addressed systemic issues and were deemed compliant. The audit found that Dodo Services Pty Ltd (Dodo) did not comply with the required usage notification requirements, as it failed to send alerts to customers about their data use. The failure affected certain Dodo customers with a fixed broadband service during October and November 2013. In May 2014, the </w:t>
            </w:r>
            <w:r w:rsidR="00D11F2F">
              <w:rPr>
                <w:sz w:val="20"/>
                <w:szCs w:val="20"/>
              </w:rPr>
              <w:t>ACMA</w:t>
            </w:r>
            <w:r w:rsidRPr="109AC5CB">
              <w:rPr>
                <w:sz w:val="20"/>
                <w:szCs w:val="20"/>
              </w:rPr>
              <w:t xml:space="preserve"> issued Dodo with a formal warning for failing to comply with the usage alert requirements of the TCP Code.</w:t>
            </w:r>
            <w:r w:rsidR="00FC5A0B" w:rsidRPr="109AC5CB">
              <w:rPr>
                <w:rStyle w:val="FootnoteReference"/>
                <w:sz w:val="20"/>
                <w:szCs w:val="20"/>
              </w:rPr>
              <w:footnoteReference w:id="281"/>
            </w:r>
          </w:p>
        </w:tc>
      </w:tr>
      <w:tr w:rsidR="00FC5A0B" w:rsidRPr="005623A6" w14:paraId="2902367C" w14:textId="77777777" w:rsidTr="12EC14AA">
        <w:tc>
          <w:tcPr>
            <w:tcW w:w="465" w:type="pct"/>
            <w:tcBorders>
              <w:top w:val="single" w:sz="8" w:space="0" w:color="0F4BEB"/>
              <w:bottom w:val="single" w:sz="8" w:space="0" w:color="0F4BEB"/>
              <w:right w:val="single" w:sz="8" w:space="0" w:color="0F4BEB"/>
            </w:tcBorders>
          </w:tcPr>
          <w:p w14:paraId="11AC73AB" w14:textId="77777777" w:rsidR="00FC5A0B" w:rsidRPr="005623A6" w:rsidRDefault="00FC5A0B" w:rsidP="00FC5A0B">
            <w:pPr>
              <w:rPr>
                <w:rFonts w:cstheme="minorHAnsi"/>
                <w:b/>
                <w:sz w:val="20"/>
                <w:szCs w:val="20"/>
              </w:rPr>
            </w:pPr>
            <w:r w:rsidRPr="005623A6">
              <w:rPr>
                <w:rFonts w:cstheme="minorHAnsi"/>
                <w:b/>
                <w:sz w:val="20"/>
                <w:szCs w:val="20"/>
              </w:rPr>
              <w:lastRenderedPageBreak/>
              <w:t xml:space="preserve">2015-16 </w:t>
            </w:r>
          </w:p>
        </w:tc>
        <w:tc>
          <w:tcPr>
            <w:tcW w:w="4535" w:type="pct"/>
            <w:tcBorders>
              <w:top w:val="single" w:sz="8" w:space="0" w:color="0F4BEB"/>
              <w:left w:val="single" w:sz="8" w:space="0" w:color="0F4BEB"/>
              <w:bottom w:val="single" w:sz="8" w:space="0" w:color="0F4BEB"/>
            </w:tcBorders>
          </w:tcPr>
          <w:p w14:paraId="1FDE2A1C" w14:textId="36E6B1B9" w:rsidR="00FC5A0B" w:rsidRPr="005623A6" w:rsidRDefault="7903FBFE" w:rsidP="00FC5A0B">
            <w:pPr>
              <w:rPr>
                <w:rFonts w:cstheme="minorHAnsi"/>
                <w:b/>
                <w:sz w:val="20"/>
                <w:szCs w:val="20"/>
              </w:rPr>
            </w:pPr>
            <w:r w:rsidRPr="47ACCDB0">
              <w:rPr>
                <w:b/>
                <w:bCs/>
                <w:sz w:val="20"/>
                <w:szCs w:val="20"/>
              </w:rPr>
              <w:t xml:space="preserve">Financial Hardship Review: </w:t>
            </w:r>
            <w:r w:rsidRPr="109AC5CB">
              <w:rPr>
                <w:sz w:val="20"/>
                <w:szCs w:val="20"/>
              </w:rPr>
              <w:t xml:space="preserve">In 2015–16, the </w:t>
            </w:r>
            <w:r w:rsidR="00D11F2F">
              <w:rPr>
                <w:sz w:val="20"/>
                <w:szCs w:val="20"/>
              </w:rPr>
              <w:t>ACMA</w:t>
            </w:r>
            <w:r w:rsidRPr="109AC5CB">
              <w:rPr>
                <w:sz w:val="20"/>
                <w:szCs w:val="20"/>
              </w:rPr>
              <w:t xml:space="preserve"> conducted an audit of providers’ compliance with financial hardship provisions in the TCP Code. No investigations or enforcement action were considered necessary as a result of the audit.</w:t>
            </w:r>
            <w:bookmarkStart w:id="246" w:name="_Ref161680534"/>
            <w:r w:rsidR="00FC5A0B" w:rsidRPr="109AC5CB">
              <w:rPr>
                <w:rStyle w:val="FootnoteReference"/>
                <w:sz w:val="20"/>
                <w:szCs w:val="20"/>
              </w:rPr>
              <w:footnoteReference w:id="282"/>
            </w:r>
            <w:bookmarkEnd w:id="246"/>
          </w:p>
        </w:tc>
      </w:tr>
      <w:tr w:rsidR="00FC5A0B" w:rsidRPr="005623A6" w14:paraId="008A660B" w14:textId="77777777" w:rsidTr="12EC14AA">
        <w:tc>
          <w:tcPr>
            <w:tcW w:w="465" w:type="pct"/>
            <w:tcBorders>
              <w:top w:val="single" w:sz="8" w:space="0" w:color="0F4BEB"/>
              <w:bottom w:val="single" w:sz="8" w:space="0" w:color="0F4BEB"/>
              <w:right w:val="single" w:sz="8" w:space="0" w:color="0F4BEB"/>
            </w:tcBorders>
          </w:tcPr>
          <w:p w14:paraId="71310A48" w14:textId="77777777" w:rsidR="00FC5A0B" w:rsidRPr="005623A6" w:rsidRDefault="00FC5A0B" w:rsidP="00FC5A0B">
            <w:pPr>
              <w:rPr>
                <w:rFonts w:cstheme="minorHAnsi"/>
                <w:b/>
                <w:sz w:val="20"/>
                <w:szCs w:val="20"/>
              </w:rPr>
            </w:pPr>
            <w:r w:rsidRPr="005623A6">
              <w:rPr>
                <w:rFonts w:cstheme="minorHAnsi"/>
                <w:b/>
                <w:sz w:val="20"/>
                <w:szCs w:val="20"/>
              </w:rPr>
              <w:t>2017-18</w:t>
            </w:r>
          </w:p>
        </w:tc>
        <w:tc>
          <w:tcPr>
            <w:tcW w:w="4535" w:type="pct"/>
            <w:tcBorders>
              <w:top w:val="single" w:sz="8" w:space="0" w:color="0F4BEB"/>
              <w:left w:val="single" w:sz="8" w:space="0" w:color="0F4BEB"/>
              <w:bottom w:val="single" w:sz="8" w:space="0" w:color="0F4BEB"/>
            </w:tcBorders>
          </w:tcPr>
          <w:p w14:paraId="0164512A" w14:textId="77777777" w:rsidR="00FC5A0B" w:rsidRPr="005623A6" w:rsidRDefault="7903FBFE" w:rsidP="00FC5A0B">
            <w:pPr>
              <w:rPr>
                <w:rFonts w:cstheme="minorHAnsi"/>
                <w:b/>
                <w:sz w:val="20"/>
                <w:szCs w:val="20"/>
              </w:rPr>
            </w:pPr>
            <w:r w:rsidRPr="47ACCDB0">
              <w:rPr>
                <w:b/>
                <w:bCs/>
                <w:sz w:val="20"/>
                <w:szCs w:val="20"/>
              </w:rPr>
              <w:t xml:space="preserve">Financial Hardship Review: </w:t>
            </w:r>
            <w:r w:rsidRPr="109AC5CB">
              <w:rPr>
                <w:sz w:val="20"/>
                <w:szCs w:val="20"/>
              </w:rPr>
              <w:t>In 2017–18, we audited providers’ compliance with the requirement to publish a financial hardship policy on their website. The audit found a high level of compliance, with no enforcement action taken.</w:t>
            </w:r>
            <w:r w:rsidR="00FC5A0B" w:rsidRPr="109AC5CB">
              <w:rPr>
                <w:rStyle w:val="FootnoteReference"/>
                <w:sz w:val="20"/>
                <w:szCs w:val="20"/>
              </w:rPr>
              <w:footnoteReference w:id="283"/>
            </w:r>
          </w:p>
        </w:tc>
      </w:tr>
      <w:tr w:rsidR="00FC5A0B" w:rsidRPr="005623A6" w14:paraId="2F0034CD" w14:textId="77777777" w:rsidTr="12EC14AA">
        <w:tc>
          <w:tcPr>
            <w:tcW w:w="465" w:type="pct"/>
            <w:tcBorders>
              <w:top w:val="single" w:sz="8" w:space="0" w:color="0F4BEB"/>
              <w:bottom w:val="single" w:sz="8" w:space="0" w:color="0F4BEB"/>
              <w:right w:val="single" w:sz="8" w:space="0" w:color="0F4BEB"/>
            </w:tcBorders>
          </w:tcPr>
          <w:p w14:paraId="587966CC" w14:textId="77777777" w:rsidR="00FC5A0B" w:rsidRPr="005623A6" w:rsidRDefault="00FC5A0B" w:rsidP="00FC5A0B">
            <w:pPr>
              <w:rPr>
                <w:rFonts w:cstheme="minorHAnsi"/>
                <w:b/>
                <w:sz w:val="20"/>
                <w:szCs w:val="20"/>
              </w:rPr>
            </w:pPr>
            <w:r w:rsidRPr="005623A6">
              <w:rPr>
                <w:rFonts w:cstheme="minorHAnsi"/>
                <w:b/>
                <w:sz w:val="20"/>
                <w:szCs w:val="20"/>
              </w:rPr>
              <w:t>2018-19</w:t>
            </w:r>
          </w:p>
        </w:tc>
        <w:tc>
          <w:tcPr>
            <w:tcW w:w="4535" w:type="pct"/>
            <w:tcBorders>
              <w:top w:val="single" w:sz="8" w:space="0" w:color="0F4BEB"/>
              <w:left w:val="single" w:sz="8" w:space="0" w:color="0F4BEB"/>
              <w:bottom w:val="single" w:sz="8" w:space="0" w:color="0F4BEB"/>
            </w:tcBorders>
          </w:tcPr>
          <w:p w14:paraId="44698B4B" w14:textId="77777777" w:rsidR="00FC5A0B" w:rsidRPr="005623A6" w:rsidRDefault="00FC5A0B" w:rsidP="00FC5A0B">
            <w:pPr>
              <w:rPr>
                <w:rFonts w:cstheme="minorHAnsi"/>
                <w:b/>
                <w:sz w:val="20"/>
                <w:szCs w:val="20"/>
              </w:rPr>
            </w:pPr>
            <w:r w:rsidRPr="005623A6">
              <w:rPr>
                <w:rFonts w:cstheme="minorHAnsi"/>
                <w:b/>
                <w:sz w:val="20"/>
                <w:szCs w:val="20"/>
              </w:rPr>
              <w:t xml:space="preserve">NBN Consumer Experience Safeguards: </w:t>
            </w:r>
          </w:p>
          <w:p w14:paraId="20118C0C" w14:textId="6024A26D" w:rsidR="00FC5A0B" w:rsidRPr="005623A6" w:rsidRDefault="7903FBFE" w:rsidP="001019BA">
            <w:pPr>
              <w:pStyle w:val="ListParagraph"/>
              <w:numPr>
                <w:ilvl w:val="0"/>
                <w:numId w:val="38"/>
              </w:numPr>
              <w:rPr>
                <w:rFonts w:cstheme="minorHAnsi"/>
                <w:b/>
                <w:sz w:val="20"/>
                <w:szCs w:val="20"/>
              </w:rPr>
            </w:pPr>
            <w:r w:rsidRPr="109AC5CB">
              <w:rPr>
                <w:sz w:val="20"/>
                <w:szCs w:val="20"/>
                <w:u w:val="single"/>
              </w:rPr>
              <w:t>Consumer Information Standard</w:t>
            </w:r>
            <w:r w:rsidRPr="109AC5CB">
              <w:rPr>
                <w:sz w:val="20"/>
                <w:szCs w:val="20"/>
              </w:rPr>
              <w:t>—we concluded an audit of 25 CSPs, relating to advertising and information provided to consumers about NBN plans, resulting in eight investigations being undertaken.</w:t>
            </w:r>
            <w:r w:rsidR="006E6A74">
              <w:rPr>
                <w:rStyle w:val="FootnoteReference"/>
                <w:sz w:val="20"/>
                <w:szCs w:val="20"/>
              </w:rPr>
              <w:footnoteReference w:id="284"/>
            </w:r>
          </w:p>
          <w:p w14:paraId="5C366CFE" w14:textId="77777777" w:rsidR="00FC5A0B" w:rsidRPr="005623A6" w:rsidRDefault="00FC5A0B" w:rsidP="001019BA">
            <w:pPr>
              <w:pStyle w:val="ListParagraph"/>
              <w:numPr>
                <w:ilvl w:val="0"/>
                <w:numId w:val="38"/>
              </w:numPr>
              <w:rPr>
                <w:rFonts w:cstheme="minorHAnsi"/>
                <w:b/>
                <w:sz w:val="20"/>
                <w:szCs w:val="20"/>
              </w:rPr>
            </w:pPr>
            <w:r w:rsidRPr="005623A6">
              <w:rPr>
                <w:rFonts w:cstheme="minorHAnsi"/>
                <w:sz w:val="20"/>
                <w:szCs w:val="20"/>
                <w:u w:val="single"/>
              </w:rPr>
              <w:t>Service Continuity Standard and Service Migration Determination</w:t>
            </w:r>
            <w:r w:rsidRPr="005623A6">
              <w:rPr>
                <w:rFonts w:cstheme="minorHAnsi"/>
                <w:b/>
                <w:sz w:val="20"/>
                <w:szCs w:val="20"/>
              </w:rPr>
              <w:t xml:space="preserve">: </w:t>
            </w:r>
            <w:r w:rsidRPr="005623A6">
              <w:rPr>
                <w:rFonts w:cstheme="minorHAnsi"/>
                <w:sz w:val="20"/>
                <w:szCs w:val="20"/>
              </w:rPr>
              <w:t>the first in a series of audits was undertaken to assess compliance.</w:t>
            </w:r>
          </w:p>
        </w:tc>
      </w:tr>
      <w:tr w:rsidR="00FC5A0B" w:rsidRPr="005623A6" w14:paraId="5A19B617" w14:textId="77777777" w:rsidTr="12EC14AA">
        <w:tc>
          <w:tcPr>
            <w:tcW w:w="465" w:type="pct"/>
            <w:tcBorders>
              <w:top w:val="single" w:sz="8" w:space="0" w:color="0F4BEB"/>
              <w:bottom w:val="single" w:sz="8" w:space="0" w:color="0F4BEB"/>
              <w:right w:val="single" w:sz="8" w:space="0" w:color="0F4BEB"/>
            </w:tcBorders>
          </w:tcPr>
          <w:p w14:paraId="35F65EDC" w14:textId="77777777" w:rsidR="00FC5A0B" w:rsidRPr="005623A6" w:rsidRDefault="00FC5A0B" w:rsidP="00FC5A0B">
            <w:pPr>
              <w:rPr>
                <w:rFonts w:cstheme="minorHAnsi"/>
                <w:b/>
                <w:sz w:val="20"/>
                <w:szCs w:val="20"/>
              </w:rPr>
            </w:pPr>
            <w:r w:rsidRPr="005623A6">
              <w:rPr>
                <w:rFonts w:cstheme="minorHAnsi"/>
                <w:b/>
                <w:sz w:val="20"/>
                <w:szCs w:val="20"/>
              </w:rPr>
              <w:t>2019-20</w:t>
            </w:r>
          </w:p>
        </w:tc>
        <w:tc>
          <w:tcPr>
            <w:tcW w:w="4535" w:type="pct"/>
            <w:tcBorders>
              <w:top w:val="single" w:sz="8" w:space="0" w:color="0F4BEB"/>
              <w:left w:val="single" w:sz="8" w:space="0" w:color="0F4BEB"/>
              <w:bottom w:val="single" w:sz="8" w:space="0" w:color="0F4BEB"/>
            </w:tcBorders>
          </w:tcPr>
          <w:p w14:paraId="2C0DFBB3" w14:textId="77777777" w:rsidR="00FC5A0B" w:rsidRPr="005623A6" w:rsidRDefault="7903FBFE" w:rsidP="00FC5A0B">
            <w:pPr>
              <w:rPr>
                <w:rFonts w:cstheme="minorHAnsi"/>
                <w:sz w:val="20"/>
                <w:szCs w:val="20"/>
              </w:rPr>
            </w:pPr>
            <w:r w:rsidRPr="47ACCDB0">
              <w:rPr>
                <w:b/>
                <w:bCs/>
                <w:sz w:val="20"/>
                <w:szCs w:val="20"/>
              </w:rPr>
              <w:t xml:space="preserve">NBN Consumer Experience Rules: </w:t>
            </w:r>
            <w:r w:rsidRPr="109AC5CB">
              <w:rPr>
                <w:sz w:val="20"/>
                <w:szCs w:val="20"/>
              </w:rPr>
              <w:t>Monitoring compliance with the rules designed to help consumers move to the NBN was a 2019–20 telco consumer safeguards compliance priority. We utilised complaints data received under our Telecommunications (Consumer Complaints) Record-Keeping Rules 2018 (record-keeping rules) and data from other sources such as the Telecommunications Industry Ombudsman (TIO) to focus our compliance activities. These activities included compliance audits, investigations of potential non-compliance and enforcement action (where necessary). We also published the outcomes of our compliance activities concerning the NBN migration rules.</w:t>
            </w:r>
            <w:r w:rsidR="00FC5A0B" w:rsidRPr="109AC5CB">
              <w:rPr>
                <w:rStyle w:val="FootnoteReference"/>
                <w:sz w:val="20"/>
                <w:szCs w:val="20"/>
              </w:rPr>
              <w:footnoteReference w:id="285"/>
            </w:r>
          </w:p>
          <w:p w14:paraId="2F7DC384" w14:textId="77777777" w:rsidR="00FC5A0B" w:rsidRPr="005623A6" w:rsidRDefault="7903FBFE" w:rsidP="001019BA">
            <w:pPr>
              <w:pStyle w:val="ListParagraph"/>
              <w:numPr>
                <w:ilvl w:val="0"/>
                <w:numId w:val="39"/>
              </w:numPr>
              <w:rPr>
                <w:rFonts w:cstheme="minorHAnsi"/>
                <w:b/>
                <w:sz w:val="20"/>
                <w:szCs w:val="20"/>
              </w:rPr>
            </w:pPr>
            <w:r w:rsidRPr="109AC5CB">
              <w:rPr>
                <w:sz w:val="20"/>
                <w:szCs w:val="20"/>
              </w:rPr>
              <w:t>we completed investigations into the compliance by four providers with requirements in the Service Continuity Standard and Service Migration Determination following audits conducted early in the reporting period. The COVID-19 pandemic caused delays in finalising enforcement actions for these investigations. These will now be finalised in the next reporting period.</w:t>
            </w:r>
            <w:r w:rsidR="00FC5A0B" w:rsidRPr="109AC5CB">
              <w:rPr>
                <w:rStyle w:val="FootnoteReference"/>
                <w:sz w:val="20"/>
                <w:szCs w:val="20"/>
              </w:rPr>
              <w:footnoteReference w:id="286"/>
            </w:r>
          </w:p>
          <w:p w14:paraId="06C26F5B" w14:textId="77777777" w:rsidR="00FC5A0B" w:rsidRPr="005623A6" w:rsidRDefault="7903FBFE" w:rsidP="001019BA">
            <w:pPr>
              <w:pStyle w:val="ListParagraph"/>
              <w:numPr>
                <w:ilvl w:val="0"/>
                <w:numId w:val="39"/>
              </w:numPr>
              <w:rPr>
                <w:rFonts w:cstheme="minorHAnsi"/>
                <w:b/>
                <w:sz w:val="20"/>
                <w:szCs w:val="20"/>
              </w:rPr>
            </w:pPr>
            <w:r w:rsidRPr="109AC5CB">
              <w:rPr>
                <w:sz w:val="20"/>
                <w:szCs w:val="20"/>
              </w:rPr>
              <w:t>we commenced an audit of the compliance of six providers with requirements under the Service Continuity Standard and Service Migration Determination for parallel migrations (where the legacy service can remain operational while the NBN is connected), including whether postmigration testing is being completed and numbers are ported appropriately. The COVID-19 pandemic impeded our finalisation of this audit in the reporting period.</w:t>
            </w:r>
            <w:r w:rsidR="00FC5A0B" w:rsidRPr="109AC5CB">
              <w:rPr>
                <w:rStyle w:val="FootnoteReference"/>
                <w:sz w:val="20"/>
                <w:szCs w:val="20"/>
              </w:rPr>
              <w:footnoteReference w:id="287"/>
            </w:r>
          </w:p>
          <w:p w14:paraId="6C36A5B6" w14:textId="77777777" w:rsidR="00FC5A0B" w:rsidRPr="005623A6" w:rsidRDefault="00FC5A0B" w:rsidP="00FC5A0B">
            <w:pPr>
              <w:pStyle w:val="ListParagraph"/>
              <w:rPr>
                <w:rFonts w:cstheme="minorHAnsi"/>
                <w:b/>
                <w:sz w:val="20"/>
                <w:szCs w:val="20"/>
              </w:rPr>
            </w:pPr>
          </w:p>
          <w:p w14:paraId="0780250A" w14:textId="77777777" w:rsidR="00FC5A0B" w:rsidRPr="005623A6" w:rsidRDefault="7903FBFE" w:rsidP="00FC5A0B">
            <w:pPr>
              <w:rPr>
                <w:rFonts w:cstheme="minorHAnsi"/>
                <w:b/>
                <w:sz w:val="20"/>
                <w:szCs w:val="20"/>
              </w:rPr>
            </w:pPr>
            <w:r w:rsidRPr="47ACCDB0">
              <w:rPr>
                <w:b/>
                <w:bCs/>
                <w:sz w:val="20"/>
                <w:szCs w:val="20"/>
              </w:rPr>
              <w:t>Mobile network operators’ notification and consultation requirements:</w:t>
            </w:r>
            <w:r w:rsidRPr="109AC5CB">
              <w:rPr>
                <w:sz w:val="20"/>
                <w:szCs w:val="20"/>
              </w:rPr>
              <w:t xml:space="preserve"> We audited mobile network operators’ consultation and notification requirements set out under the Deployment Code. This compliance activity aimed to determine whether the carriers are complying with their obligations under the Deployment Code, which are intended to: &gt; allow the community and local councils to have greater participation in decisions made by carriers when deploying a mobile phone base station &gt; provide greater transparency to the public when a carrier is planning, selecting sites for, installing and operating mobile phone base station infrastructure. The audit assessed: &gt; 28 Telstra small cell sites &gt; 17 Optus small cell sites &gt; one Vodafone small cell site. The results of the audit indicated that the carriers have established processes and information materials to ensure compliance with the notification and consultation requirements in the Deployment Code. The local community, including councils, property owners and occupiers and those community members in sensitive locations are customarily being notified and consulted prior to the commencement of construction.</w:t>
            </w:r>
            <w:r w:rsidR="00FC5A0B" w:rsidRPr="109AC5CB">
              <w:rPr>
                <w:rStyle w:val="FootnoteReference"/>
                <w:sz w:val="20"/>
                <w:szCs w:val="20"/>
              </w:rPr>
              <w:footnoteReference w:id="288"/>
            </w:r>
          </w:p>
        </w:tc>
      </w:tr>
    </w:tbl>
    <w:p w14:paraId="3D002988" w14:textId="77777777" w:rsidR="004D0733" w:rsidRDefault="004D0733">
      <w:r>
        <w:br w:type="page"/>
      </w:r>
    </w:p>
    <w:tbl>
      <w:tblPr>
        <w:tblStyle w:val="TableGrid"/>
        <w:tblpPr w:leftFromText="181" w:rightFromText="181" w:vertAnchor="text" w:horzAnchor="margin" w:tblpY="25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listing ACMA's Compliance Audits from 2010 to 2023"/>
        <w:tblDescription w:val="Each row contains extracts of ACMA's Annual Reports from each year, detailing the compliance audits that were conducted during the relevant reporting period. "/>
      </w:tblPr>
      <w:tblGrid>
        <w:gridCol w:w="815"/>
        <w:gridCol w:w="7951"/>
      </w:tblGrid>
      <w:tr w:rsidR="00FC5A0B" w:rsidRPr="005623A6" w14:paraId="125EAEFD" w14:textId="77777777" w:rsidTr="12EC14AA">
        <w:tc>
          <w:tcPr>
            <w:tcW w:w="465" w:type="pct"/>
            <w:tcBorders>
              <w:top w:val="single" w:sz="8" w:space="0" w:color="0F4BEB"/>
              <w:bottom w:val="single" w:sz="8" w:space="0" w:color="0F4BEB"/>
              <w:right w:val="single" w:sz="8" w:space="0" w:color="0F4BEB"/>
            </w:tcBorders>
          </w:tcPr>
          <w:p w14:paraId="276B78CF" w14:textId="6354885C" w:rsidR="00FC5A0B" w:rsidRPr="005623A6" w:rsidRDefault="00FC5A0B" w:rsidP="00FC5A0B">
            <w:pPr>
              <w:rPr>
                <w:rFonts w:cstheme="minorHAnsi"/>
                <w:b/>
                <w:sz w:val="20"/>
                <w:szCs w:val="20"/>
              </w:rPr>
            </w:pPr>
            <w:r w:rsidRPr="005623A6">
              <w:rPr>
                <w:rFonts w:cstheme="minorHAnsi"/>
                <w:b/>
                <w:sz w:val="20"/>
                <w:szCs w:val="20"/>
              </w:rPr>
              <w:lastRenderedPageBreak/>
              <w:t>2020-21</w:t>
            </w:r>
          </w:p>
        </w:tc>
        <w:tc>
          <w:tcPr>
            <w:tcW w:w="4535" w:type="pct"/>
            <w:tcBorders>
              <w:top w:val="single" w:sz="8" w:space="0" w:color="0F4BEB"/>
              <w:left w:val="single" w:sz="8" w:space="0" w:color="0F4BEB"/>
              <w:bottom w:val="single" w:sz="8" w:space="0" w:color="0F4BEB"/>
            </w:tcBorders>
          </w:tcPr>
          <w:p w14:paraId="6106589E" w14:textId="77777777" w:rsidR="00FC5A0B" w:rsidRPr="005623A6" w:rsidRDefault="00FC5A0B" w:rsidP="00FC5A0B">
            <w:pPr>
              <w:rPr>
                <w:rFonts w:cstheme="minorHAnsi"/>
                <w:b/>
                <w:sz w:val="20"/>
                <w:szCs w:val="20"/>
              </w:rPr>
            </w:pPr>
            <w:r w:rsidRPr="005623A6">
              <w:rPr>
                <w:rFonts w:cstheme="minorHAnsi"/>
                <w:b/>
                <w:sz w:val="20"/>
                <w:szCs w:val="20"/>
              </w:rPr>
              <w:t xml:space="preserve">Strategic Priority 2: Public confidence in communications and media services through the provision of regulatory safeguards, information and advice. </w:t>
            </w:r>
          </w:p>
          <w:p w14:paraId="2ABAEE5D" w14:textId="77777777" w:rsidR="00E43DD6" w:rsidRPr="00E43DD6" w:rsidRDefault="00FC5A0B" w:rsidP="001019BA">
            <w:pPr>
              <w:pStyle w:val="ListParagraph"/>
              <w:numPr>
                <w:ilvl w:val="0"/>
                <w:numId w:val="40"/>
              </w:numPr>
              <w:rPr>
                <w:rFonts w:cstheme="minorHAnsi"/>
                <w:sz w:val="20"/>
                <w:szCs w:val="20"/>
              </w:rPr>
            </w:pPr>
            <w:r w:rsidRPr="109AC5CB">
              <w:rPr>
                <w:sz w:val="20"/>
                <w:szCs w:val="20"/>
              </w:rPr>
              <w:t xml:space="preserve">We continued monitoring and conducted audits of: online rules to protect children from exposure to gambling advertising during live sports events broadcast on television and radio, and streamed online </w:t>
            </w:r>
          </w:p>
          <w:p w14:paraId="4B8280D0" w14:textId="467251DA" w:rsidR="00FC5A0B" w:rsidRPr="005623A6" w:rsidRDefault="7707494A" w:rsidP="001019BA">
            <w:pPr>
              <w:pStyle w:val="ListParagraph"/>
              <w:numPr>
                <w:ilvl w:val="0"/>
                <w:numId w:val="40"/>
              </w:numPr>
              <w:rPr>
                <w:rFonts w:cstheme="minorHAnsi"/>
                <w:sz w:val="20"/>
                <w:szCs w:val="20"/>
              </w:rPr>
            </w:pPr>
            <w:r w:rsidRPr="109AC5CB">
              <w:rPr>
                <w:sz w:val="20"/>
                <w:szCs w:val="20"/>
              </w:rPr>
              <w:t>rules about responsible approaches to selling, credit assessment and financial hardship in the Telecommunications Consumer Protections (TCP) Code.</w:t>
            </w:r>
            <w:r w:rsidR="00FC5A0B" w:rsidRPr="109AC5CB">
              <w:rPr>
                <w:rStyle w:val="FootnoteReference"/>
                <w:sz w:val="20"/>
                <w:szCs w:val="20"/>
              </w:rPr>
              <w:footnoteReference w:id="289"/>
            </w:r>
          </w:p>
          <w:p w14:paraId="6894761D" w14:textId="77777777" w:rsidR="00FC5A0B" w:rsidRPr="005623A6" w:rsidRDefault="00FC5A0B" w:rsidP="00FC5A0B">
            <w:pPr>
              <w:rPr>
                <w:rFonts w:cstheme="minorHAnsi"/>
                <w:sz w:val="20"/>
                <w:szCs w:val="20"/>
              </w:rPr>
            </w:pPr>
          </w:p>
          <w:p w14:paraId="22842C79" w14:textId="77777777" w:rsidR="00FC5A0B" w:rsidRPr="005623A6" w:rsidRDefault="00FC5A0B" w:rsidP="00FC5A0B">
            <w:pPr>
              <w:rPr>
                <w:rFonts w:cstheme="minorHAnsi"/>
                <w:b/>
                <w:sz w:val="20"/>
                <w:szCs w:val="20"/>
              </w:rPr>
            </w:pPr>
            <w:r w:rsidRPr="005623A6">
              <w:rPr>
                <w:rFonts w:cstheme="minorHAnsi"/>
                <w:b/>
                <w:sz w:val="20"/>
                <w:szCs w:val="20"/>
              </w:rPr>
              <w:t xml:space="preserve">Monitoring compliance with the NBN consumer experience rules: a better move to the NBN: </w:t>
            </w:r>
          </w:p>
          <w:p w14:paraId="43AAF40D" w14:textId="77777777" w:rsidR="00FC5A0B" w:rsidRPr="005623A6" w:rsidRDefault="7707494A" w:rsidP="001019BA">
            <w:pPr>
              <w:pStyle w:val="ListParagraph"/>
              <w:numPr>
                <w:ilvl w:val="0"/>
                <w:numId w:val="40"/>
              </w:numPr>
              <w:rPr>
                <w:rFonts w:cstheme="minorHAnsi"/>
                <w:sz w:val="20"/>
                <w:szCs w:val="20"/>
              </w:rPr>
            </w:pPr>
            <w:r w:rsidRPr="109AC5CB">
              <w:rPr>
                <w:sz w:val="20"/>
                <w:szCs w:val="20"/>
              </w:rPr>
              <w:t xml:space="preserve">commenced investigations into 3 CSPs for potential non-compliance with the NBN Service Continuity Rules following the receipt of negative audit findings, with Optus Internet Pty Ltd found to have breached the service continuity rules. </w:t>
            </w:r>
            <w:r w:rsidR="00FC5A0B" w:rsidRPr="109AC5CB">
              <w:rPr>
                <w:rStyle w:val="FootnoteReference"/>
                <w:sz w:val="20"/>
                <w:szCs w:val="20"/>
              </w:rPr>
              <w:footnoteReference w:id="290"/>
            </w:r>
          </w:p>
          <w:p w14:paraId="10616540" w14:textId="77777777" w:rsidR="00FC5A0B" w:rsidRPr="005623A6" w:rsidRDefault="7707494A" w:rsidP="001019BA">
            <w:pPr>
              <w:pStyle w:val="ListParagraph"/>
              <w:numPr>
                <w:ilvl w:val="0"/>
                <w:numId w:val="40"/>
              </w:numPr>
              <w:rPr>
                <w:rFonts w:cstheme="minorHAnsi"/>
                <w:sz w:val="20"/>
                <w:szCs w:val="20"/>
              </w:rPr>
            </w:pPr>
            <w:r w:rsidRPr="109AC5CB">
              <w:rPr>
                <w:sz w:val="20"/>
                <w:szCs w:val="20"/>
              </w:rPr>
              <w:t>completing an audit to assess the compliance of 31 CSPs with requirements for key facts sheets in the NBN Consumer Information Standard. The audit found that the majority of the CSPs were complying with these requirements. Clear Networks Pty Ltd was found to have breached the requirements and has subsequently addressed this non-compliance.</w:t>
            </w:r>
            <w:r w:rsidR="00FC5A0B" w:rsidRPr="109AC5CB">
              <w:rPr>
                <w:rStyle w:val="FootnoteReference"/>
                <w:sz w:val="20"/>
                <w:szCs w:val="20"/>
              </w:rPr>
              <w:footnoteReference w:id="291"/>
            </w:r>
          </w:p>
          <w:p w14:paraId="03760984" w14:textId="77777777" w:rsidR="00FC5A0B" w:rsidRPr="005623A6" w:rsidRDefault="00FC5A0B" w:rsidP="00FC5A0B">
            <w:pPr>
              <w:rPr>
                <w:rFonts w:cstheme="minorHAnsi"/>
                <w:sz w:val="20"/>
                <w:szCs w:val="20"/>
              </w:rPr>
            </w:pPr>
          </w:p>
          <w:p w14:paraId="6257C872" w14:textId="77777777" w:rsidR="00FC5A0B" w:rsidRPr="005623A6" w:rsidRDefault="7903FBFE" w:rsidP="00FC5A0B">
            <w:pPr>
              <w:rPr>
                <w:rFonts w:cstheme="minorHAnsi"/>
                <w:sz w:val="20"/>
                <w:szCs w:val="20"/>
              </w:rPr>
            </w:pPr>
            <w:r w:rsidRPr="47ACCDB0">
              <w:rPr>
                <w:b/>
                <w:bCs/>
                <w:sz w:val="20"/>
                <w:szCs w:val="20"/>
              </w:rPr>
              <w:t xml:space="preserve">Protecting Telco Consumers: </w:t>
            </w:r>
            <w:r w:rsidRPr="109AC5CB">
              <w:rPr>
                <w:sz w:val="20"/>
                <w:szCs w:val="20"/>
              </w:rPr>
              <w:t>In April 2021, we completed an audit into CSPs’ compliance with the TCP Code rules. These rules require CSPs to tailor their dealings with vulnerable consumers, including by ensuring that their sales representatives sell their products in a responsible manner and interact appropriately with disadvantaged and vulnerable consumers. The audit involved reviewing information collected from 9 CSPs about: how they identify vulnerable consumers the actions they take to appropriately train and monitor their sales representatives in responsibly selling to vulnerable consumers whether they have identified any emerging or systemic deficiencies in the conduct of their sales representatives and, if so, what steps (if any) have been taken to address these issues the oversight arrangements and level of senior management engagement in ensuring sales representatives are interacting appropriately with vulnerable consumers.</w:t>
            </w:r>
            <w:r w:rsidR="00FC5A0B" w:rsidRPr="109AC5CB">
              <w:rPr>
                <w:rStyle w:val="FootnoteReference"/>
                <w:sz w:val="20"/>
                <w:szCs w:val="20"/>
              </w:rPr>
              <w:footnoteReference w:id="292"/>
            </w:r>
          </w:p>
          <w:p w14:paraId="5CB19FCB" w14:textId="77777777" w:rsidR="00FC5A0B" w:rsidRPr="005623A6" w:rsidRDefault="00FC5A0B" w:rsidP="00FC5A0B">
            <w:pPr>
              <w:rPr>
                <w:rFonts w:cstheme="minorHAnsi"/>
                <w:sz w:val="20"/>
                <w:szCs w:val="20"/>
              </w:rPr>
            </w:pPr>
          </w:p>
          <w:p w14:paraId="254C1B8B" w14:textId="77777777" w:rsidR="00FC5A0B" w:rsidRPr="005623A6" w:rsidRDefault="7903FBFE" w:rsidP="00FC5A0B">
            <w:pPr>
              <w:rPr>
                <w:rFonts w:cstheme="minorHAnsi"/>
                <w:b/>
                <w:sz w:val="20"/>
                <w:szCs w:val="20"/>
              </w:rPr>
            </w:pPr>
            <w:r w:rsidRPr="47ACCDB0">
              <w:rPr>
                <w:b/>
                <w:bCs/>
                <w:sz w:val="20"/>
                <w:szCs w:val="20"/>
              </w:rPr>
              <w:t xml:space="preserve">Other telecommunications matters: </w:t>
            </w:r>
            <w:r w:rsidRPr="109AC5CB">
              <w:rPr>
                <w:sz w:val="20"/>
                <w:szCs w:val="20"/>
              </w:rPr>
              <w:t>In 2020–21, we monitored telecommunications’ industry compliance through TIO referrals, self-reported breaches by telcos, and audits on telco consumer protection obligations. We completed 19 telecommunications investigations.</w:t>
            </w:r>
            <w:r w:rsidR="00FC5A0B" w:rsidRPr="109AC5CB">
              <w:rPr>
                <w:rStyle w:val="FootnoteReference"/>
                <w:sz w:val="20"/>
                <w:szCs w:val="20"/>
              </w:rPr>
              <w:footnoteReference w:id="293"/>
            </w:r>
            <w:r w:rsidR="00FC5A0B" w:rsidRPr="005623A6">
              <w:rPr>
                <w:rFonts w:cstheme="minorHAnsi"/>
                <w:sz w:val="20"/>
                <w:szCs w:val="20"/>
              </w:rPr>
              <w:cr/>
            </w:r>
          </w:p>
          <w:p w14:paraId="73C97371" w14:textId="77777777" w:rsidR="00FC5A0B" w:rsidRPr="005623A6" w:rsidRDefault="00FC5A0B" w:rsidP="00FC5A0B">
            <w:pPr>
              <w:rPr>
                <w:rFonts w:cstheme="minorHAnsi"/>
                <w:b/>
                <w:sz w:val="20"/>
                <w:szCs w:val="20"/>
              </w:rPr>
            </w:pPr>
          </w:p>
        </w:tc>
      </w:tr>
      <w:tr w:rsidR="00FC5A0B" w:rsidRPr="005623A6" w14:paraId="109F02FC" w14:textId="77777777" w:rsidTr="12EC14AA">
        <w:tc>
          <w:tcPr>
            <w:tcW w:w="465" w:type="pct"/>
            <w:tcBorders>
              <w:top w:val="single" w:sz="8" w:space="0" w:color="0F4BEB"/>
              <w:bottom w:val="single" w:sz="8" w:space="0" w:color="0F4BEB"/>
              <w:right w:val="single" w:sz="8" w:space="0" w:color="0F4BEB"/>
            </w:tcBorders>
          </w:tcPr>
          <w:p w14:paraId="556BD9FB" w14:textId="77777777" w:rsidR="00FC5A0B" w:rsidRPr="005623A6" w:rsidRDefault="00FC5A0B" w:rsidP="00FC5A0B">
            <w:pPr>
              <w:rPr>
                <w:rFonts w:cstheme="minorHAnsi"/>
                <w:b/>
                <w:sz w:val="20"/>
                <w:szCs w:val="20"/>
              </w:rPr>
            </w:pPr>
            <w:r w:rsidRPr="005623A6">
              <w:rPr>
                <w:rFonts w:cstheme="minorHAnsi"/>
                <w:b/>
                <w:sz w:val="20"/>
                <w:szCs w:val="20"/>
              </w:rPr>
              <w:t>2021-22</w:t>
            </w:r>
          </w:p>
        </w:tc>
        <w:tc>
          <w:tcPr>
            <w:tcW w:w="4535" w:type="pct"/>
            <w:tcBorders>
              <w:top w:val="single" w:sz="8" w:space="0" w:color="0F4BEB"/>
              <w:left w:val="single" w:sz="8" w:space="0" w:color="0F4BEB"/>
              <w:bottom w:val="single" w:sz="8" w:space="0" w:color="0F4BEB"/>
            </w:tcBorders>
          </w:tcPr>
          <w:p w14:paraId="25964342" w14:textId="7749D69A" w:rsidR="00FC5A0B" w:rsidRPr="005623A6" w:rsidRDefault="7903FBFE" w:rsidP="6B208ED7">
            <w:pPr>
              <w:rPr>
                <w:b/>
                <w:bCs/>
                <w:sz w:val="20"/>
                <w:szCs w:val="20"/>
              </w:rPr>
            </w:pPr>
            <w:r w:rsidRPr="6B208ED7">
              <w:rPr>
                <w:b/>
                <w:bCs/>
                <w:sz w:val="20"/>
                <w:szCs w:val="20"/>
              </w:rPr>
              <w:t xml:space="preserve">Decisions to open investigations are informed by risk assessments and consideration of potential harm to consumers: </w:t>
            </w:r>
            <w:r w:rsidRPr="109AC5CB">
              <w:rPr>
                <w:sz w:val="20"/>
                <w:szCs w:val="20"/>
              </w:rPr>
              <w:t xml:space="preserve">Other compliance activities included conducting 2 audits: &gt; one that assessed whether 8 telcos were complying with the Telecommunications (Consumer Complaints Handling) Industry Standard 2018 (the Complaints Handling Standard) in relation to small business customers &gt; the second reviewed data from 11 telcos over a 6-month period in relation to customer contact and compliance with the Telecommunications Consumer Protections Code (C628: 2019) (TCP Code) and Complaints Handling Standard. Overall, the results of both audits were positive, with the </w:t>
            </w:r>
            <w:r w:rsidR="00D11F2F">
              <w:rPr>
                <w:sz w:val="20"/>
                <w:szCs w:val="20"/>
              </w:rPr>
              <w:t>ACMA</w:t>
            </w:r>
            <w:r w:rsidRPr="109AC5CB">
              <w:rPr>
                <w:sz w:val="20"/>
                <w:szCs w:val="20"/>
              </w:rPr>
              <w:t xml:space="preserve"> finding telcos were largely compliant with relevant rules under the TCP Code and the Complaints Handling Standard.</w:t>
            </w:r>
            <w:r w:rsidR="00FC5A0B" w:rsidRPr="109AC5CB">
              <w:rPr>
                <w:rStyle w:val="FootnoteReference"/>
                <w:sz w:val="20"/>
                <w:szCs w:val="20"/>
              </w:rPr>
              <w:footnoteReference w:id="294"/>
            </w:r>
            <w:r w:rsidRPr="109AC5CB">
              <w:rPr>
                <w:sz w:val="20"/>
                <w:szCs w:val="20"/>
              </w:rPr>
              <w:t xml:space="preserve"> Overall, the results of both </w:t>
            </w:r>
            <w:r w:rsidRPr="109AC5CB">
              <w:rPr>
                <w:sz w:val="20"/>
                <w:szCs w:val="20"/>
              </w:rPr>
              <w:lastRenderedPageBreak/>
              <w:t xml:space="preserve">audits were positive, with the </w:t>
            </w:r>
            <w:r w:rsidR="00D11F2F">
              <w:rPr>
                <w:sz w:val="20"/>
                <w:szCs w:val="20"/>
              </w:rPr>
              <w:t>ACMA</w:t>
            </w:r>
            <w:r w:rsidRPr="109AC5CB">
              <w:rPr>
                <w:sz w:val="20"/>
                <w:szCs w:val="20"/>
              </w:rPr>
              <w:t xml:space="preserve"> finding telcos were largely compliant with relevant rules under the TCP Code and the Complaints Handling Standard.</w:t>
            </w:r>
          </w:p>
        </w:tc>
      </w:tr>
      <w:tr w:rsidR="00FC5A0B" w:rsidRPr="005623A6" w14:paraId="54DC5B6C" w14:textId="77777777" w:rsidTr="12EC14AA">
        <w:tc>
          <w:tcPr>
            <w:tcW w:w="465" w:type="pct"/>
            <w:tcBorders>
              <w:top w:val="single" w:sz="8" w:space="0" w:color="0F4BEB"/>
              <w:right w:val="single" w:sz="8" w:space="0" w:color="0F4BEB"/>
            </w:tcBorders>
          </w:tcPr>
          <w:p w14:paraId="3F424661" w14:textId="77777777" w:rsidR="00FC5A0B" w:rsidRPr="005623A6" w:rsidRDefault="00FC5A0B" w:rsidP="00FC5A0B">
            <w:pPr>
              <w:rPr>
                <w:rFonts w:cstheme="minorHAnsi"/>
                <w:b/>
                <w:sz w:val="20"/>
                <w:szCs w:val="20"/>
              </w:rPr>
            </w:pPr>
            <w:r w:rsidRPr="005623A6">
              <w:rPr>
                <w:rFonts w:cstheme="minorHAnsi"/>
                <w:b/>
                <w:sz w:val="20"/>
                <w:szCs w:val="20"/>
              </w:rPr>
              <w:lastRenderedPageBreak/>
              <w:t>2022-23</w:t>
            </w:r>
          </w:p>
        </w:tc>
        <w:tc>
          <w:tcPr>
            <w:tcW w:w="4535" w:type="pct"/>
            <w:tcBorders>
              <w:top w:val="single" w:sz="8" w:space="0" w:color="0F4BEB"/>
              <w:left w:val="single" w:sz="8" w:space="0" w:color="0F4BEB"/>
            </w:tcBorders>
          </w:tcPr>
          <w:p w14:paraId="339A5971" w14:textId="77777777" w:rsidR="00705DD9" w:rsidRPr="00C2521E" w:rsidRDefault="00705DD9" w:rsidP="00705DD9">
            <w:pPr>
              <w:rPr>
                <w:b/>
                <w:sz w:val="20"/>
                <w:szCs w:val="20"/>
              </w:rPr>
            </w:pPr>
            <w:r w:rsidRPr="00C2521E">
              <w:rPr>
                <w:b/>
                <w:sz w:val="20"/>
                <w:szCs w:val="20"/>
              </w:rPr>
              <w:t>Financial Hardship</w:t>
            </w:r>
          </w:p>
          <w:p w14:paraId="43660AA2" w14:textId="66BABB11" w:rsidR="00705DD9" w:rsidRDefault="1FB9BF69" w:rsidP="00705DD9">
            <w:pPr>
              <w:rPr>
                <w:sz w:val="20"/>
                <w:szCs w:val="20"/>
              </w:rPr>
            </w:pPr>
            <w:r w:rsidRPr="00FF07E3">
              <w:rPr>
                <w:sz w:val="20"/>
                <w:szCs w:val="20"/>
              </w:rPr>
              <w:t xml:space="preserve">Over the last 4 years, the </w:t>
            </w:r>
            <w:r w:rsidR="00D11F2F">
              <w:rPr>
                <w:sz w:val="20"/>
                <w:szCs w:val="20"/>
              </w:rPr>
              <w:t>ACMA</w:t>
            </w:r>
            <w:r w:rsidRPr="00FF07E3">
              <w:rPr>
                <w:sz w:val="20"/>
                <w:szCs w:val="20"/>
              </w:rPr>
              <w:t xml:space="preserve"> has had a strong focus on consumers that may be facing financial pressures in paying their telco bills. This culminated in our major report – Financial hardship in the telco sector – being published in the reporting period. This report found that in the previous 12 months, a significant number of Australians had experienced difficulty paying for, or had concerns with, their telco bills.</w:t>
            </w:r>
            <w:r w:rsidR="00705DD9">
              <w:rPr>
                <w:rStyle w:val="FootnoteReference"/>
                <w:sz w:val="20"/>
                <w:szCs w:val="20"/>
              </w:rPr>
              <w:footnoteReference w:id="295"/>
            </w:r>
          </w:p>
          <w:p w14:paraId="1C6A8504" w14:textId="77777777" w:rsidR="00705DD9" w:rsidRDefault="1FB9BF69" w:rsidP="00705DD9">
            <w:pPr>
              <w:rPr>
                <w:sz w:val="20"/>
                <w:szCs w:val="20"/>
              </w:rPr>
            </w:pPr>
            <w:r>
              <w:rPr>
                <w:sz w:val="20"/>
                <w:szCs w:val="20"/>
              </w:rPr>
              <w:t xml:space="preserve">[The report included the following explanation: </w:t>
            </w:r>
            <w:r w:rsidRPr="00C2521E">
              <w:rPr>
                <w:sz w:val="20"/>
                <w:szCs w:val="20"/>
              </w:rPr>
              <w:t>In December 2022, we completed an audit of 15 telcos’ compliance with financial hardship and disconnection notification requirements in the TCP Code. As a result of the audit findings, we are undertaking some investigations. The investigation reports, including any breach findings, will be published on our website</w:t>
            </w:r>
            <w:r>
              <w:rPr>
                <w:sz w:val="20"/>
                <w:szCs w:val="20"/>
              </w:rPr>
              <w:t>.</w:t>
            </w:r>
            <w:r w:rsidR="00705DD9">
              <w:rPr>
                <w:rStyle w:val="FootnoteReference"/>
                <w:sz w:val="20"/>
                <w:szCs w:val="20"/>
              </w:rPr>
              <w:footnoteReference w:id="296"/>
            </w:r>
            <w:r>
              <w:rPr>
                <w:sz w:val="20"/>
                <w:szCs w:val="20"/>
              </w:rPr>
              <w:t>]</w:t>
            </w:r>
          </w:p>
          <w:p w14:paraId="50F4748C" w14:textId="77777777" w:rsidR="00705DD9" w:rsidRDefault="00705DD9" w:rsidP="00705DD9">
            <w:pPr>
              <w:rPr>
                <w:b/>
                <w:bCs/>
                <w:sz w:val="20"/>
                <w:szCs w:val="20"/>
              </w:rPr>
            </w:pPr>
          </w:p>
          <w:p w14:paraId="755AF609" w14:textId="38A7A2E4" w:rsidR="00FC5A0B" w:rsidRPr="005623A6" w:rsidRDefault="00FC5A0B" w:rsidP="00705DD9">
            <w:pPr>
              <w:rPr>
                <w:b/>
                <w:bCs/>
                <w:sz w:val="20"/>
                <w:szCs w:val="20"/>
              </w:rPr>
            </w:pPr>
            <w:r w:rsidRPr="6B208ED7">
              <w:rPr>
                <w:b/>
                <w:bCs/>
                <w:sz w:val="20"/>
                <w:szCs w:val="20"/>
              </w:rPr>
              <w:t xml:space="preserve"> </w:t>
            </w:r>
            <w:r w:rsidR="7173CE48" w:rsidRPr="6B208ED7">
              <w:rPr>
                <w:b/>
                <w:bCs/>
                <w:sz w:val="20"/>
                <w:szCs w:val="20"/>
              </w:rPr>
              <w:t>Combatting SMS Scams</w:t>
            </w:r>
          </w:p>
          <w:p w14:paraId="455D1E4B" w14:textId="474F1442" w:rsidR="00FC5A0B" w:rsidRPr="005623A6" w:rsidRDefault="7A139885" w:rsidP="001019BA">
            <w:pPr>
              <w:pStyle w:val="ListParagraph"/>
              <w:numPr>
                <w:ilvl w:val="0"/>
                <w:numId w:val="9"/>
              </w:numPr>
              <w:rPr>
                <w:sz w:val="20"/>
                <w:szCs w:val="20"/>
              </w:rPr>
            </w:pPr>
            <w:r w:rsidRPr="00CC7CC0">
              <w:rPr>
                <w:sz w:val="20"/>
                <w:szCs w:val="20"/>
              </w:rPr>
              <w:t xml:space="preserve">As of 30 June 2023, </w:t>
            </w:r>
            <w:r w:rsidR="00D11F2F">
              <w:rPr>
                <w:sz w:val="20"/>
                <w:szCs w:val="20"/>
              </w:rPr>
              <w:t>the ACMA</w:t>
            </w:r>
            <w:r w:rsidRPr="00CC7CC0">
              <w:rPr>
                <w:sz w:val="20"/>
                <w:szCs w:val="20"/>
              </w:rPr>
              <w:t xml:space="preserve"> had audited, or were in the process of auditing, the compliance of 42 SMS aggregators (telecommunications providers that send bul</w:t>
            </w:r>
            <w:r w:rsidR="0093688C">
              <w:rPr>
                <w:sz w:val="20"/>
                <w:szCs w:val="20"/>
              </w:rPr>
              <w:t>k</w:t>
            </w:r>
            <w:r w:rsidRPr="00CC7CC0">
              <w:rPr>
                <w:sz w:val="20"/>
                <w:szCs w:val="20"/>
              </w:rPr>
              <w:t xml:space="preserve"> text messages with the Reducing Scam Call and Scam SMS</w:t>
            </w:r>
            <w:r w:rsidR="4AE3DC9F" w:rsidRPr="00CC7CC0">
              <w:rPr>
                <w:sz w:val="20"/>
                <w:szCs w:val="20"/>
              </w:rPr>
              <w:t xml:space="preserve"> Code.</w:t>
            </w:r>
          </w:p>
          <w:p w14:paraId="6C92BFFE" w14:textId="190EC6CF" w:rsidR="00FC5A0B" w:rsidRPr="00DC17FD" w:rsidRDefault="1C978696" w:rsidP="001019BA">
            <w:pPr>
              <w:pStyle w:val="ListParagraph"/>
              <w:numPr>
                <w:ilvl w:val="0"/>
                <w:numId w:val="9"/>
              </w:numPr>
              <w:rPr>
                <w:sz w:val="20"/>
                <w:szCs w:val="20"/>
              </w:rPr>
            </w:pPr>
            <w:r w:rsidRPr="2433C7D0">
              <w:rPr>
                <w:sz w:val="20"/>
                <w:szCs w:val="20"/>
              </w:rPr>
              <w:t>It completed audits of 54 telco providers into their compliance processes with the Telecommunications Service Provider (Customer Identity Authentication) Determination 2022 and Telecommunications (Mobile Number Pr</w:t>
            </w:r>
            <w:r w:rsidR="17166508" w:rsidRPr="2433C7D0">
              <w:rPr>
                <w:sz w:val="20"/>
                <w:szCs w:val="20"/>
              </w:rPr>
              <w:t>e-</w:t>
            </w:r>
            <w:r w:rsidR="7F655257" w:rsidRPr="2433C7D0">
              <w:rPr>
                <w:sz w:val="20"/>
                <w:szCs w:val="20"/>
              </w:rPr>
              <w:t>P</w:t>
            </w:r>
            <w:r w:rsidR="69D4002B" w:rsidRPr="2433C7D0">
              <w:rPr>
                <w:sz w:val="20"/>
                <w:szCs w:val="20"/>
              </w:rPr>
              <w:t>o</w:t>
            </w:r>
            <w:r w:rsidR="7F655257" w:rsidRPr="2433C7D0">
              <w:rPr>
                <w:sz w:val="20"/>
                <w:szCs w:val="20"/>
              </w:rPr>
              <w:t>rting Additional</w:t>
            </w:r>
            <w:r w:rsidR="66A566C0" w:rsidRPr="2433C7D0">
              <w:rPr>
                <w:sz w:val="20"/>
                <w:szCs w:val="20"/>
              </w:rPr>
              <w:t xml:space="preserve"> Identity Verification) Standard 2020.</w:t>
            </w:r>
          </w:p>
        </w:tc>
      </w:tr>
      <w:bookmarkEnd w:id="242"/>
      <w:bookmarkEnd w:id="243"/>
      <w:bookmarkEnd w:id="244"/>
      <w:bookmarkEnd w:id="245"/>
    </w:tbl>
    <w:p w14:paraId="24AC2AA8" w14:textId="77777777" w:rsidR="00FC5A0B" w:rsidRPr="00FC5A0B" w:rsidRDefault="00FC5A0B" w:rsidP="00BA0D85">
      <w:pPr>
        <w:rPr>
          <w:rFonts w:cstheme="minorHAnsi"/>
          <w:bCs/>
          <w:sz w:val="20"/>
          <w:szCs w:val="20"/>
        </w:rPr>
      </w:pPr>
    </w:p>
    <w:p w14:paraId="7BED427F" w14:textId="77777777" w:rsidR="00A14ACB" w:rsidRPr="005623A6" w:rsidRDefault="00A14ACB" w:rsidP="001019BA">
      <w:pPr>
        <w:pStyle w:val="paragraph"/>
        <w:jc w:val="left"/>
        <w:textAlignment w:val="baseline"/>
      </w:pPr>
    </w:p>
    <w:p w14:paraId="581D0FAD" w14:textId="77777777" w:rsidR="003B3190" w:rsidRPr="005623A6" w:rsidRDefault="003B3190" w:rsidP="003B3190"/>
    <w:sectPr w:rsidR="003B3190" w:rsidRPr="005623A6" w:rsidSect="009F02A7">
      <w:pgSz w:w="11906" w:h="16838"/>
      <w:pgMar w:top="1440" w:right="170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E1E93" w14:textId="77777777" w:rsidR="009F02A7" w:rsidRDefault="009F02A7" w:rsidP="009B25CD">
      <w:pPr>
        <w:spacing w:after="0" w:line="240" w:lineRule="auto"/>
      </w:pPr>
      <w:r>
        <w:separator/>
      </w:r>
    </w:p>
  </w:endnote>
  <w:endnote w:type="continuationSeparator" w:id="0">
    <w:p w14:paraId="6BB68947" w14:textId="77777777" w:rsidR="009F02A7" w:rsidRDefault="009F02A7" w:rsidP="009B25CD">
      <w:pPr>
        <w:spacing w:after="0" w:line="240" w:lineRule="auto"/>
      </w:pPr>
      <w:r>
        <w:continuationSeparator/>
      </w:r>
    </w:p>
  </w:endnote>
  <w:endnote w:type="continuationNotice" w:id="1">
    <w:p w14:paraId="00C2785A" w14:textId="77777777" w:rsidR="009F02A7" w:rsidRDefault="009F02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787586"/>
      <w:docPartObj>
        <w:docPartGallery w:val="Page Numbers (Bottom of Page)"/>
        <w:docPartUnique/>
      </w:docPartObj>
    </w:sdtPr>
    <w:sdtEndPr>
      <w:rPr>
        <w:noProof/>
      </w:rPr>
    </w:sdtEndPr>
    <w:sdtContent>
      <w:p w14:paraId="6A1442AB" w14:textId="77777777" w:rsidR="00712508" w:rsidRDefault="00712508">
        <w:pPr>
          <w:pStyle w:val="Footer"/>
          <w:jc w:val="center"/>
        </w:pPr>
        <w:r>
          <w:fldChar w:fldCharType="begin"/>
        </w:r>
        <w:r>
          <w:instrText xml:space="preserve"> PAGE   \* MERGEFORMAT </w:instrText>
        </w:r>
        <w:r>
          <w:fldChar w:fldCharType="separate"/>
        </w:r>
        <w:r>
          <w:rPr>
            <w:noProof/>
          </w:rPr>
          <w:t>37</w:t>
        </w:r>
        <w:r>
          <w:rPr>
            <w:noProof/>
          </w:rPr>
          <w:fldChar w:fldCharType="end"/>
        </w:r>
      </w:p>
    </w:sdtContent>
  </w:sdt>
  <w:p w14:paraId="264E99BA" w14:textId="77777777" w:rsidR="00712508" w:rsidRDefault="00712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62C6A" w14:textId="77777777" w:rsidR="009F02A7" w:rsidRDefault="009F02A7" w:rsidP="009B25CD">
      <w:pPr>
        <w:spacing w:after="0" w:line="240" w:lineRule="auto"/>
      </w:pPr>
      <w:r>
        <w:separator/>
      </w:r>
    </w:p>
  </w:footnote>
  <w:footnote w:type="continuationSeparator" w:id="0">
    <w:p w14:paraId="17E18D2E" w14:textId="77777777" w:rsidR="009F02A7" w:rsidRDefault="009F02A7" w:rsidP="009B25CD">
      <w:pPr>
        <w:spacing w:after="0" w:line="240" w:lineRule="auto"/>
      </w:pPr>
      <w:r>
        <w:continuationSeparator/>
      </w:r>
    </w:p>
  </w:footnote>
  <w:footnote w:type="continuationNotice" w:id="1">
    <w:p w14:paraId="5554292E" w14:textId="77777777" w:rsidR="009F02A7" w:rsidRDefault="009F02A7">
      <w:pPr>
        <w:spacing w:after="0" w:line="240" w:lineRule="auto"/>
      </w:pPr>
    </w:p>
  </w:footnote>
  <w:footnote w:id="2">
    <w:p w14:paraId="1739596B" w14:textId="27306654"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Annex A for all editions of industry codes registered by the ACMA under Part 6 of the Tel Act at the time of writing.</w:t>
      </w:r>
    </w:p>
  </w:footnote>
  <w:footnote w:id="3">
    <w:p w14:paraId="3F9F8FC3" w14:textId="2969916E"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The Telecommunications (Financial Hardship) Industry Standard 2024 was not in force during the time period that is the focus of this report.</w:t>
      </w:r>
    </w:p>
  </w:footnote>
  <w:footnote w:id="4">
    <w:p w14:paraId="0D70F683" w14:textId="4F21B5F6" w:rsidR="00712508" w:rsidRPr="002059EF" w:rsidRDefault="00712508" w:rsidP="00CD4CE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respectively, </w:t>
      </w:r>
      <w:r w:rsidRPr="002059EF">
        <w:rPr>
          <w:rFonts w:cs="Arial"/>
          <w:i/>
          <w:iCs/>
          <w:sz w:val="18"/>
          <w:szCs w:val="18"/>
          <w:lang w:val="en-AU"/>
        </w:rPr>
        <w:t>Telecommunications Act 1997</w:t>
      </w:r>
      <w:r w:rsidRPr="002059EF">
        <w:rPr>
          <w:rFonts w:cs="Arial"/>
          <w:sz w:val="18"/>
          <w:szCs w:val="18"/>
          <w:lang w:val="en-AU"/>
        </w:rPr>
        <w:t xml:space="preserve"> (Cth) (Tel Act) pts 18, 22–23, s 529, pt 17.</w:t>
      </w:r>
    </w:p>
  </w:footnote>
  <w:footnote w:id="5">
    <w:p w14:paraId="41ADB0AB" w14:textId="45274367" w:rsidR="00712508" w:rsidRPr="002059EF" w:rsidRDefault="00712508" w:rsidP="00CD4CE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respectively, </w:t>
      </w:r>
      <w:r w:rsidRPr="002059EF">
        <w:rPr>
          <w:rFonts w:cs="Arial"/>
          <w:i/>
          <w:iCs/>
          <w:sz w:val="18"/>
          <w:szCs w:val="18"/>
          <w:lang w:val="en-AU"/>
        </w:rPr>
        <w:t>Telecommunications (Consumer Protection and Service Standards) Act 1999</w:t>
      </w:r>
      <w:r w:rsidRPr="002059EF">
        <w:rPr>
          <w:rFonts w:cs="Arial"/>
          <w:sz w:val="18"/>
          <w:szCs w:val="18"/>
          <w:lang w:val="en-AU"/>
        </w:rPr>
        <w:t xml:space="preserve"> (Cth) (</w:t>
      </w:r>
      <w:r w:rsidRPr="002059EF">
        <w:rPr>
          <w:rFonts w:cs="Arial"/>
          <w:iCs/>
          <w:sz w:val="18"/>
          <w:szCs w:val="18"/>
          <w:lang w:val="en-AU"/>
        </w:rPr>
        <w:t>TCPSS Act</w:t>
      </w:r>
      <w:r w:rsidRPr="002059EF">
        <w:rPr>
          <w:rFonts w:cs="Arial"/>
          <w:sz w:val="18"/>
          <w:szCs w:val="18"/>
          <w:lang w:val="en-AU"/>
        </w:rPr>
        <w:t xml:space="preserve">) pts 6, 8. </w:t>
      </w:r>
    </w:p>
  </w:footnote>
  <w:footnote w:id="6">
    <w:p w14:paraId="3F5F68FD" w14:textId="73361636" w:rsidR="00712508" w:rsidRPr="002059EF" w:rsidRDefault="00712508" w:rsidP="00CD4CE3">
      <w:pPr>
        <w:pStyle w:val="NoSpacing"/>
        <w:jc w:val="both"/>
        <w:rPr>
          <w:rFonts w:cs="Arial"/>
          <w:sz w:val="18"/>
          <w:szCs w:val="18"/>
        </w:rPr>
      </w:pPr>
      <w:r w:rsidRPr="002059EF">
        <w:rPr>
          <w:rStyle w:val="FootnoteReference"/>
          <w:rFonts w:cs="Arial"/>
          <w:sz w:val="18"/>
          <w:szCs w:val="18"/>
          <w:lang w:val="en-AU"/>
        </w:rPr>
        <w:footnoteRef/>
      </w:r>
      <w:r w:rsidRPr="002059EF">
        <w:rPr>
          <w:rFonts w:cs="Arial"/>
          <w:sz w:val="18"/>
          <w:szCs w:val="18"/>
          <w:lang w:val="en-AU"/>
        </w:rPr>
        <w:t xml:space="preserve"> See, respectively, </w:t>
      </w:r>
      <w:r w:rsidRPr="002059EF">
        <w:rPr>
          <w:rFonts w:cs="Arial"/>
          <w:iCs/>
          <w:sz w:val="18"/>
          <w:szCs w:val="18"/>
          <w:lang w:val="en-AU"/>
        </w:rPr>
        <w:t>Tel Act</w:t>
      </w:r>
      <w:r w:rsidRPr="002059EF">
        <w:rPr>
          <w:rFonts w:cs="Arial"/>
          <w:sz w:val="18"/>
          <w:szCs w:val="18"/>
          <w:lang w:val="en-AU"/>
        </w:rPr>
        <w:t xml:space="preserve"> pts 18, 22, 17, s 529.</w:t>
      </w:r>
    </w:p>
  </w:footnote>
  <w:footnote w:id="7">
    <w:p w14:paraId="4A4B75B8" w14:textId="78C5DA4D" w:rsidR="00712508" w:rsidRPr="002059EF" w:rsidRDefault="00712508" w:rsidP="00780683">
      <w:pPr>
        <w:pStyle w:val="NoSpacing"/>
        <w:jc w:val="both"/>
        <w:rPr>
          <w:rFonts w:cs="Arial"/>
          <w:sz w:val="18"/>
          <w:szCs w:val="18"/>
          <w:lang w:val="en-AU"/>
        </w:rPr>
      </w:pPr>
      <w:r w:rsidRPr="002059EF">
        <w:rPr>
          <w:rStyle w:val="FootnoteReference"/>
          <w:rFonts w:cs="Arial"/>
          <w:sz w:val="18"/>
          <w:szCs w:val="18"/>
        </w:rPr>
        <w:footnoteRef/>
      </w:r>
      <w:r w:rsidRPr="002059EF">
        <w:rPr>
          <w:rFonts w:cs="Arial"/>
          <w:sz w:val="18"/>
          <w:szCs w:val="18"/>
        </w:rPr>
        <w:t xml:space="preserve"> See, respectively, </w:t>
      </w:r>
      <w:r w:rsidRPr="002059EF">
        <w:rPr>
          <w:rFonts w:cs="Arial"/>
          <w:iCs/>
          <w:sz w:val="18"/>
          <w:szCs w:val="18"/>
        </w:rPr>
        <w:t>TCPSS Act</w:t>
      </w:r>
      <w:r w:rsidRPr="002059EF">
        <w:rPr>
          <w:rFonts w:cs="Arial"/>
          <w:sz w:val="18"/>
          <w:szCs w:val="18"/>
        </w:rPr>
        <w:t xml:space="preserve"> pts 6, 8. Carriers are also required to join the TIO dispute resolution scheme, but this obligation falls outside the scope of this report as the TIO resolves disputes arising between carriers and landowners.</w:t>
      </w:r>
    </w:p>
  </w:footnote>
  <w:footnote w:id="8">
    <w:p w14:paraId="7297390A" w14:textId="5861AC49"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the ACMA, </w:t>
      </w:r>
      <w:r w:rsidRPr="002059EF">
        <w:rPr>
          <w:rFonts w:cs="Arial"/>
          <w:i/>
          <w:iCs/>
          <w:sz w:val="18"/>
          <w:szCs w:val="18"/>
        </w:rPr>
        <w:t>Additional Conditions of a Carrier Licence – Telstra Limited (ACN 086 174 781)</w:t>
      </w:r>
      <w:r w:rsidRPr="002059EF">
        <w:rPr>
          <w:rFonts w:cs="Arial"/>
          <w:sz w:val="18"/>
          <w:szCs w:val="18"/>
        </w:rPr>
        <w:t xml:space="preserve"> &lt;https://data.gov.au/data/dataset/52db5013-1a63-4d14-90f8-c19fb6289695/resource/fbe82ecc-4975-409f-bbf0-c817d80c9195/download/additional-conditions-on-a-carrier-licence-telstra-limited.pdf&gt;.</w:t>
      </w:r>
    </w:p>
  </w:footnote>
  <w:footnote w:id="9">
    <w:p w14:paraId="4BEFFC71" w14:textId="77777777" w:rsidR="00712508" w:rsidRPr="002059EF" w:rsidRDefault="00712508" w:rsidP="003F6D4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Arie Freiberg, </w:t>
      </w:r>
      <w:r w:rsidRPr="002059EF">
        <w:rPr>
          <w:rFonts w:cs="Arial"/>
          <w:i/>
          <w:iCs/>
          <w:sz w:val="18"/>
          <w:szCs w:val="18"/>
          <w:lang w:val="en-AU"/>
        </w:rPr>
        <w:t>Regulation in Australia</w:t>
      </w:r>
      <w:r w:rsidRPr="002059EF">
        <w:rPr>
          <w:rFonts w:cs="Arial"/>
          <w:sz w:val="18"/>
          <w:szCs w:val="18"/>
          <w:lang w:val="en-AU"/>
        </w:rPr>
        <w:t xml:space="preserve"> (The Federation Press, 2017) 401.</w:t>
      </w:r>
    </w:p>
  </w:footnote>
  <w:footnote w:id="10">
    <w:p w14:paraId="50B46AC5" w14:textId="14448186" w:rsidR="00712508" w:rsidRPr="002059EF" w:rsidRDefault="00712508" w:rsidP="003F6D43">
      <w:pPr>
        <w:pStyle w:val="NoSpacing"/>
        <w:jc w:val="both"/>
        <w:rPr>
          <w:rFonts w:cs="Arial"/>
          <w:sz w:val="18"/>
          <w:szCs w:val="18"/>
        </w:rPr>
      </w:pPr>
      <w:r w:rsidRPr="002059EF">
        <w:rPr>
          <w:rStyle w:val="FootnoteReference"/>
          <w:rFonts w:cs="Arial"/>
          <w:sz w:val="18"/>
          <w:szCs w:val="18"/>
          <w:lang w:val="en-AU"/>
        </w:rPr>
        <w:footnoteRef/>
      </w:r>
      <w:r w:rsidRPr="002059EF">
        <w:rPr>
          <w:rFonts w:cs="Arial"/>
          <w:sz w:val="18"/>
          <w:szCs w:val="18"/>
          <w:lang w:val="en-AU"/>
        </w:rPr>
        <w:t xml:space="preserve"> See, eg, Australian Law Reform Commission, </w:t>
      </w:r>
      <w:r w:rsidRPr="002059EF">
        <w:rPr>
          <w:rFonts w:cs="Arial"/>
          <w:i/>
          <w:iCs/>
          <w:sz w:val="18"/>
          <w:szCs w:val="18"/>
          <w:lang w:val="en-AU"/>
        </w:rPr>
        <w:t>Principled Regulation: Federal Civil and Administrative Penalties in Australia</w:t>
      </w:r>
      <w:r w:rsidRPr="002059EF">
        <w:rPr>
          <w:rFonts w:cs="Arial"/>
          <w:sz w:val="18"/>
          <w:szCs w:val="18"/>
          <w:lang w:val="en-AU"/>
        </w:rPr>
        <w:t xml:space="preserve"> (Report No 95, March 2002) [2.60] noting its influence on the Australian government’s decision to incorporate the use of civil penalties into the Corporations Law (now the Corporations Act) in 1993; Mary Ivec et al, ‘Applications of Responsive Regulatory Theory in Australia and Overseas: Update’ (Occasional Paper No 23, Regulatory Institutions Network, College of Asia and the Pacific, Australian National University, March 2015).</w:t>
      </w:r>
    </w:p>
  </w:footnote>
  <w:footnote w:id="11">
    <w:p w14:paraId="3470DABD" w14:textId="77777777" w:rsidR="00712508" w:rsidRPr="002059EF" w:rsidRDefault="00712508" w:rsidP="003F6D4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Ian Ayres and John Braithwaite, </w:t>
      </w:r>
      <w:r w:rsidRPr="002059EF">
        <w:rPr>
          <w:rFonts w:cs="Arial"/>
          <w:i/>
          <w:iCs/>
          <w:sz w:val="18"/>
          <w:szCs w:val="18"/>
          <w:lang w:val="en-AU"/>
        </w:rPr>
        <w:t>Responsive Regulation: Transcending the Deregulation Debate</w:t>
      </w:r>
      <w:r w:rsidRPr="002059EF">
        <w:rPr>
          <w:rFonts w:cs="Arial"/>
          <w:sz w:val="18"/>
          <w:szCs w:val="18"/>
          <w:lang w:val="en-AU"/>
        </w:rPr>
        <w:t xml:space="preserve"> (Oxford University Press, 1992).</w:t>
      </w:r>
    </w:p>
  </w:footnote>
  <w:footnote w:id="12">
    <w:p w14:paraId="68844FF6" w14:textId="77777777" w:rsidR="00712508" w:rsidRPr="002059EF" w:rsidRDefault="00712508" w:rsidP="003F6D43">
      <w:pPr>
        <w:pStyle w:val="NoSpacing"/>
        <w:jc w:val="both"/>
        <w:rPr>
          <w:rFonts w:cs="Arial"/>
          <w:i/>
          <w:iCs/>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John Braithwaite, </w:t>
      </w:r>
      <w:r w:rsidRPr="002059EF">
        <w:rPr>
          <w:rFonts w:cs="Arial"/>
          <w:i/>
          <w:iCs/>
          <w:sz w:val="18"/>
          <w:szCs w:val="18"/>
          <w:lang w:val="en-AU"/>
        </w:rPr>
        <w:t xml:space="preserve">Regulatory Capitalism: How It Works, Ideas for Making It Work Better </w:t>
      </w:r>
      <w:r w:rsidRPr="002059EF">
        <w:rPr>
          <w:rFonts w:cs="Arial"/>
          <w:sz w:val="18"/>
          <w:szCs w:val="18"/>
          <w:lang w:val="en-AU"/>
        </w:rPr>
        <w:t>(Edward Elgar, 2008) 88.</w:t>
      </w:r>
    </w:p>
  </w:footnote>
  <w:footnote w:id="13">
    <w:p w14:paraId="36FC7F43" w14:textId="77777777" w:rsidR="00712508" w:rsidRPr="002059EF" w:rsidRDefault="00712508" w:rsidP="003F6D4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Tripartism involves government fostering public interest group participation in the regulatory process.</w:t>
      </w:r>
    </w:p>
  </w:footnote>
  <w:footnote w:id="14">
    <w:p w14:paraId="0FAB0097" w14:textId="737373EF" w:rsidR="00712508" w:rsidRPr="002059EF" w:rsidRDefault="00712508" w:rsidP="003F6D4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Enforced self-regulation involves regulators requiring companies to write their own rules – rules that reflect their specific needs. The rules are subject to the approval of regulators with public interest groups having the opportunity to comment </w:t>
      </w:r>
      <w:r>
        <w:rPr>
          <w:rFonts w:cs="Arial"/>
          <w:sz w:val="18"/>
          <w:szCs w:val="18"/>
          <w:lang w:val="en-AU"/>
        </w:rPr>
        <w:t>o</w:t>
      </w:r>
      <w:r w:rsidRPr="002059EF">
        <w:rPr>
          <w:rFonts w:cs="Arial"/>
          <w:sz w:val="18"/>
          <w:szCs w:val="18"/>
          <w:lang w:val="en-AU"/>
        </w:rPr>
        <w:t xml:space="preserve">n them in draft. Regulators are responsible for monitoring industry compliance with approved rules and taking enforcement action where required. However, large businesses are required to set up independent inspector groups that would have principal responsibility for enforcing the rules.   </w:t>
      </w:r>
    </w:p>
  </w:footnote>
  <w:footnote w:id="15">
    <w:p w14:paraId="2E424CC4" w14:textId="77777777" w:rsidR="00712508" w:rsidRPr="002059EF" w:rsidRDefault="00712508" w:rsidP="003F6D4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Partial industry intervention is the idea that only select section(s) of an industry, rather than entire industries, should be regulated.</w:t>
      </w:r>
    </w:p>
  </w:footnote>
  <w:footnote w:id="16">
    <w:p w14:paraId="4087BF9D" w14:textId="77777777" w:rsidR="00712508" w:rsidRPr="002059EF" w:rsidRDefault="00712508" w:rsidP="003F6D4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Peter Mascini, ‘Why Was the Enforcement Pyramid So Influential? And What Price Was Paid?’ (2013) 7(1) </w:t>
      </w:r>
      <w:r w:rsidRPr="002059EF">
        <w:rPr>
          <w:rFonts w:cs="Arial"/>
          <w:i/>
          <w:iCs/>
          <w:sz w:val="18"/>
          <w:szCs w:val="18"/>
          <w:lang w:val="en-AU"/>
        </w:rPr>
        <w:t>Regulation &amp; Governance</w:t>
      </w:r>
      <w:r w:rsidRPr="002059EF">
        <w:rPr>
          <w:rFonts w:cs="Arial"/>
          <w:sz w:val="18"/>
          <w:szCs w:val="18"/>
          <w:lang w:val="en-AU"/>
        </w:rPr>
        <w:t xml:space="preserve"> 48.</w:t>
      </w:r>
    </w:p>
  </w:footnote>
  <w:footnote w:id="17">
    <w:p w14:paraId="32CEBDA8" w14:textId="2018F9E0" w:rsidR="00712508" w:rsidRPr="002059EF" w:rsidRDefault="00712508" w:rsidP="00AC24AC">
      <w:pPr>
        <w:pStyle w:val="NoSpacing"/>
        <w:jc w:val="both"/>
        <w:rPr>
          <w:rFonts w:cs="Arial"/>
          <w:sz w:val="18"/>
          <w:szCs w:val="18"/>
        </w:rPr>
      </w:pPr>
      <w:r w:rsidRPr="002059EF">
        <w:rPr>
          <w:rStyle w:val="FootnoteReference"/>
          <w:rFonts w:cs="Arial"/>
          <w:sz w:val="18"/>
          <w:szCs w:val="18"/>
          <w:lang w:val="en-AU"/>
        </w:rPr>
        <w:footnoteRef/>
      </w:r>
      <w:r w:rsidRPr="002059EF">
        <w:rPr>
          <w:rFonts w:cs="Arial"/>
          <w:sz w:val="18"/>
          <w:szCs w:val="18"/>
          <w:lang w:val="en-AU"/>
        </w:rPr>
        <w:t xml:space="preserve"> Ivec</w:t>
      </w:r>
      <w:r>
        <w:rPr>
          <w:rFonts w:cs="Arial"/>
          <w:sz w:val="18"/>
          <w:szCs w:val="18"/>
          <w:lang w:val="en-AU"/>
        </w:rPr>
        <w:t xml:space="preserve"> et al</w:t>
      </w:r>
      <w:r w:rsidRPr="002059EF">
        <w:rPr>
          <w:rFonts w:cs="Arial"/>
          <w:sz w:val="18"/>
          <w:szCs w:val="18"/>
          <w:lang w:val="en-AU"/>
        </w:rPr>
        <w:t xml:space="preserve"> (n </w:t>
      </w:r>
      <w:r>
        <w:rPr>
          <w:rFonts w:cs="Arial"/>
          <w:sz w:val="18"/>
          <w:szCs w:val="18"/>
          <w:lang w:val="en-AU"/>
        </w:rPr>
        <w:fldChar w:fldCharType="begin"/>
      </w:r>
      <w:r>
        <w:rPr>
          <w:rFonts w:cs="Arial"/>
          <w:sz w:val="18"/>
          <w:szCs w:val="18"/>
          <w:lang w:val="en-AU"/>
        </w:rPr>
        <w:instrText xml:space="preserve"> NOTEREF _Ref161677382 \h </w:instrText>
      </w:r>
      <w:r>
        <w:rPr>
          <w:rFonts w:cs="Arial"/>
          <w:sz w:val="18"/>
          <w:szCs w:val="18"/>
          <w:lang w:val="en-AU"/>
        </w:rPr>
      </w:r>
      <w:r>
        <w:rPr>
          <w:rFonts w:cs="Arial"/>
          <w:sz w:val="18"/>
          <w:szCs w:val="18"/>
          <w:lang w:val="en-AU"/>
        </w:rPr>
        <w:fldChar w:fldCharType="separate"/>
      </w:r>
      <w:r w:rsidR="00B02191">
        <w:rPr>
          <w:rFonts w:cs="Arial"/>
          <w:sz w:val="18"/>
          <w:szCs w:val="18"/>
          <w:lang w:val="en-AU"/>
        </w:rPr>
        <w:t>9</w:t>
      </w:r>
      <w:r>
        <w:rPr>
          <w:rFonts w:cs="Arial"/>
          <w:sz w:val="18"/>
          <w:szCs w:val="18"/>
          <w:lang w:val="en-AU"/>
        </w:rPr>
        <w:fldChar w:fldCharType="end"/>
      </w:r>
      <w:r w:rsidRPr="002059EF">
        <w:rPr>
          <w:rFonts w:cs="Arial"/>
          <w:sz w:val="18"/>
          <w:szCs w:val="18"/>
          <w:lang w:val="en-AU"/>
        </w:rPr>
        <w:t xml:space="preserve">) 6. </w:t>
      </w:r>
    </w:p>
  </w:footnote>
  <w:footnote w:id="18">
    <w:p w14:paraId="404EA4C8" w14:textId="478123F5"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John Braithwaite (n </w:t>
      </w:r>
      <w:r>
        <w:rPr>
          <w:rFonts w:cs="Arial"/>
          <w:sz w:val="18"/>
          <w:szCs w:val="18"/>
          <w:lang w:val="en-AU"/>
        </w:rPr>
        <w:fldChar w:fldCharType="begin"/>
      </w:r>
      <w:r>
        <w:rPr>
          <w:rFonts w:cs="Arial"/>
          <w:sz w:val="18"/>
          <w:szCs w:val="18"/>
          <w:lang w:val="en-AU"/>
        </w:rPr>
        <w:instrText xml:space="preserve"> NOTEREF _Ref161677430 \h </w:instrText>
      </w:r>
      <w:r>
        <w:rPr>
          <w:rFonts w:cs="Arial"/>
          <w:sz w:val="18"/>
          <w:szCs w:val="18"/>
          <w:lang w:val="en-AU"/>
        </w:rPr>
      </w:r>
      <w:r>
        <w:rPr>
          <w:rFonts w:cs="Arial"/>
          <w:sz w:val="18"/>
          <w:szCs w:val="18"/>
          <w:lang w:val="en-AU"/>
        </w:rPr>
        <w:fldChar w:fldCharType="separate"/>
      </w:r>
      <w:r w:rsidR="00B02191">
        <w:rPr>
          <w:rFonts w:cs="Arial"/>
          <w:sz w:val="18"/>
          <w:szCs w:val="18"/>
          <w:lang w:val="en-AU"/>
        </w:rPr>
        <w:t>11</w:t>
      </w:r>
      <w:r>
        <w:rPr>
          <w:rFonts w:cs="Arial"/>
          <w:sz w:val="18"/>
          <w:szCs w:val="18"/>
          <w:lang w:val="en-AU"/>
        </w:rPr>
        <w:fldChar w:fldCharType="end"/>
      </w:r>
      <w:r w:rsidRPr="002059EF">
        <w:rPr>
          <w:rFonts w:cs="Arial"/>
          <w:sz w:val="18"/>
          <w:szCs w:val="18"/>
          <w:lang w:val="en-AU"/>
        </w:rPr>
        <w:t>) 89.</w:t>
      </w:r>
    </w:p>
  </w:footnote>
  <w:footnote w:id="19">
    <w:p w14:paraId="241462D3"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p>
  </w:footnote>
  <w:footnote w:id="20">
    <w:p w14:paraId="3D200E25"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90.</w:t>
      </w:r>
    </w:p>
  </w:footnote>
  <w:footnote w:id="21">
    <w:p w14:paraId="11CB84F3"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p>
  </w:footnote>
  <w:footnote w:id="22">
    <w:p w14:paraId="47B81A25" w14:textId="6EF544B5"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Ayres and Braithwaite (n </w:t>
      </w:r>
      <w:r>
        <w:rPr>
          <w:rFonts w:cs="Arial"/>
          <w:sz w:val="18"/>
          <w:szCs w:val="18"/>
        </w:rPr>
        <w:fldChar w:fldCharType="begin"/>
      </w:r>
      <w:r>
        <w:rPr>
          <w:rFonts w:cs="Arial"/>
          <w:sz w:val="18"/>
          <w:szCs w:val="18"/>
        </w:rPr>
        <w:instrText xml:space="preserve"> NOTEREF _Ref161677473 \h </w:instrText>
      </w:r>
      <w:r>
        <w:rPr>
          <w:rFonts w:cs="Arial"/>
          <w:sz w:val="18"/>
          <w:szCs w:val="18"/>
        </w:rPr>
      </w:r>
      <w:r>
        <w:rPr>
          <w:rFonts w:cs="Arial"/>
          <w:sz w:val="18"/>
          <w:szCs w:val="18"/>
        </w:rPr>
        <w:fldChar w:fldCharType="separate"/>
      </w:r>
      <w:r w:rsidR="00B02191">
        <w:rPr>
          <w:rFonts w:cs="Arial"/>
          <w:sz w:val="18"/>
          <w:szCs w:val="18"/>
        </w:rPr>
        <w:t>10</w:t>
      </w:r>
      <w:r>
        <w:rPr>
          <w:rFonts w:cs="Arial"/>
          <w:sz w:val="18"/>
          <w:szCs w:val="18"/>
        </w:rPr>
        <w:fldChar w:fldCharType="end"/>
      </w:r>
      <w:r w:rsidRPr="002059EF">
        <w:rPr>
          <w:rFonts w:cs="Arial"/>
          <w:sz w:val="18"/>
          <w:szCs w:val="18"/>
        </w:rPr>
        <w:t>) 35.</w:t>
      </w:r>
    </w:p>
  </w:footnote>
  <w:footnote w:id="23">
    <w:p w14:paraId="7CCFDC4C"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Vibeke Lehmann Nielsen and Christine Parker, ‘Mixed Motives: Economic, Social, and Normative Motivations in Business Compliance’ (2012) 34(4) </w:t>
      </w:r>
      <w:r w:rsidRPr="002059EF">
        <w:rPr>
          <w:rFonts w:cs="Arial"/>
          <w:i/>
          <w:iCs/>
          <w:sz w:val="18"/>
          <w:szCs w:val="18"/>
          <w:lang w:val="en-AU"/>
        </w:rPr>
        <w:t>Law and Policy</w:t>
      </w:r>
      <w:r w:rsidRPr="002059EF">
        <w:rPr>
          <w:rFonts w:cs="Arial"/>
          <w:sz w:val="18"/>
          <w:szCs w:val="18"/>
          <w:lang w:val="en-AU"/>
        </w:rPr>
        <w:t xml:space="preserve"> 428, 429.</w:t>
      </w:r>
    </w:p>
  </w:footnote>
  <w:footnote w:id="24">
    <w:p w14:paraId="4D434E2A" w14:textId="5AC933E3"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Ayres and Braithwaite (n </w:t>
      </w:r>
      <w:r>
        <w:rPr>
          <w:rFonts w:cs="Arial"/>
          <w:sz w:val="18"/>
          <w:szCs w:val="18"/>
          <w:lang w:val="en-AU"/>
        </w:rPr>
        <w:fldChar w:fldCharType="begin"/>
      </w:r>
      <w:r>
        <w:rPr>
          <w:rFonts w:cs="Arial"/>
          <w:sz w:val="18"/>
          <w:szCs w:val="18"/>
          <w:lang w:val="en-AU"/>
        </w:rPr>
        <w:instrText xml:space="preserve"> NOTEREF _Ref161677473 \h </w:instrText>
      </w:r>
      <w:r>
        <w:rPr>
          <w:rFonts w:cs="Arial"/>
          <w:sz w:val="18"/>
          <w:szCs w:val="18"/>
          <w:lang w:val="en-AU"/>
        </w:rPr>
      </w:r>
      <w:r>
        <w:rPr>
          <w:rFonts w:cs="Arial"/>
          <w:sz w:val="18"/>
          <w:szCs w:val="18"/>
          <w:lang w:val="en-AU"/>
        </w:rPr>
        <w:fldChar w:fldCharType="separate"/>
      </w:r>
      <w:r w:rsidR="00B02191">
        <w:rPr>
          <w:rFonts w:cs="Arial"/>
          <w:sz w:val="18"/>
          <w:szCs w:val="18"/>
          <w:lang w:val="en-AU"/>
        </w:rPr>
        <w:t>10</w:t>
      </w:r>
      <w:r>
        <w:rPr>
          <w:rFonts w:cs="Arial"/>
          <w:sz w:val="18"/>
          <w:szCs w:val="18"/>
          <w:lang w:val="en-AU"/>
        </w:rPr>
        <w:fldChar w:fldCharType="end"/>
      </w:r>
      <w:r w:rsidRPr="002059EF">
        <w:rPr>
          <w:rFonts w:cs="Arial"/>
          <w:sz w:val="18"/>
          <w:szCs w:val="18"/>
          <w:lang w:val="en-AU"/>
        </w:rPr>
        <w:t xml:space="preserve">) 21-27. John Braithwaite, </w:t>
      </w:r>
      <w:r w:rsidRPr="002059EF">
        <w:rPr>
          <w:rFonts w:cs="Arial"/>
          <w:i/>
          <w:iCs/>
          <w:sz w:val="18"/>
          <w:szCs w:val="18"/>
          <w:lang w:val="en-AU"/>
        </w:rPr>
        <w:t>To Punish or Persuade: Enforcement of Coal Mine Safety</w:t>
      </w:r>
      <w:r w:rsidRPr="002059EF">
        <w:rPr>
          <w:rFonts w:cs="Arial"/>
          <w:sz w:val="18"/>
          <w:szCs w:val="18"/>
          <w:lang w:val="en-AU"/>
        </w:rPr>
        <w:t xml:space="preserve"> (State University of New York Press, 1985).</w:t>
      </w:r>
    </w:p>
  </w:footnote>
  <w:footnote w:id="25">
    <w:p w14:paraId="2A1A7328" w14:textId="53312AC9"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Ayres and Braithwaite (n </w:t>
      </w:r>
      <w:r>
        <w:rPr>
          <w:rFonts w:cs="Arial"/>
          <w:sz w:val="18"/>
          <w:szCs w:val="18"/>
          <w:lang w:val="en-AU"/>
        </w:rPr>
        <w:fldChar w:fldCharType="begin"/>
      </w:r>
      <w:r>
        <w:rPr>
          <w:rFonts w:cs="Arial"/>
          <w:sz w:val="18"/>
          <w:szCs w:val="18"/>
          <w:lang w:val="en-AU"/>
        </w:rPr>
        <w:instrText xml:space="preserve"> NOTEREF _Ref161677473 \h </w:instrText>
      </w:r>
      <w:r>
        <w:rPr>
          <w:rFonts w:cs="Arial"/>
          <w:sz w:val="18"/>
          <w:szCs w:val="18"/>
          <w:lang w:val="en-AU"/>
        </w:rPr>
      </w:r>
      <w:r>
        <w:rPr>
          <w:rFonts w:cs="Arial"/>
          <w:sz w:val="18"/>
          <w:szCs w:val="18"/>
          <w:lang w:val="en-AU"/>
        </w:rPr>
        <w:fldChar w:fldCharType="separate"/>
      </w:r>
      <w:r w:rsidR="00B02191">
        <w:rPr>
          <w:rFonts w:cs="Arial"/>
          <w:sz w:val="18"/>
          <w:szCs w:val="18"/>
          <w:lang w:val="en-AU"/>
        </w:rPr>
        <w:t>10</w:t>
      </w:r>
      <w:r>
        <w:rPr>
          <w:rFonts w:cs="Arial"/>
          <w:sz w:val="18"/>
          <w:szCs w:val="18"/>
          <w:lang w:val="en-AU"/>
        </w:rPr>
        <w:fldChar w:fldCharType="end"/>
      </w:r>
      <w:r w:rsidRPr="002059EF">
        <w:rPr>
          <w:rFonts w:cs="Arial"/>
          <w:sz w:val="18"/>
          <w:szCs w:val="18"/>
          <w:lang w:val="en-AU"/>
        </w:rPr>
        <w:t>) 22.</w:t>
      </w:r>
    </w:p>
  </w:footnote>
  <w:footnote w:id="26">
    <w:p w14:paraId="53C08D76" w14:textId="27544976"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John Braithwaite, Toni Makkai and Valerie Braithwaite, </w:t>
      </w:r>
      <w:r w:rsidRPr="002059EF">
        <w:rPr>
          <w:rFonts w:cs="Arial"/>
          <w:i/>
          <w:iCs/>
          <w:sz w:val="18"/>
          <w:szCs w:val="18"/>
          <w:lang w:val="en-AU"/>
        </w:rPr>
        <w:t>Regulating Aged Care: Ritualism and the New Pyramid</w:t>
      </w:r>
      <w:r w:rsidRPr="002059EF">
        <w:rPr>
          <w:rFonts w:cs="Arial"/>
          <w:sz w:val="18"/>
          <w:szCs w:val="18"/>
          <w:lang w:val="en-AU"/>
        </w:rPr>
        <w:t xml:space="preserve"> (Edward Elgar, 2007).</w:t>
      </w:r>
    </w:p>
  </w:footnote>
  <w:footnote w:id="27">
    <w:p w14:paraId="1CFFD018" w14:textId="518E750E"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Cristie Ford, ‘Prospects for Scalability: Relationships and Uncertainty in Responsive Regulation’ (2013) 7(1) </w:t>
      </w:r>
      <w:r w:rsidRPr="002059EF">
        <w:rPr>
          <w:rFonts w:cs="Arial"/>
          <w:i/>
          <w:iCs/>
          <w:sz w:val="18"/>
          <w:szCs w:val="18"/>
          <w:lang w:val="en-AU"/>
        </w:rPr>
        <w:t>Regulation &amp; Governance</w:t>
      </w:r>
      <w:r w:rsidRPr="002059EF">
        <w:rPr>
          <w:rFonts w:cs="Arial"/>
          <w:sz w:val="18"/>
          <w:szCs w:val="18"/>
          <w:lang w:val="en-AU"/>
        </w:rPr>
        <w:t xml:space="preserve"> 14; Freiberg (n </w:t>
      </w:r>
      <w:r>
        <w:rPr>
          <w:rFonts w:cs="Arial"/>
          <w:sz w:val="18"/>
          <w:szCs w:val="18"/>
          <w:lang w:val="en-AU"/>
        </w:rPr>
        <w:fldChar w:fldCharType="begin"/>
      </w:r>
      <w:r>
        <w:rPr>
          <w:rFonts w:cs="Arial"/>
          <w:sz w:val="18"/>
          <w:szCs w:val="18"/>
          <w:lang w:val="en-AU"/>
        </w:rPr>
        <w:instrText xml:space="preserve"> NOTEREF _Ref161677558 \h </w:instrText>
      </w:r>
      <w:r>
        <w:rPr>
          <w:rFonts w:cs="Arial"/>
          <w:sz w:val="18"/>
          <w:szCs w:val="18"/>
          <w:lang w:val="en-AU"/>
        </w:rPr>
      </w:r>
      <w:r>
        <w:rPr>
          <w:rFonts w:cs="Arial"/>
          <w:sz w:val="18"/>
          <w:szCs w:val="18"/>
          <w:lang w:val="en-AU"/>
        </w:rPr>
        <w:fldChar w:fldCharType="separate"/>
      </w:r>
      <w:r w:rsidR="00B02191">
        <w:rPr>
          <w:rFonts w:cs="Arial"/>
          <w:sz w:val="18"/>
          <w:szCs w:val="18"/>
          <w:lang w:val="en-AU"/>
        </w:rPr>
        <w:t>8</w:t>
      </w:r>
      <w:r>
        <w:rPr>
          <w:rFonts w:cs="Arial"/>
          <w:sz w:val="18"/>
          <w:szCs w:val="18"/>
          <w:lang w:val="en-AU"/>
        </w:rPr>
        <w:fldChar w:fldCharType="end"/>
      </w:r>
      <w:r w:rsidRPr="002059EF">
        <w:rPr>
          <w:rFonts w:cs="Arial"/>
          <w:sz w:val="18"/>
          <w:szCs w:val="18"/>
          <w:lang w:val="en-AU"/>
        </w:rPr>
        <w:t>) 447–8.</w:t>
      </w:r>
    </w:p>
  </w:footnote>
  <w:footnote w:id="28">
    <w:p w14:paraId="1CDEF599" w14:textId="27A29E53"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Freiberg (n </w:t>
      </w:r>
      <w:r>
        <w:rPr>
          <w:rFonts w:cs="Arial"/>
          <w:sz w:val="18"/>
          <w:szCs w:val="18"/>
          <w:lang w:val="en-AU"/>
        </w:rPr>
        <w:fldChar w:fldCharType="begin"/>
      </w:r>
      <w:r>
        <w:rPr>
          <w:rFonts w:cs="Arial"/>
          <w:sz w:val="18"/>
          <w:szCs w:val="18"/>
          <w:lang w:val="en-AU"/>
        </w:rPr>
        <w:instrText xml:space="preserve"> NOTEREF _Ref161677558 \h </w:instrText>
      </w:r>
      <w:r>
        <w:rPr>
          <w:rFonts w:cs="Arial"/>
          <w:sz w:val="18"/>
          <w:szCs w:val="18"/>
          <w:lang w:val="en-AU"/>
        </w:rPr>
      </w:r>
      <w:r>
        <w:rPr>
          <w:rFonts w:cs="Arial"/>
          <w:sz w:val="18"/>
          <w:szCs w:val="18"/>
          <w:lang w:val="en-AU"/>
        </w:rPr>
        <w:fldChar w:fldCharType="separate"/>
      </w:r>
      <w:r w:rsidR="00B02191">
        <w:rPr>
          <w:rFonts w:cs="Arial"/>
          <w:sz w:val="18"/>
          <w:szCs w:val="18"/>
          <w:lang w:val="en-AU"/>
        </w:rPr>
        <w:t>8</w:t>
      </w:r>
      <w:r>
        <w:rPr>
          <w:rFonts w:cs="Arial"/>
          <w:sz w:val="18"/>
          <w:szCs w:val="18"/>
          <w:lang w:val="en-AU"/>
        </w:rPr>
        <w:fldChar w:fldCharType="end"/>
      </w:r>
      <w:r w:rsidRPr="002059EF">
        <w:rPr>
          <w:rFonts w:cs="Arial"/>
          <w:sz w:val="18"/>
          <w:szCs w:val="18"/>
          <w:lang w:val="en-AU"/>
        </w:rPr>
        <w:t>) 447.</w:t>
      </w:r>
    </w:p>
  </w:footnote>
  <w:footnote w:id="29">
    <w:p w14:paraId="3080AFFF"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Julien Etienne, ‘Ambiguity and Relational Signals in Regulator-Regulatee Relationships’ (2013) 7(1) </w:t>
      </w:r>
      <w:r w:rsidRPr="002059EF">
        <w:rPr>
          <w:rFonts w:cs="Arial"/>
          <w:i/>
          <w:iCs/>
          <w:sz w:val="18"/>
          <w:szCs w:val="18"/>
          <w:lang w:val="en-AU"/>
        </w:rPr>
        <w:t>Regulation &amp; Governance</w:t>
      </w:r>
      <w:r w:rsidRPr="002059EF">
        <w:rPr>
          <w:rFonts w:cs="Arial"/>
          <w:sz w:val="18"/>
          <w:szCs w:val="18"/>
          <w:lang w:val="en-AU"/>
        </w:rPr>
        <w:t xml:space="preserve"> 30.</w:t>
      </w:r>
    </w:p>
  </w:footnote>
  <w:footnote w:id="30">
    <w:p w14:paraId="53EC9311" w14:textId="3F64E4CC"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Mascini (n </w:t>
      </w:r>
      <w:r>
        <w:rPr>
          <w:rFonts w:cs="Arial"/>
          <w:sz w:val="18"/>
          <w:szCs w:val="18"/>
          <w:lang w:val="en-AU"/>
        </w:rPr>
        <w:fldChar w:fldCharType="begin"/>
      </w:r>
      <w:r>
        <w:rPr>
          <w:rFonts w:cs="Arial"/>
          <w:sz w:val="18"/>
          <w:szCs w:val="18"/>
          <w:lang w:val="en-AU"/>
        </w:rPr>
        <w:instrText xml:space="preserve"> NOTEREF _Ref161677599 \h </w:instrText>
      </w:r>
      <w:r>
        <w:rPr>
          <w:rFonts w:cs="Arial"/>
          <w:sz w:val="18"/>
          <w:szCs w:val="18"/>
          <w:lang w:val="en-AU"/>
        </w:rPr>
      </w:r>
      <w:r>
        <w:rPr>
          <w:rFonts w:cs="Arial"/>
          <w:sz w:val="18"/>
          <w:szCs w:val="18"/>
          <w:lang w:val="en-AU"/>
        </w:rPr>
        <w:fldChar w:fldCharType="separate"/>
      </w:r>
      <w:r w:rsidR="00B02191">
        <w:rPr>
          <w:rFonts w:cs="Arial"/>
          <w:sz w:val="18"/>
          <w:szCs w:val="18"/>
          <w:lang w:val="en-AU"/>
        </w:rPr>
        <w:t>15</w:t>
      </w:r>
      <w:r>
        <w:rPr>
          <w:rFonts w:cs="Arial"/>
          <w:sz w:val="18"/>
          <w:szCs w:val="18"/>
          <w:lang w:val="en-AU"/>
        </w:rPr>
        <w:fldChar w:fldCharType="end"/>
      </w:r>
      <w:r w:rsidRPr="002059EF">
        <w:rPr>
          <w:rFonts w:cs="Arial"/>
          <w:sz w:val="18"/>
          <w:szCs w:val="18"/>
          <w:lang w:val="en-AU"/>
        </w:rPr>
        <w:t>) 50–1.</w:t>
      </w:r>
    </w:p>
  </w:footnote>
  <w:footnote w:id="31">
    <w:p w14:paraId="35D2CD51" w14:textId="48DD308A"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Freiberg (n </w:t>
      </w:r>
      <w:r>
        <w:rPr>
          <w:rFonts w:cs="Arial"/>
          <w:sz w:val="18"/>
          <w:szCs w:val="18"/>
          <w:lang w:val="en-AU"/>
        </w:rPr>
        <w:fldChar w:fldCharType="begin"/>
      </w:r>
      <w:r>
        <w:rPr>
          <w:rFonts w:cs="Arial"/>
          <w:sz w:val="18"/>
          <w:szCs w:val="18"/>
          <w:lang w:val="en-AU"/>
        </w:rPr>
        <w:instrText xml:space="preserve"> NOTEREF _Ref161677558 \h </w:instrText>
      </w:r>
      <w:r>
        <w:rPr>
          <w:rFonts w:cs="Arial"/>
          <w:sz w:val="18"/>
          <w:szCs w:val="18"/>
          <w:lang w:val="en-AU"/>
        </w:rPr>
      </w:r>
      <w:r>
        <w:rPr>
          <w:rFonts w:cs="Arial"/>
          <w:sz w:val="18"/>
          <w:szCs w:val="18"/>
          <w:lang w:val="en-AU"/>
        </w:rPr>
        <w:fldChar w:fldCharType="separate"/>
      </w:r>
      <w:r w:rsidR="00B02191">
        <w:rPr>
          <w:rFonts w:cs="Arial"/>
          <w:sz w:val="18"/>
          <w:szCs w:val="18"/>
          <w:lang w:val="en-AU"/>
        </w:rPr>
        <w:t>8</w:t>
      </w:r>
      <w:r>
        <w:rPr>
          <w:rFonts w:cs="Arial"/>
          <w:sz w:val="18"/>
          <w:szCs w:val="18"/>
          <w:lang w:val="en-AU"/>
        </w:rPr>
        <w:fldChar w:fldCharType="end"/>
      </w:r>
      <w:r w:rsidRPr="002059EF">
        <w:rPr>
          <w:rFonts w:cs="Arial"/>
          <w:sz w:val="18"/>
          <w:szCs w:val="18"/>
          <w:lang w:val="en-AU"/>
        </w:rPr>
        <w:t>) 446. See also ibid 52.</w:t>
      </w:r>
    </w:p>
  </w:footnote>
  <w:footnote w:id="32">
    <w:p w14:paraId="731B639B"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Vibeke Lehmann Nielsen, ‘Are Regulators Responsive?’ (2006) 28(3) </w:t>
      </w:r>
      <w:r w:rsidRPr="002059EF">
        <w:rPr>
          <w:rFonts w:cs="Arial"/>
          <w:i/>
          <w:iCs/>
          <w:sz w:val="18"/>
          <w:szCs w:val="18"/>
          <w:lang w:val="en-AU"/>
        </w:rPr>
        <w:t>Law &amp; Policy</w:t>
      </w:r>
      <w:r w:rsidRPr="002059EF">
        <w:rPr>
          <w:rFonts w:cs="Arial"/>
          <w:sz w:val="18"/>
          <w:szCs w:val="18"/>
          <w:lang w:val="en-AU"/>
        </w:rPr>
        <w:t xml:space="preserve"> 395, 397–8, 406–7.</w:t>
      </w:r>
    </w:p>
  </w:footnote>
  <w:footnote w:id="33">
    <w:p w14:paraId="7CC92093"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397.</w:t>
      </w:r>
    </w:p>
  </w:footnote>
  <w:footnote w:id="34">
    <w:p w14:paraId="4AF39D90"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p>
  </w:footnote>
  <w:footnote w:id="35">
    <w:p w14:paraId="7EF08862"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399.</w:t>
      </w:r>
    </w:p>
  </w:footnote>
  <w:footnote w:id="36">
    <w:p w14:paraId="6CAD0718"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Peter J May and Robert S Wood, ‘At the Regulatory Front Lines: Inspectors’ Enforcement Styles and Regulatory Compliance’ (2003) 13(2) </w:t>
      </w:r>
      <w:r w:rsidRPr="002059EF">
        <w:rPr>
          <w:rFonts w:cs="Arial"/>
          <w:i/>
          <w:iCs/>
          <w:sz w:val="18"/>
          <w:szCs w:val="18"/>
          <w:lang w:val="en-AU"/>
        </w:rPr>
        <w:t>Journal of Public Administration Research and Theory</w:t>
      </w:r>
      <w:r w:rsidRPr="002059EF">
        <w:rPr>
          <w:rFonts w:cs="Arial"/>
          <w:sz w:val="18"/>
          <w:szCs w:val="18"/>
          <w:lang w:val="en-AU"/>
        </w:rPr>
        <w:t xml:space="preserve"> 117, 119.</w:t>
      </w:r>
    </w:p>
  </w:footnote>
  <w:footnote w:id="37">
    <w:p w14:paraId="44F60859"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Vibeke Lehmann Nielsen and Christine Parker, ‘Testing Responsive Regulation in Regulatory Enforcement’ 3(4) </w:t>
      </w:r>
      <w:r w:rsidRPr="002059EF">
        <w:rPr>
          <w:rFonts w:cs="Arial"/>
          <w:i/>
          <w:iCs/>
          <w:sz w:val="18"/>
          <w:szCs w:val="18"/>
          <w:lang w:val="en-AU"/>
        </w:rPr>
        <w:t xml:space="preserve">Regulation &amp; Governance </w:t>
      </w:r>
      <w:r w:rsidRPr="002059EF">
        <w:rPr>
          <w:rFonts w:cs="Arial"/>
          <w:sz w:val="18"/>
          <w:szCs w:val="18"/>
          <w:lang w:val="en-AU"/>
        </w:rPr>
        <w:t>376, 381.</w:t>
      </w:r>
    </w:p>
  </w:footnote>
  <w:footnote w:id="38">
    <w:p w14:paraId="2DAB1613"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382.</w:t>
      </w:r>
    </w:p>
  </w:footnote>
  <w:footnote w:id="39">
    <w:p w14:paraId="177AA548"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eg, John Braithwaite, </w:t>
      </w:r>
      <w:r w:rsidRPr="002059EF">
        <w:rPr>
          <w:rFonts w:cs="Arial"/>
          <w:i/>
          <w:iCs/>
          <w:sz w:val="18"/>
          <w:szCs w:val="18"/>
          <w:lang w:val="en-AU"/>
        </w:rPr>
        <w:t>Restorative Justice and Responsive Regulation</w:t>
      </w:r>
      <w:r w:rsidRPr="002059EF">
        <w:rPr>
          <w:rFonts w:cs="Arial"/>
          <w:sz w:val="18"/>
          <w:szCs w:val="18"/>
          <w:lang w:val="en-AU"/>
        </w:rPr>
        <w:t xml:space="preserve"> (Oxford University Press, 2002).</w:t>
      </w:r>
    </w:p>
  </w:footnote>
  <w:footnote w:id="40">
    <w:p w14:paraId="57236E7B" w14:textId="4034B7C5"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Nielsen and Parker (n </w:t>
      </w:r>
      <w:r>
        <w:rPr>
          <w:rFonts w:cs="Arial"/>
          <w:sz w:val="18"/>
          <w:szCs w:val="18"/>
          <w:lang w:val="en-AU"/>
        </w:rPr>
        <w:fldChar w:fldCharType="begin"/>
      </w:r>
      <w:r>
        <w:rPr>
          <w:rFonts w:cs="Arial"/>
          <w:sz w:val="18"/>
          <w:szCs w:val="18"/>
          <w:lang w:val="en-AU"/>
        </w:rPr>
        <w:instrText xml:space="preserve"> NOTEREF _Ref161677651 \h </w:instrText>
      </w:r>
      <w:r>
        <w:rPr>
          <w:rFonts w:cs="Arial"/>
          <w:sz w:val="18"/>
          <w:szCs w:val="18"/>
          <w:lang w:val="en-AU"/>
        </w:rPr>
      </w:r>
      <w:r>
        <w:rPr>
          <w:rFonts w:cs="Arial"/>
          <w:sz w:val="18"/>
          <w:szCs w:val="18"/>
          <w:lang w:val="en-AU"/>
        </w:rPr>
        <w:fldChar w:fldCharType="separate"/>
      </w:r>
      <w:r w:rsidR="00B02191">
        <w:rPr>
          <w:rFonts w:cs="Arial"/>
          <w:sz w:val="18"/>
          <w:szCs w:val="18"/>
          <w:lang w:val="en-AU"/>
        </w:rPr>
        <w:t>36</w:t>
      </w:r>
      <w:r>
        <w:rPr>
          <w:rFonts w:cs="Arial"/>
          <w:sz w:val="18"/>
          <w:szCs w:val="18"/>
          <w:lang w:val="en-AU"/>
        </w:rPr>
        <w:fldChar w:fldCharType="end"/>
      </w:r>
      <w:r w:rsidRPr="002059EF">
        <w:rPr>
          <w:rFonts w:cs="Arial"/>
          <w:sz w:val="18"/>
          <w:szCs w:val="18"/>
          <w:lang w:val="en-AU"/>
        </w:rPr>
        <w:t>) 382.</w:t>
      </w:r>
    </w:p>
  </w:footnote>
  <w:footnote w:id="41">
    <w:p w14:paraId="05524EC9"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Valerie Braithwaite, ‘Defiance and Motivational Postures’ in David Weisburd and Gerben Bruinsma (eds), </w:t>
      </w:r>
      <w:r w:rsidRPr="002059EF">
        <w:rPr>
          <w:rFonts w:cs="Arial"/>
          <w:i/>
          <w:iCs/>
          <w:sz w:val="18"/>
          <w:szCs w:val="18"/>
          <w:lang w:val="en-AU"/>
        </w:rPr>
        <w:t>Encyclopedia of Criminology and Criminal Justice</w:t>
      </w:r>
      <w:r w:rsidRPr="002059EF">
        <w:rPr>
          <w:rFonts w:cs="Arial"/>
          <w:sz w:val="18"/>
          <w:szCs w:val="18"/>
          <w:lang w:val="en-AU"/>
        </w:rPr>
        <w:t xml:space="preserve"> (Springer, 2014) 915.</w:t>
      </w:r>
      <w:r w:rsidRPr="002059EF">
        <w:rPr>
          <w:rFonts w:cs="Arial"/>
          <w:b/>
          <w:bCs/>
          <w:sz w:val="18"/>
          <w:szCs w:val="18"/>
          <w:lang w:val="en-AU"/>
        </w:rPr>
        <w:t xml:space="preserve"> </w:t>
      </w:r>
      <w:r w:rsidRPr="002059EF">
        <w:rPr>
          <w:rFonts w:cs="Arial"/>
          <w:sz w:val="18"/>
          <w:szCs w:val="18"/>
          <w:lang w:val="en-AU"/>
        </w:rPr>
        <w:t>See also</w:t>
      </w:r>
      <w:r w:rsidRPr="002059EF">
        <w:rPr>
          <w:rFonts w:cs="Arial"/>
          <w:b/>
          <w:bCs/>
          <w:sz w:val="18"/>
          <w:szCs w:val="18"/>
          <w:lang w:val="en-AU"/>
        </w:rPr>
        <w:t xml:space="preserve"> </w:t>
      </w:r>
      <w:r w:rsidRPr="002059EF">
        <w:rPr>
          <w:rFonts w:cs="Arial"/>
          <w:sz w:val="18"/>
          <w:szCs w:val="18"/>
          <w:lang w:val="en-AU"/>
        </w:rPr>
        <w:t xml:space="preserve">Valerie Braithwaite, Kristina Murphy and Monika Reinhart  ‘Taxation Threat, Motivational Postures, and Responsive Regulation’ (2007) 29(1) </w:t>
      </w:r>
      <w:r w:rsidRPr="002059EF">
        <w:rPr>
          <w:rFonts w:cs="Arial"/>
          <w:i/>
          <w:iCs/>
          <w:sz w:val="18"/>
          <w:szCs w:val="18"/>
          <w:lang w:val="en-AU"/>
        </w:rPr>
        <w:t>Law &amp; Policy</w:t>
      </w:r>
      <w:r w:rsidRPr="002059EF">
        <w:rPr>
          <w:rFonts w:cs="Arial"/>
          <w:sz w:val="18"/>
          <w:szCs w:val="18"/>
          <w:lang w:val="en-AU"/>
        </w:rPr>
        <w:t xml:space="preserve"> 137; Valerie Braithwaite et al, ‘Regulatory Styles, Motivational Postures, and Nursing Home Compliance’ (1994) 16(4) </w:t>
      </w:r>
      <w:r w:rsidRPr="002059EF">
        <w:rPr>
          <w:rFonts w:cs="Arial"/>
          <w:i/>
          <w:iCs/>
          <w:sz w:val="18"/>
          <w:szCs w:val="18"/>
          <w:lang w:val="en-AU"/>
        </w:rPr>
        <w:t>Law &amp; Policy</w:t>
      </w:r>
      <w:r w:rsidRPr="002059EF">
        <w:rPr>
          <w:rFonts w:cs="Arial"/>
          <w:sz w:val="18"/>
          <w:szCs w:val="18"/>
          <w:lang w:val="en-AU"/>
        </w:rPr>
        <w:t xml:space="preserve"> 363.</w:t>
      </w:r>
    </w:p>
  </w:footnote>
  <w:footnote w:id="42">
    <w:p w14:paraId="41A5304A"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Robert Baldwin and Julia Black, ‘Really Responsive Regulation’ (2008) 71(1) </w:t>
      </w:r>
      <w:r w:rsidRPr="002059EF">
        <w:rPr>
          <w:rFonts w:cs="Arial"/>
          <w:i/>
          <w:iCs/>
          <w:sz w:val="18"/>
          <w:szCs w:val="18"/>
          <w:lang w:val="en-AU"/>
        </w:rPr>
        <w:t>The Modern Law Review</w:t>
      </w:r>
      <w:r w:rsidRPr="002059EF">
        <w:rPr>
          <w:rFonts w:cs="Arial"/>
          <w:sz w:val="18"/>
          <w:szCs w:val="18"/>
          <w:lang w:val="en-AU"/>
        </w:rPr>
        <w:t xml:space="preserve"> 59, 69–70.</w:t>
      </w:r>
    </w:p>
  </w:footnote>
  <w:footnote w:id="43">
    <w:p w14:paraId="793A545B"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ibid 70, 78, 85–6; Robert Baldwin, Martin Cave and Martin Lodge, </w:t>
      </w:r>
      <w:r w:rsidRPr="002059EF">
        <w:rPr>
          <w:rFonts w:cs="Arial"/>
          <w:i/>
          <w:iCs/>
          <w:sz w:val="18"/>
          <w:szCs w:val="18"/>
          <w:lang w:val="en-AU"/>
        </w:rPr>
        <w:t>Understanding Regulation: Theory, Strategy, and Practice</w:t>
      </w:r>
      <w:r w:rsidRPr="002059EF">
        <w:rPr>
          <w:rFonts w:cs="Arial"/>
          <w:sz w:val="18"/>
          <w:szCs w:val="18"/>
          <w:lang w:val="en-AU"/>
        </w:rPr>
        <w:t xml:space="preserve"> (Oxford University Press, 2</w:t>
      </w:r>
      <w:r w:rsidRPr="002059EF">
        <w:rPr>
          <w:rFonts w:cs="Arial"/>
          <w:sz w:val="18"/>
          <w:szCs w:val="18"/>
          <w:vertAlign w:val="superscript"/>
          <w:lang w:val="en-AU"/>
        </w:rPr>
        <w:t>nd</w:t>
      </w:r>
      <w:r w:rsidRPr="002059EF">
        <w:rPr>
          <w:rFonts w:cs="Arial"/>
          <w:sz w:val="18"/>
          <w:szCs w:val="18"/>
          <w:lang w:val="en-AU"/>
        </w:rPr>
        <w:t xml:space="preserve"> ed, 2012) 270.</w:t>
      </w:r>
    </w:p>
  </w:footnote>
  <w:footnote w:id="44">
    <w:p w14:paraId="4DC32038"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Seung-Hun Hong and Jong-sung You, ‘Limits of Regulatory Responsiveness: Democratic Credentials of Responsive Regulation’ (2018) 12(3) </w:t>
      </w:r>
      <w:r w:rsidRPr="002059EF">
        <w:rPr>
          <w:rFonts w:cs="Arial"/>
          <w:i/>
          <w:iCs/>
          <w:sz w:val="18"/>
          <w:szCs w:val="18"/>
          <w:lang w:val="en-AU"/>
        </w:rPr>
        <w:t>Regulation &amp; Governance</w:t>
      </w:r>
      <w:r w:rsidRPr="002059EF">
        <w:rPr>
          <w:rFonts w:cs="Arial"/>
          <w:sz w:val="18"/>
          <w:szCs w:val="18"/>
          <w:lang w:val="en-AU"/>
        </w:rPr>
        <w:t xml:space="preserve"> 413, 419.</w:t>
      </w:r>
    </w:p>
  </w:footnote>
  <w:footnote w:id="45">
    <w:p w14:paraId="51B7D33E" w14:textId="21C611B2"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This might be done, for example, by enabling public interest groups to participate in discussions concerning potential enforcement action with regulators and regulatees. See, eg, Ayres and Braithwaite (n </w:t>
      </w:r>
      <w:r>
        <w:rPr>
          <w:rFonts w:cs="Arial"/>
          <w:sz w:val="18"/>
          <w:szCs w:val="18"/>
          <w:lang w:val="en-AU"/>
        </w:rPr>
        <w:fldChar w:fldCharType="begin"/>
      </w:r>
      <w:r>
        <w:rPr>
          <w:rFonts w:cs="Arial"/>
          <w:sz w:val="18"/>
          <w:szCs w:val="18"/>
          <w:lang w:val="en-AU"/>
        </w:rPr>
        <w:instrText xml:space="preserve"> NOTEREF _Ref161677473 \h </w:instrText>
      </w:r>
      <w:r>
        <w:rPr>
          <w:rFonts w:cs="Arial"/>
          <w:sz w:val="18"/>
          <w:szCs w:val="18"/>
          <w:lang w:val="en-AU"/>
        </w:rPr>
      </w:r>
      <w:r>
        <w:rPr>
          <w:rFonts w:cs="Arial"/>
          <w:sz w:val="18"/>
          <w:szCs w:val="18"/>
          <w:lang w:val="en-AU"/>
        </w:rPr>
        <w:fldChar w:fldCharType="separate"/>
      </w:r>
      <w:r w:rsidR="00B02191">
        <w:rPr>
          <w:rFonts w:cs="Arial"/>
          <w:sz w:val="18"/>
          <w:szCs w:val="18"/>
          <w:lang w:val="en-AU"/>
        </w:rPr>
        <w:t>10</w:t>
      </w:r>
      <w:r>
        <w:rPr>
          <w:rFonts w:cs="Arial"/>
          <w:sz w:val="18"/>
          <w:szCs w:val="18"/>
          <w:lang w:val="en-AU"/>
        </w:rPr>
        <w:fldChar w:fldCharType="end"/>
      </w:r>
      <w:r w:rsidRPr="002059EF">
        <w:rPr>
          <w:rFonts w:cs="Arial"/>
          <w:sz w:val="18"/>
          <w:szCs w:val="18"/>
          <w:lang w:val="en-AU"/>
        </w:rPr>
        <w:t>) ch 3.</w:t>
      </w:r>
    </w:p>
  </w:footnote>
  <w:footnote w:id="46">
    <w:p w14:paraId="142FD5A1" w14:textId="41CF8BCC"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Braithwaite, Makkai and Braithwaite (n </w:t>
      </w:r>
      <w:r>
        <w:rPr>
          <w:rFonts w:cs="Arial"/>
          <w:sz w:val="18"/>
          <w:szCs w:val="18"/>
          <w:lang w:val="en-AU"/>
        </w:rPr>
        <w:fldChar w:fldCharType="begin"/>
      </w:r>
      <w:r>
        <w:rPr>
          <w:rFonts w:cs="Arial"/>
          <w:sz w:val="18"/>
          <w:szCs w:val="18"/>
          <w:lang w:val="en-AU"/>
        </w:rPr>
        <w:instrText xml:space="preserve"> NOTEREF _Ref138243303 \h </w:instrText>
      </w:r>
      <w:r>
        <w:rPr>
          <w:rFonts w:cs="Arial"/>
          <w:sz w:val="18"/>
          <w:szCs w:val="18"/>
          <w:lang w:val="en-AU"/>
        </w:rPr>
      </w:r>
      <w:r>
        <w:rPr>
          <w:rFonts w:cs="Arial"/>
          <w:sz w:val="18"/>
          <w:szCs w:val="18"/>
          <w:lang w:val="en-AU"/>
        </w:rPr>
        <w:fldChar w:fldCharType="separate"/>
      </w:r>
      <w:r w:rsidR="00B02191">
        <w:rPr>
          <w:rFonts w:cs="Arial"/>
          <w:sz w:val="18"/>
          <w:szCs w:val="18"/>
          <w:lang w:val="en-AU"/>
        </w:rPr>
        <w:t>25</w:t>
      </w:r>
      <w:r>
        <w:rPr>
          <w:rFonts w:cs="Arial"/>
          <w:sz w:val="18"/>
          <w:szCs w:val="18"/>
          <w:lang w:val="en-AU"/>
        </w:rPr>
        <w:fldChar w:fldCharType="end"/>
      </w:r>
      <w:r w:rsidRPr="002059EF">
        <w:rPr>
          <w:rFonts w:cs="Arial"/>
          <w:sz w:val="18"/>
          <w:szCs w:val="18"/>
          <w:lang w:val="en-AU"/>
        </w:rPr>
        <w:t>) 330.</w:t>
      </w:r>
    </w:p>
  </w:footnote>
  <w:footnote w:id="47">
    <w:p w14:paraId="0A234EBE" w14:textId="0C7D8B10" w:rsidR="00712508" w:rsidRPr="002059EF" w:rsidRDefault="00712508" w:rsidP="00782044">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319–23.</w:t>
      </w:r>
    </w:p>
  </w:footnote>
  <w:footnote w:id="48">
    <w:p w14:paraId="63D2728C" w14:textId="77777777" w:rsidR="00712508" w:rsidRPr="002059EF" w:rsidRDefault="00712508" w:rsidP="000669C9">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eg, Christine Parker and Vibeke Lehmann Nielsen, ‘Compliance: 14 Questions’ in Peter Drahos (ed), </w:t>
      </w:r>
      <w:r w:rsidRPr="002059EF">
        <w:rPr>
          <w:rFonts w:cs="Arial"/>
          <w:i/>
          <w:iCs/>
          <w:sz w:val="18"/>
          <w:szCs w:val="18"/>
          <w:lang w:val="en-AU"/>
        </w:rPr>
        <w:t>Regulatory Theory: Foundations and Applications</w:t>
      </w:r>
      <w:r w:rsidRPr="002059EF">
        <w:rPr>
          <w:rFonts w:cs="Arial"/>
          <w:sz w:val="18"/>
          <w:szCs w:val="18"/>
          <w:lang w:val="en-AU"/>
        </w:rPr>
        <w:t xml:space="preserve"> (Australian National University Press, 2017) 217.</w:t>
      </w:r>
    </w:p>
  </w:footnote>
  <w:footnote w:id="49">
    <w:p w14:paraId="1B81497E" w14:textId="072435AD" w:rsidR="00712508" w:rsidRPr="002059EF" w:rsidRDefault="00712508" w:rsidP="000669C9">
      <w:pPr>
        <w:pStyle w:val="NoSpacing"/>
        <w:jc w:val="both"/>
        <w:rPr>
          <w:rFonts w:cs="Arial"/>
          <w:sz w:val="18"/>
          <w:szCs w:val="18"/>
        </w:rPr>
      </w:pPr>
      <w:r w:rsidRPr="002059EF">
        <w:rPr>
          <w:rStyle w:val="FootnoteReference"/>
          <w:rFonts w:cs="Arial"/>
          <w:sz w:val="18"/>
          <w:szCs w:val="18"/>
          <w:lang w:val="en-AU"/>
        </w:rPr>
        <w:footnoteRef/>
      </w:r>
      <w:r w:rsidRPr="002059EF">
        <w:rPr>
          <w:rFonts w:cs="Arial"/>
          <w:sz w:val="18"/>
          <w:szCs w:val="18"/>
          <w:lang w:val="en-AU"/>
        </w:rPr>
        <w:t xml:space="preserve"> Ivec</w:t>
      </w:r>
      <w:r>
        <w:rPr>
          <w:rFonts w:cs="Arial"/>
          <w:sz w:val="18"/>
          <w:szCs w:val="18"/>
          <w:lang w:val="en-AU"/>
        </w:rPr>
        <w:t xml:space="preserve"> et al</w:t>
      </w:r>
      <w:r w:rsidRPr="002059EF">
        <w:rPr>
          <w:rFonts w:cs="Arial"/>
          <w:sz w:val="18"/>
          <w:szCs w:val="18"/>
          <w:lang w:val="en-AU"/>
        </w:rPr>
        <w:t xml:space="preserve"> (n </w:t>
      </w:r>
      <w:r>
        <w:rPr>
          <w:rFonts w:cs="Arial"/>
          <w:sz w:val="18"/>
          <w:szCs w:val="18"/>
          <w:lang w:val="en-AU"/>
        </w:rPr>
        <w:fldChar w:fldCharType="begin"/>
      </w:r>
      <w:r>
        <w:rPr>
          <w:rFonts w:cs="Arial"/>
          <w:sz w:val="18"/>
          <w:szCs w:val="18"/>
          <w:lang w:val="en-AU"/>
        </w:rPr>
        <w:instrText xml:space="preserve"> NOTEREF _Ref161677382 \h </w:instrText>
      </w:r>
      <w:r>
        <w:rPr>
          <w:rFonts w:cs="Arial"/>
          <w:sz w:val="18"/>
          <w:szCs w:val="18"/>
          <w:lang w:val="en-AU"/>
        </w:rPr>
      </w:r>
      <w:r>
        <w:rPr>
          <w:rFonts w:cs="Arial"/>
          <w:sz w:val="18"/>
          <w:szCs w:val="18"/>
          <w:lang w:val="en-AU"/>
        </w:rPr>
        <w:fldChar w:fldCharType="separate"/>
      </w:r>
      <w:r w:rsidR="00B02191">
        <w:rPr>
          <w:rFonts w:cs="Arial"/>
          <w:sz w:val="18"/>
          <w:szCs w:val="18"/>
          <w:lang w:val="en-AU"/>
        </w:rPr>
        <w:t>9</w:t>
      </w:r>
      <w:r>
        <w:rPr>
          <w:rFonts w:cs="Arial"/>
          <w:sz w:val="18"/>
          <w:szCs w:val="18"/>
          <w:lang w:val="en-AU"/>
        </w:rPr>
        <w:fldChar w:fldCharType="end"/>
      </w:r>
      <w:r w:rsidRPr="002059EF">
        <w:rPr>
          <w:rFonts w:cs="Arial"/>
          <w:sz w:val="18"/>
          <w:szCs w:val="18"/>
          <w:lang w:val="en-AU"/>
        </w:rPr>
        <w:t xml:space="preserve">) 9. </w:t>
      </w:r>
    </w:p>
  </w:footnote>
  <w:footnote w:id="50">
    <w:p w14:paraId="07908CEB" w14:textId="1616B753" w:rsidR="00712508" w:rsidRPr="002059EF" w:rsidRDefault="00712508" w:rsidP="00272E69">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Braithwaite, Makkai and Braithwaite </w:t>
      </w:r>
      <w:r>
        <w:rPr>
          <w:rFonts w:cs="Arial"/>
          <w:sz w:val="18"/>
          <w:szCs w:val="18"/>
          <w:lang w:val="en-AU"/>
        </w:rPr>
        <w:t xml:space="preserve">(n </w:t>
      </w:r>
      <w:r>
        <w:rPr>
          <w:rFonts w:cs="Arial"/>
          <w:sz w:val="18"/>
          <w:szCs w:val="18"/>
          <w:lang w:val="en-AU"/>
        </w:rPr>
        <w:fldChar w:fldCharType="begin"/>
      </w:r>
      <w:r>
        <w:rPr>
          <w:rFonts w:cs="Arial"/>
          <w:sz w:val="18"/>
          <w:szCs w:val="18"/>
          <w:lang w:val="en-AU"/>
        </w:rPr>
        <w:instrText xml:space="preserve"> NOTEREF _Ref138243303 \h </w:instrText>
      </w:r>
      <w:r>
        <w:rPr>
          <w:rFonts w:cs="Arial"/>
          <w:sz w:val="18"/>
          <w:szCs w:val="18"/>
          <w:lang w:val="en-AU"/>
        </w:rPr>
      </w:r>
      <w:r>
        <w:rPr>
          <w:rFonts w:cs="Arial"/>
          <w:sz w:val="18"/>
          <w:szCs w:val="18"/>
          <w:lang w:val="en-AU"/>
        </w:rPr>
        <w:fldChar w:fldCharType="separate"/>
      </w:r>
      <w:r w:rsidR="00B02191">
        <w:rPr>
          <w:rFonts w:cs="Arial"/>
          <w:sz w:val="18"/>
          <w:szCs w:val="18"/>
          <w:lang w:val="en-AU"/>
        </w:rPr>
        <w:t>25</w:t>
      </w:r>
      <w:r>
        <w:rPr>
          <w:rFonts w:cs="Arial"/>
          <w:sz w:val="18"/>
          <w:szCs w:val="18"/>
          <w:lang w:val="en-AU"/>
        </w:rPr>
        <w:fldChar w:fldCharType="end"/>
      </w:r>
      <w:r>
        <w:rPr>
          <w:rFonts w:cs="Arial"/>
          <w:sz w:val="18"/>
          <w:szCs w:val="18"/>
          <w:lang w:val="en-AU"/>
        </w:rPr>
        <w:t xml:space="preserve">) </w:t>
      </w:r>
      <w:r w:rsidRPr="002059EF">
        <w:rPr>
          <w:rFonts w:cs="Arial"/>
          <w:sz w:val="18"/>
          <w:szCs w:val="18"/>
          <w:lang w:val="en-AU"/>
        </w:rPr>
        <w:t>319. Braithwaite, Makkai and Braithwaite link the two pyramids together with an arrow only because they say education and persuasion about problems and strengths ‘might well have the same delivery vehicle’. They do not believe that shame, for example, can be used effectively in conjunction with praise.</w:t>
      </w:r>
    </w:p>
  </w:footnote>
  <w:footnote w:id="51">
    <w:p w14:paraId="3BE35449" w14:textId="77777777" w:rsidR="00712508" w:rsidRPr="002059EF" w:rsidRDefault="00712508" w:rsidP="00AC24AC">
      <w:pPr>
        <w:pStyle w:val="NoSpacing"/>
        <w:jc w:val="both"/>
        <w:rPr>
          <w:rFonts w:cs="Arial"/>
          <w:i/>
          <w:iCs/>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Julia Black, ‘Risk-based Regulation: Choices, Practices and Lessons Being Learnt’ in OECD (ed), </w:t>
      </w:r>
      <w:r w:rsidRPr="002059EF">
        <w:rPr>
          <w:rFonts w:cs="Arial"/>
          <w:i/>
          <w:iCs/>
          <w:sz w:val="18"/>
          <w:szCs w:val="18"/>
          <w:lang w:val="en-AU"/>
        </w:rPr>
        <w:t xml:space="preserve">Risk and Regulatory Policy: Improving the Governance of Risk </w:t>
      </w:r>
      <w:r w:rsidRPr="002059EF">
        <w:rPr>
          <w:rFonts w:cs="Arial"/>
          <w:sz w:val="18"/>
          <w:szCs w:val="18"/>
          <w:lang w:val="en-AU"/>
        </w:rPr>
        <w:t>(OECD, 2010) 185, 188–9.</w:t>
      </w:r>
    </w:p>
  </w:footnote>
  <w:footnote w:id="52">
    <w:p w14:paraId="1B25497E" w14:textId="77777777" w:rsidR="00712508" w:rsidRPr="002059EF" w:rsidRDefault="00712508" w:rsidP="00AC24AC">
      <w:pPr>
        <w:pStyle w:val="NoSpacing"/>
        <w:ind w:left="720" w:hanging="720"/>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
          <w:iCs/>
          <w:sz w:val="18"/>
          <w:szCs w:val="18"/>
          <w:lang w:val="en-AU"/>
        </w:rPr>
        <w:t>Public Governance, Performance and Accountability Act 2013</w:t>
      </w:r>
      <w:r w:rsidRPr="002059EF">
        <w:rPr>
          <w:rFonts w:cs="Arial"/>
          <w:sz w:val="18"/>
          <w:szCs w:val="18"/>
          <w:lang w:val="en-AU"/>
        </w:rPr>
        <w:t xml:space="preserve"> (Cth) s 16(a).</w:t>
      </w:r>
    </w:p>
  </w:footnote>
  <w:footnote w:id="53">
    <w:p w14:paraId="00811981" w14:textId="58C4A5FB"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Freiberg (n </w:t>
      </w:r>
      <w:r>
        <w:rPr>
          <w:rFonts w:cs="Arial"/>
          <w:sz w:val="18"/>
          <w:szCs w:val="18"/>
          <w:lang w:val="en-AU"/>
        </w:rPr>
        <w:fldChar w:fldCharType="begin"/>
      </w:r>
      <w:r>
        <w:rPr>
          <w:rFonts w:cs="Arial"/>
          <w:sz w:val="18"/>
          <w:szCs w:val="18"/>
          <w:lang w:val="en-AU"/>
        </w:rPr>
        <w:instrText xml:space="preserve"> NOTEREF _Ref161677558 \h </w:instrText>
      </w:r>
      <w:r>
        <w:rPr>
          <w:rFonts w:cs="Arial"/>
          <w:sz w:val="18"/>
          <w:szCs w:val="18"/>
          <w:lang w:val="en-AU"/>
        </w:rPr>
      </w:r>
      <w:r>
        <w:rPr>
          <w:rFonts w:cs="Arial"/>
          <w:sz w:val="18"/>
          <w:szCs w:val="18"/>
          <w:lang w:val="en-AU"/>
        </w:rPr>
        <w:fldChar w:fldCharType="separate"/>
      </w:r>
      <w:r w:rsidR="00B02191">
        <w:rPr>
          <w:rFonts w:cs="Arial"/>
          <w:sz w:val="18"/>
          <w:szCs w:val="18"/>
          <w:lang w:val="en-AU"/>
        </w:rPr>
        <w:t>8</w:t>
      </w:r>
      <w:r>
        <w:rPr>
          <w:rFonts w:cs="Arial"/>
          <w:sz w:val="18"/>
          <w:szCs w:val="18"/>
          <w:lang w:val="en-AU"/>
        </w:rPr>
        <w:fldChar w:fldCharType="end"/>
      </w:r>
      <w:r w:rsidRPr="002059EF">
        <w:rPr>
          <w:rFonts w:cs="Arial"/>
          <w:sz w:val="18"/>
          <w:szCs w:val="18"/>
          <w:lang w:val="en-AU"/>
        </w:rPr>
        <w:t>) 455.</w:t>
      </w:r>
    </w:p>
  </w:footnote>
  <w:footnote w:id="54">
    <w:p w14:paraId="73BC1C36"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citing Productivity Commission, </w:t>
      </w:r>
      <w:r w:rsidRPr="002059EF">
        <w:rPr>
          <w:rFonts w:cs="Arial"/>
          <w:i/>
          <w:iCs/>
          <w:sz w:val="18"/>
          <w:szCs w:val="18"/>
          <w:lang w:val="en-AU"/>
        </w:rPr>
        <w:t>Regulator Engagement with Small Business</w:t>
      </w:r>
      <w:r w:rsidRPr="002059EF">
        <w:rPr>
          <w:rFonts w:cs="Arial"/>
          <w:sz w:val="18"/>
          <w:szCs w:val="18"/>
          <w:lang w:val="en-AU"/>
        </w:rPr>
        <w:t xml:space="preserve"> (Research Report, September 2013) 271. See also Henry Rothstein, Olivier Borraz and Michael Huber, ‘Risk and the Limits of Governance: Exploring Varied Patterns of Risk-based Governance Across Europe’ (2013) 7(2) </w:t>
      </w:r>
      <w:r w:rsidRPr="002059EF">
        <w:rPr>
          <w:rFonts w:cs="Arial"/>
          <w:i/>
          <w:iCs/>
          <w:sz w:val="18"/>
          <w:szCs w:val="18"/>
          <w:lang w:val="en-AU"/>
        </w:rPr>
        <w:t>Regulation &amp; Governance</w:t>
      </w:r>
      <w:r w:rsidRPr="002059EF">
        <w:rPr>
          <w:rFonts w:cs="Arial"/>
          <w:sz w:val="18"/>
          <w:szCs w:val="18"/>
          <w:lang w:val="en-AU"/>
        </w:rPr>
        <w:t xml:space="preserve"> 215, 216–7.</w:t>
      </w:r>
    </w:p>
  </w:footnote>
  <w:footnote w:id="55">
    <w:p w14:paraId="12934639"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Julia Black and Robert Baldwin, ‘Really Responsive Risk-Based Regulation’ (2010) 32(2) </w:t>
      </w:r>
      <w:r w:rsidRPr="002059EF">
        <w:rPr>
          <w:rFonts w:cs="Arial"/>
          <w:i/>
          <w:iCs/>
          <w:sz w:val="18"/>
          <w:szCs w:val="18"/>
          <w:lang w:val="en-AU"/>
        </w:rPr>
        <w:t>Law &amp; Policy</w:t>
      </w:r>
      <w:r w:rsidRPr="002059EF">
        <w:rPr>
          <w:rFonts w:cs="Arial"/>
          <w:sz w:val="18"/>
          <w:szCs w:val="18"/>
          <w:lang w:val="en-AU"/>
        </w:rPr>
        <w:t xml:space="preserve"> 181, 181.</w:t>
      </w:r>
    </w:p>
  </w:footnote>
  <w:footnote w:id="56">
    <w:p w14:paraId="36F9A870"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Examples include cost-benefit analysis, risk matrices, and decision-trees.</w:t>
      </w:r>
    </w:p>
  </w:footnote>
  <w:footnote w:id="57">
    <w:p w14:paraId="22BF9F37" w14:textId="5612AD3B"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Black and Baldwin (n </w:t>
      </w:r>
      <w:r>
        <w:rPr>
          <w:rFonts w:cs="Arial"/>
          <w:sz w:val="18"/>
          <w:szCs w:val="18"/>
          <w:lang w:val="en-AU"/>
        </w:rPr>
        <w:fldChar w:fldCharType="begin"/>
      </w:r>
      <w:r>
        <w:rPr>
          <w:rFonts w:cs="Arial"/>
          <w:sz w:val="18"/>
          <w:szCs w:val="18"/>
          <w:lang w:val="en-AU"/>
        </w:rPr>
        <w:instrText xml:space="preserve"> NOTEREF _Ref161677872 \h </w:instrText>
      </w:r>
      <w:r>
        <w:rPr>
          <w:rFonts w:cs="Arial"/>
          <w:sz w:val="18"/>
          <w:szCs w:val="18"/>
          <w:lang w:val="en-AU"/>
        </w:rPr>
      </w:r>
      <w:r>
        <w:rPr>
          <w:rFonts w:cs="Arial"/>
          <w:sz w:val="18"/>
          <w:szCs w:val="18"/>
          <w:lang w:val="en-AU"/>
        </w:rPr>
        <w:fldChar w:fldCharType="separate"/>
      </w:r>
      <w:r w:rsidR="00B02191">
        <w:rPr>
          <w:rFonts w:cs="Arial"/>
          <w:sz w:val="18"/>
          <w:szCs w:val="18"/>
          <w:lang w:val="en-AU"/>
        </w:rPr>
        <w:t>54</w:t>
      </w:r>
      <w:r>
        <w:rPr>
          <w:rFonts w:cs="Arial"/>
          <w:sz w:val="18"/>
          <w:szCs w:val="18"/>
          <w:lang w:val="en-AU"/>
        </w:rPr>
        <w:fldChar w:fldCharType="end"/>
      </w:r>
      <w:r w:rsidRPr="002059EF">
        <w:rPr>
          <w:rFonts w:cs="Arial"/>
          <w:sz w:val="18"/>
          <w:szCs w:val="18"/>
          <w:lang w:val="en-AU"/>
        </w:rPr>
        <w:t xml:space="preserve">) 183–5; Freiberg (n </w:t>
      </w:r>
      <w:r>
        <w:rPr>
          <w:rFonts w:cs="Arial"/>
          <w:sz w:val="18"/>
          <w:szCs w:val="18"/>
          <w:lang w:val="en-AU"/>
        </w:rPr>
        <w:fldChar w:fldCharType="begin"/>
      </w:r>
      <w:r>
        <w:rPr>
          <w:rFonts w:cs="Arial"/>
          <w:sz w:val="18"/>
          <w:szCs w:val="18"/>
          <w:lang w:val="en-AU"/>
        </w:rPr>
        <w:instrText xml:space="preserve"> NOTEREF _Ref161677558 \h </w:instrText>
      </w:r>
      <w:r>
        <w:rPr>
          <w:rFonts w:cs="Arial"/>
          <w:sz w:val="18"/>
          <w:szCs w:val="18"/>
          <w:lang w:val="en-AU"/>
        </w:rPr>
      </w:r>
      <w:r>
        <w:rPr>
          <w:rFonts w:cs="Arial"/>
          <w:sz w:val="18"/>
          <w:szCs w:val="18"/>
          <w:lang w:val="en-AU"/>
        </w:rPr>
        <w:fldChar w:fldCharType="separate"/>
      </w:r>
      <w:r w:rsidR="00B02191">
        <w:rPr>
          <w:rFonts w:cs="Arial"/>
          <w:sz w:val="18"/>
          <w:szCs w:val="18"/>
          <w:lang w:val="en-AU"/>
        </w:rPr>
        <w:t>8</w:t>
      </w:r>
      <w:r>
        <w:rPr>
          <w:rFonts w:cs="Arial"/>
          <w:sz w:val="18"/>
          <w:szCs w:val="18"/>
          <w:lang w:val="en-AU"/>
        </w:rPr>
        <w:fldChar w:fldCharType="end"/>
      </w:r>
      <w:r w:rsidRPr="002059EF">
        <w:rPr>
          <w:rFonts w:cs="Arial"/>
          <w:sz w:val="18"/>
          <w:szCs w:val="18"/>
          <w:lang w:val="en-AU"/>
        </w:rPr>
        <w:t xml:space="preserve">) 455, 458–62; Productivity Commission (n </w:t>
      </w:r>
      <w:r>
        <w:rPr>
          <w:rFonts w:cs="Arial"/>
          <w:sz w:val="18"/>
          <w:szCs w:val="18"/>
          <w:lang w:val="en-AU"/>
        </w:rPr>
        <w:fldChar w:fldCharType="begin"/>
      </w:r>
      <w:r>
        <w:rPr>
          <w:rFonts w:cs="Arial"/>
          <w:sz w:val="18"/>
          <w:szCs w:val="18"/>
          <w:lang w:val="en-AU"/>
        </w:rPr>
        <w:instrText xml:space="preserve"> NOTEREF _Ref161677919 \h </w:instrText>
      </w:r>
      <w:r>
        <w:rPr>
          <w:rFonts w:cs="Arial"/>
          <w:sz w:val="18"/>
          <w:szCs w:val="18"/>
          <w:lang w:val="en-AU"/>
        </w:rPr>
      </w:r>
      <w:r>
        <w:rPr>
          <w:rFonts w:cs="Arial"/>
          <w:sz w:val="18"/>
          <w:szCs w:val="18"/>
          <w:lang w:val="en-AU"/>
        </w:rPr>
        <w:fldChar w:fldCharType="separate"/>
      </w:r>
      <w:r w:rsidR="00B02191">
        <w:rPr>
          <w:rFonts w:cs="Arial"/>
          <w:sz w:val="18"/>
          <w:szCs w:val="18"/>
          <w:lang w:val="en-AU"/>
        </w:rPr>
        <w:t>53</w:t>
      </w:r>
      <w:r>
        <w:rPr>
          <w:rFonts w:cs="Arial"/>
          <w:sz w:val="18"/>
          <w:szCs w:val="18"/>
          <w:lang w:val="en-AU"/>
        </w:rPr>
        <w:fldChar w:fldCharType="end"/>
      </w:r>
      <w:r w:rsidRPr="002059EF">
        <w:rPr>
          <w:rFonts w:cs="Arial"/>
          <w:sz w:val="18"/>
          <w:szCs w:val="18"/>
          <w:lang w:val="en-AU"/>
        </w:rPr>
        <w:t>) 275–7.</w:t>
      </w:r>
    </w:p>
  </w:footnote>
  <w:footnote w:id="58">
    <w:p w14:paraId="2C4BC23F" w14:textId="1FC62162"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Productivity Commission (n </w:t>
      </w:r>
      <w:r>
        <w:rPr>
          <w:rFonts w:cs="Arial"/>
          <w:sz w:val="18"/>
          <w:szCs w:val="18"/>
          <w:lang w:val="en-AU"/>
        </w:rPr>
        <w:fldChar w:fldCharType="begin"/>
      </w:r>
      <w:r>
        <w:rPr>
          <w:rFonts w:cs="Arial"/>
          <w:sz w:val="18"/>
          <w:szCs w:val="18"/>
          <w:lang w:val="en-AU"/>
        </w:rPr>
        <w:instrText xml:space="preserve"> NOTEREF _Ref161677919 \h </w:instrText>
      </w:r>
      <w:r>
        <w:rPr>
          <w:rFonts w:cs="Arial"/>
          <w:sz w:val="18"/>
          <w:szCs w:val="18"/>
          <w:lang w:val="en-AU"/>
        </w:rPr>
      </w:r>
      <w:r>
        <w:rPr>
          <w:rFonts w:cs="Arial"/>
          <w:sz w:val="18"/>
          <w:szCs w:val="18"/>
          <w:lang w:val="en-AU"/>
        </w:rPr>
        <w:fldChar w:fldCharType="separate"/>
      </w:r>
      <w:r w:rsidR="00B02191">
        <w:rPr>
          <w:rFonts w:cs="Arial"/>
          <w:sz w:val="18"/>
          <w:szCs w:val="18"/>
          <w:lang w:val="en-AU"/>
        </w:rPr>
        <w:t>53</w:t>
      </w:r>
      <w:r>
        <w:rPr>
          <w:rFonts w:cs="Arial"/>
          <w:sz w:val="18"/>
          <w:szCs w:val="18"/>
          <w:lang w:val="en-AU"/>
        </w:rPr>
        <w:fldChar w:fldCharType="end"/>
      </w:r>
      <w:r w:rsidRPr="002059EF">
        <w:rPr>
          <w:rFonts w:cs="Arial"/>
          <w:sz w:val="18"/>
          <w:szCs w:val="18"/>
          <w:lang w:val="en-AU"/>
        </w:rPr>
        <w:t>) 275.</w:t>
      </w:r>
    </w:p>
  </w:footnote>
  <w:footnote w:id="59">
    <w:p w14:paraId="7167A661" w14:textId="5EA439C9"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Black and Baldwin (n </w:t>
      </w:r>
      <w:r>
        <w:rPr>
          <w:rFonts w:cs="Arial"/>
          <w:sz w:val="18"/>
          <w:szCs w:val="18"/>
          <w:lang w:val="en-AU"/>
        </w:rPr>
        <w:fldChar w:fldCharType="begin"/>
      </w:r>
      <w:r>
        <w:rPr>
          <w:rFonts w:cs="Arial"/>
          <w:sz w:val="18"/>
          <w:szCs w:val="18"/>
          <w:lang w:val="en-AU"/>
        </w:rPr>
        <w:instrText xml:space="preserve"> NOTEREF _Ref161677872 \h </w:instrText>
      </w:r>
      <w:r>
        <w:rPr>
          <w:rFonts w:cs="Arial"/>
          <w:sz w:val="18"/>
          <w:szCs w:val="18"/>
          <w:lang w:val="en-AU"/>
        </w:rPr>
      </w:r>
      <w:r>
        <w:rPr>
          <w:rFonts w:cs="Arial"/>
          <w:sz w:val="18"/>
          <w:szCs w:val="18"/>
          <w:lang w:val="en-AU"/>
        </w:rPr>
        <w:fldChar w:fldCharType="separate"/>
      </w:r>
      <w:r w:rsidR="00B02191">
        <w:rPr>
          <w:rFonts w:cs="Arial"/>
          <w:sz w:val="18"/>
          <w:szCs w:val="18"/>
          <w:lang w:val="en-AU"/>
        </w:rPr>
        <w:t>54</w:t>
      </w:r>
      <w:r>
        <w:rPr>
          <w:rFonts w:cs="Arial"/>
          <w:sz w:val="18"/>
          <w:szCs w:val="18"/>
          <w:lang w:val="en-AU"/>
        </w:rPr>
        <w:fldChar w:fldCharType="end"/>
      </w:r>
      <w:r w:rsidRPr="002059EF">
        <w:rPr>
          <w:rFonts w:cs="Arial"/>
          <w:sz w:val="18"/>
          <w:szCs w:val="18"/>
          <w:lang w:val="en-AU"/>
        </w:rPr>
        <w:t>) 184.</w:t>
      </w:r>
    </w:p>
  </w:footnote>
  <w:footnote w:id="60">
    <w:p w14:paraId="3066B99F" w14:textId="72FDD048"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Productivity Commission (n </w:t>
      </w:r>
      <w:r>
        <w:rPr>
          <w:rFonts w:cs="Arial"/>
          <w:sz w:val="18"/>
          <w:szCs w:val="18"/>
          <w:lang w:val="en-AU"/>
        </w:rPr>
        <w:fldChar w:fldCharType="begin"/>
      </w:r>
      <w:r>
        <w:rPr>
          <w:rFonts w:cs="Arial"/>
          <w:sz w:val="18"/>
          <w:szCs w:val="18"/>
          <w:lang w:val="en-AU"/>
        </w:rPr>
        <w:instrText xml:space="preserve"> NOTEREF _Ref161677919 \h </w:instrText>
      </w:r>
      <w:r>
        <w:rPr>
          <w:rFonts w:cs="Arial"/>
          <w:sz w:val="18"/>
          <w:szCs w:val="18"/>
          <w:lang w:val="en-AU"/>
        </w:rPr>
      </w:r>
      <w:r>
        <w:rPr>
          <w:rFonts w:cs="Arial"/>
          <w:sz w:val="18"/>
          <w:szCs w:val="18"/>
          <w:lang w:val="en-AU"/>
        </w:rPr>
        <w:fldChar w:fldCharType="separate"/>
      </w:r>
      <w:r w:rsidR="00B02191">
        <w:rPr>
          <w:rFonts w:cs="Arial"/>
          <w:sz w:val="18"/>
          <w:szCs w:val="18"/>
          <w:lang w:val="en-AU"/>
        </w:rPr>
        <w:t>53</w:t>
      </w:r>
      <w:r>
        <w:rPr>
          <w:rFonts w:cs="Arial"/>
          <w:sz w:val="18"/>
          <w:szCs w:val="18"/>
          <w:lang w:val="en-AU"/>
        </w:rPr>
        <w:fldChar w:fldCharType="end"/>
      </w:r>
      <w:r w:rsidRPr="002059EF">
        <w:rPr>
          <w:rFonts w:cs="Arial"/>
          <w:sz w:val="18"/>
          <w:szCs w:val="18"/>
          <w:lang w:val="en-AU"/>
        </w:rPr>
        <w:t>) 275.</w:t>
      </w:r>
    </w:p>
  </w:footnote>
  <w:footnote w:id="61">
    <w:p w14:paraId="6FEBCF44" w14:textId="57BB5FEC"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Black and Baldwin (n </w:t>
      </w:r>
      <w:r>
        <w:rPr>
          <w:rFonts w:cs="Arial"/>
          <w:sz w:val="18"/>
          <w:szCs w:val="18"/>
          <w:lang w:val="en-AU"/>
        </w:rPr>
        <w:fldChar w:fldCharType="begin"/>
      </w:r>
      <w:r>
        <w:rPr>
          <w:rFonts w:cs="Arial"/>
          <w:sz w:val="18"/>
          <w:szCs w:val="18"/>
          <w:lang w:val="en-AU"/>
        </w:rPr>
        <w:instrText xml:space="preserve"> NOTEREF _Ref161677872 \h </w:instrText>
      </w:r>
      <w:r>
        <w:rPr>
          <w:rFonts w:cs="Arial"/>
          <w:sz w:val="18"/>
          <w:szCs w:val="18"/>
          <w:lang w:val="en-AU"/>
        </w:rPr>
      </w:r>
      <w:r>
        <w:rPr>
          <w:rFonts w:cs="Arial"/>
          <w:sz w:val="18"/>
          <w:szCs w:val="18"/>
          <w:lang w:val="en-AU"/>
        </w:rPr>
        <w:fldChar w:fldCharType="separate"/>
      </w:r>
      <w:r w:rsidR="00B02191">
        <w:rPr>
          <w:rFonts w:cs="Arial"/>
          <w:sz w:val="18"/>
          <w:szCs w:val="18"/>
          <w:lang w:val="en-AU"/>
        </w:rPr>
        <w:t>54</w:t>
      </w:r>
      <w:r>
        <w:rPr>
          <w:rFonts w:cs="Arial"/>
          <w:sz w:val="18"/>
          <w:szCs w:val="18"/>
          <w:lang w:val="en-AU"/>
        </w:rPr>
        <w:fldChar w:fldCharType="end"/>
      </w:r>
      <w:r w:rsidRPr="002059EF">
        <w:rPr>
          <w:rFonts w:cs="Arial"/>
          <w:sz w:val="18"/>
          <w:szCs w:val="18"/>
          <w:lang w:val="en-AU"/>
        </w:rPr>
        <w:t>) 184; ibid.</w:t>
      </w:r>
    </w:p>
  </w:footnote>
  <w:footnote w:id="62">
    <w:p w14:paraId="447B60FC" w14:textId="3DB7F810"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Black and Baldwin (n </w:t>
      </w:r>
      <w:r>
        <w:rPr>
          <w:rFonts w:cs="Arial"/>
          <w:sz w:val="18"/>
          <w:szCs w:val="18"/>
          <w:lang w:val="en-AU"/>
        </w:rPr>
        <w:fldChar w:fldCharType="begin"/>
      </w:r>
      <w:r>
        <w:rPr>
          <w:rFonts w:cs="Arial"/>
          <w:sz w:val="18"/>
          <w:szCs w:val="18"/>
          <w:lang w:val="en-AU"/>
        </w:rPr>
        <w:instrText xml:space="preserve"> NOTEREF _Ref161677872 \h </w:instrText>
      </w:r>
      <w:r>
        <w:rPr>
          <w:rFonts w:cs="Arial"/>
          <w:sz w:val="18"/>
          <w:szCs w:val="18"/>
          <w:lang w:val="en-AU"/>
        </w:rPr>
      </w:r>
      <w:r>
        <w:rPr>
          <w:rFonts w:cs="Arial"/>
          <w:sz w:val="18"/>
          <w:szCs w:val="18"/>
          <w:lang w:val="en-AU"/>
        </w:rPr>
        <w:fldChar w:fldCharType="separate"/>
      </w:r>
      <w:r w:rsidR="00B02191">
        <w:rPr>
          <w:rFonts w:cs="Arial"/>
          <w:sz w:val="18"/>
          <w:szCs w:val="18"/>
          <w:lang w:val="en-AU"/>
        </w:rPr>
        <w:t>54</w:t>
      </w:r>
      <w:r>
        <w:rPr>
          <w:rFonts w:cs="Arial"/>
          <w:sz w:val="18"/>
          <w:szCs w:val="18"/>
          <w:lang w:val="en-AU"/>
        </w:rPr>
        <w:fldChar w:fldCharType="end"/>
      </w:r>
      <w:r w:rsidRPr="002059EF">
        <w:rPr>
          <w:rFonts w:cs="Arial"/>
          <w:sz w:val="18"/>
          <w:szCs w:val="18"/>
          <w:lang w:val="en-AU"/>
        </w:rPr>
        <w:t>) 185.</w:t>
      </w:r>
    </w:p>
  </w:footnote>
  <w:footnote w:id="63">
    <w:p w14:paraId="4C4471FF" w14:textId="03B5C648" w:rsidR="00712508" w:rsidRPr="002059EF" w:rsidRDefault="00712508" w:rsidP="00AC24AC">
      <w:pPr>
        <w:pStyle w:val="NoSpacing"/>
        <w:jc w:val="both"/>
        <w:rPr>
          <w:rFonts w:cs="Arial"/>
          <w:i/>
          <w:iCs/>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Black (n </w:t>
      </w:r>
      <w:r>
        <w:rPr>
          <w:rFonts w:cs="Arial"/>
          <w:sz w:val="18"/>
          <w:szCs w:val="18"/>
          <w:lang w:val="en-AU"/>
        </w:rPr>
        <w:fldChar w:fldCharType="begin"/>
      </w:r>
      <w:r>
        <w:rPr>
          <w:rFonts w:cs="Arial"/>
          <w:sz w:val="18"/>
          <w:szCs w:val="18"/>
          <w:lang w:val="en-AU"/>
        </w:rPr>
        <w:instrText xml:space="preserve"> NOTEREF _Ref161678214 \h </w:instrText>
      </w:r>
      <w:r>
        <w:rPr>
          <w:rFonts w:cs="Arial"/>
          <w:sz w:val="18"/>
          <w:szCs w:val="18"/>
          <w:lang w:val="en-AU"/>
        </w:rPr>
      </w:r>
      <w:r>
        <w:rPr>
          <w:rFonts w:cs="Arial"/>
          <w:sz w:val="18"/>
          <w:szCs w:val="18"/>
          <w:lang w:val="en-AU"/>
        </w:rPr>
        <w:fldChar w:fldCharType="separate"/>
      </w:r>
      <w:r w:rsidR="00B02191">
        <w:rPr>
          <w:rFonts w:cs="Arial"/>
          <w:sz w:val="18"/>
          <w:szCs w:val="18"/>
          <w:lang w:val="en-AU"/>
        </w:rPr>
        <w:t>50</w:t>
      </w:r>
      <w:r>
        <w:rPr>
          <w:rFonts w:cs="Arial"/>
          <w:sz w:val="18"/>
          <w:szCs w:val="18"/>
          <w:lang w:val="en-AU"/>
        </w:rPr>
        <w:fldChar w:fldCharType="end"/>
      </w:r>
      <w:r w:rsidRPr="002059EF">
        <w:rPr>
          <w:rFonts w:cs="Arial"/>
          <w:sz w:val="18"/>
          <w:szCs w:val="18"/>
          <w:lang w:val="en-AU"/>
        </w:rPr>
        <w:t>) 187–8.</w:t>
      </w:r>
    </w:p>
  </w:footnote>
  <w:footnote w:id="64">
    <w:p w14:paraId="78D6244B" w14:textId="46EE0E5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Black and Baldwin (n </w:t>
      </w:r>
      <w:r>
        <w:rPr>
          <w:rFonts w:cs="Arial"/>
          <w:sz w:val="18"/>
          <w:szCs w:val="18"/>
          <w:lang w:val="en-AU"/>
        </w:rPr>
        <w:fldChar w:fldCharType="begin"/>
      </w:r>
      <w:r>
        <w:rPr>
          <w:rFonts w:cs="Arial"/>
          <w:sz w:val="18"/>
          <w:szCs w:val="18"/>
          <w:lang w:val="en-AU"/>
        </w:rPr>
        <w:instrText xml:space="preserve"> NOTEREF _Ref161677872 \h </w:instrText>
      </w:r>
      <w:r>
        <w:rPr>
          <w:rFonts w:cs="Arial"/>
          <w:sz w:val="18"/>
          <w:szCs w:val="18"/>
          <w:lang w:val="en-AU"/>
        </w:rPr>
      </w:r>
      <w:r>
        <w:rPr>
          <w:rFonts w:cs="Arial"/>
          <w:sz w:val="18"/>
          <w:szCs w:val="18"/>
          <w:lang w:val="en-AU"/>
        </w:rPr>
        <w:fldChar w:fldCharType="separate"/>
      </w:r>
      <w:r w:rsidR="00B02191">
        <w:rPr>
          <w:rFonts w:cs="Arial"/>
          <w:sz w:val="18"/>
          <w:szCs w:val="18"/>
          <w:lang w:val="en-AU"/>
        </w:rPr>
        <w:t>54</w:t>
      </w:r>
      <w:r>
        <w:rPr>
          <w:rFonts w:cs="Arial"/>
          <w:sz w:val="18"/>
          <w:szCs w:val="18"/>
          <w:lang w:val="en-AU"/>
        </w:rPr>
        <w:fldChar w:fldCharType="end"/>
      </w:r>
      <w:r w:rsidRPr="002059EF">
        <w:rPr>
          <w:rFonts w:cs="Arial"/>
          <w:sz w:val="18"/>
          <w:szCs w:val="18"/>
          <w:lang w:val="en-AU"/>
        </w:rPr>
        <w:t>) 181.</w:t>
      </w:r>
    </w:p>
  </w:footnote>
  <w:footnote w:id="65">
    <w:p w14:paraId="4A3B3739" w14:textId="308D0408"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Freiberg (n </w:t>
      </w:r>
      <w:r>
        <w:rPr>
          <w:rFonts w:cs="Arial"/>
          <w:sz w:val="18"/>
          <w:szCs w:val="18"/>
          <w:lang w:val="en-AU"/>
        </w:rPr>
        <w:fldChar w:fldCharType="begin"/>
      </w:r>
      <w:r>
        <w:rPr>
          <w:rFonts w:cs="Arial"/>
          <w:sz w:val="18"/>
          <w:szCs w:val="18"/>
          <w:lang w:val="en-AU"/>
        </w:rPr>
        <w:instrText xml:space="preserve"> NOTEREF _Ref161677558 \h </w:instrText>
      </w:r>
      <w:r>
        <w:rPr>
          <w:rFonts w:cs="Arial"/>
          <w:sz w:val="18"/>
          <w:szCs w:val="18"/>
          <w:lang w:val="en-AU"/>
        </w:rPr>
      </w:r>
      <w:r>
        <w:rPr>
          <w:rFonts w:cs="Arial"/>
          <w:sz w:val="18"/>
          <w:szCs w:val="18"/>
          <w:lang w:val="en-AU"/>
        </w:rPr>
        <w:fldChar w:fldCharType="separate"/>
      </w:r>
      <w:r w:rsidR="00B02191">
        <w:rPr>
          <w:rFonts w:cs="Arial"/>
          <w:sz w:val="18"/>
          <w:szCs w:val="18"/>
          <w:lang w:val="en-AU"/>
        </w:rPr>
        <w:t>8</w:t>
      </w:r>
      <w:r>
        <w:rPr>
          <w:rFonts w:cs="Arial"/>
          <w:sz w:val="18"/>
          <w:szCs w:val="18"/>
          <w:lang w:val="en-AU"/>
        </w:rPr>
        <w:fldChar w:fldCharType="end"/>
      </w:r>
      <w:r w:rsidRPr="002059EF">
        <w:rPr>
          <w:rFonts w:cs="Arial"/>
          <w:sz w:val="18"/>
          <w:szCs w:val="18"/>
          <w:lang w:val="en-AU"/>
        </w:rPr>
        <w:t xml:space="preserve">) 400. See also Australian Law Reform Commission, </w:t>
      </w:r>
      <w:r w:rsidRPr="002059EF">
        <w:rPr>
          <w:rFonts w:cs="Arial"/>
          <w:i/>
          <w:iCs/>
          <w:sz w:val="18"/>
          <w:szCs w:val="18"/>
          <w:lang w:val="en-AU"/>
        </w:rPr>
        <w:t xml:space="preserve">Principled Regulation: Federal Civil and Administrative Penalties in Australia </w:t>
      </w:r>
      <w:r w:rsidRPr="002059EF">
        <w:rPr>
          <w:rFonts w:cs="Arial"/>
          <w:sz w:val="18"/>
          <w:szCs w:val="18"/>
          <w:lang w:val="en-AU"/>
        </w:rPr>
        <w:t>(Report No 95, December 2002).</w:t>
      </w:r>
    </w:p>
  </w:footnote>
  <w:footnote w:id="66">
    <w:p w14:paraId="5CC267C9" w14:textId="6A2A7574"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Law Reform Commission</w:t>
      </w:r>
      <w:r w:rsidRPr="002059EF" w:rsidDel="00144B76">
        <w:rPr>
          <w:rFonts w:cs="Arial"/>
          <w:sz w:val="18"/>
          <w:szCs w:val="18"/>
          <w:lang w:val="en-AU"/>
        </w:rPr>
        <w:t xml:space="preserve"> </w:t>
      </w:r>
      <w:r w:rsidRPr="002059EF">
        <w:rPr>
          <w:rFonts w:cs="Arial"/>
          <w:sz w:val="18"/>
          <w:szCs w:val="18"/>
          <w:lang w:val="en-AU"/>
        </w:rPr>
        <w:t xml:space="preserve">(n </w:t>
      </w:r>
      <w:r>
        <w:rPr>
          <w:rFonts w:cs="Arial"/>
          <w:sz w:val="18"/>
          <w:szCs w:val="18"/>
          <w:lang w:val="en-AU"/>
        </w:rPr>
        <w:fldChar w:fldCharType="begin"/>
      </w:r>
      <w:r>
        <w:rPr>
          <w:rFonts w:cs="Arial"/>
          <w:sz w:val="18"/>
          <w:szCs w:val="18"/>
          <w:lang w:val="en-AU"/>
        </w:rPr>
        <w:instrText xml:space="preserve"> NOTEREF _Ref161678312 \h </w:instrText>
      </w:r>
      <w:r>
        <w:rPr>
          <w:rFonts w:cs="Arial"/>
          <w:sz w:val="18"/>
          <w:szCs w:val="18"/>
          <w:lang w:val="en-AU"/>
        </w:rPr>
      </w:r>
      <w:r>
        <w:rPr>
          <w:rFonts w:cs="Arial"/>
          <w:sz w:val="18"/>
          <w:szCs w:val="18"/>
          <w:lang w:val="en-AU"/>
        </w:rPr>
        <w:fldChar w:fldCharType="separate"/>
      </w:r>
      <w:r w:rsidR="00B02191">
        <w:rPr>
          <w:rFonts w:cs="Arial"/>
          <w:sz w:val="18"/>
          <w:szCs w:val="18"/>
          <w:lang w:val="en-AU"/>
        </w:rPr>
        <w:t>64</w:t>
      </w:r>
      <w:r>
        <w:rPr>
          <w:rFonts w:cs="Arial"/>
          <w:sz w:val="18"/>
          <w:szCs w:val="18"/>
          <w:lang w:val="en-AU"/>
        </w:rPr>
        <w:fldChar w:fldCharType="end"/>
      </w:r>
      <w:r w:rsidRPr="002059EF">
        <w:rPr>
          <w:rFonts w:cs="Arial"/>
          <w:sz w:val="18"/>
          <w:szCs w:val="18"/>
          <w:lang w:val="en-AU"/>
        </w:rPr>
        <w:t xml:space="preserve">); Freiberg (n </w:t>
      </w:r>
      <w:r>
        <w:rPr>
          <w:rFonts w:cs="Arial"/>
          <w:sz w:val="18"/>
          <w:szCs w:val="18"/>
          <w:lang w:val="en-AU"/>
        </w:rPr>
        <w:fldChar w:fldCharType="begin"/>
      </w:r>
      <w:r>
        <w:rPr>
          <w:rFonts w:cs="Arial"/>
          <w:sz w:val="18"/>
          <w:szCs w:val="18"/>
          <w:lang w:val="en-AU"/>
        </w:rPr>
        <w:instrText xml:space="preserve"> NOTEREF _Ref161677558 \h </w:instrText>
      </w:r>
      <w:r>
        <w:rPr>
          <w:rFonts w:cs="Arial"/>
          <w:sz w:val="18"/>
          <w:szCs w:val="18"/>
          <w:lang w:val="en-AU"/>
        </w:rPr>
      </w:r>
      <w:r>
        <w:rPr>
          <w:rFonts w:cs="Arial"/>
          <w:sz w:val="18"/>
          <w:szCs w:val="18"/>
          <w:lang w:val="en-AU"/>
        </w:rPr>
        <w:fldChar w:fldCharType="separate"/>
      </w:r>
      <w:r w:rsidR="00B02191">
        <w:rPr>
          <w:rFonts w:cs="Arial"/>
          <w:sz w:val="18"/>
          <w:szCs w:val="18"/>
          <w:lang w:val="en-AU"/>
        </w:rPr>
        <w:t>8</w:t>
      </w:r>
      <w:r>
        <w:rPr>
          <w:rFonts w:cs="Arial"/>
          <w:sz w:val="18"/>
          <w:szCs w:val="18"/>
          <w:lang w:val="en-AU"/>
        </w:rPr>
        <w:fldChar w:fldCharType="end"/>
      </w:r>
      <w:r w:rsidRPr="002059EF">
        <w:rPr>
          <w:rFonts w:cs="Arial"/>
          <w:sz w:val="18"/>
          <w:szCs w:val="18"/>
          <w:lang w:val="en-AU"/>
        </w:rPr>
        <w:t>) 400, citing Australian Law Reform Commission</w:t>
      </w:r>
      <w:r w:rsidRPr="002059EF" w:rsidDel="00144B76">
        <w:rPr>
          <w:rFonts w:cs="Arial"/>
          <w:sz w:val="18"/>
          <w:szCs w:val="18"/>
          <w:lang w:val="en-AU"/>
        </w:rPr>
        <w:t xml:space="preserve"> </w:t>
      </w:r>
      <w:r w:rsidRPr="002059EF">
        <w:rPr>
          <w:rFonts w:cs="Arial"/>
          <w:sz w:val="18"/>
          <w:szCs w:val="18"/>
          <w:lang w:val="en-AU"/>
        </w:rPr>
        <w:t xml:space="preserve">(n </w:t>
      </w:r>
      <w:r>
        <w:rPr>
          <w:rFonts w:cs="Arial"/>
          <w:sz w:val="18"/>
          <w:szCs w:val="18"/>
          <w:lang w:val="en-AU"/>
        </w:rPr>
        <w:fldChar w:fldCharType="begin"/>
      </w:r>
      <w:r>
        <w:rPr>
          <w:rFonts w:cs="Arial"/>
          <w:sz w:val="18"/>
          <w:szCs w:val="18"/>
          <w:lang w:val="en-AU"/>
        </w:rPr>
        <w:instrText xml:space="preserve"> NOTEREF _Ref161678312 \h </w:instrText>
      </w:r>
      <w:r>
        <w:rPr>
          <w:rFonts w:cs="Arial"/>
          <w:sz w:val="18"/>
          <w:szCs w:val="18"/>
          <w:lang w:val="en-AU"/>
        </w:rPr>
      </w:r>
      <w:r>
        <w:rPr>
          <w:rFonts w:cs="Arial"/>
          <w:sz w:val="18"/>
          <w:szCs w:val="18"/>
          <w:lang w:val="en-AU"/>
        </w:rPr>
        <w:fldChar w:fldCharType="separate"/>
      </w:r>
      <w:r w:rsidR="00B02191">
        <w:rPr>
          <w:rFonts w:cs="Arial"/>
          <w:sz w:val="18"/>
          <w:szCs w:val="18"/>
          <w:lang w:val="en-AU"/>
        </w:rPr>
        <w:t>64</w:t>
      </w:r>
      <w:r>
        <w:rPr>
          <w:rFonts w:cs="Arial"/>
          <w:sz w:val="18"/>
          <w:szCs w:val="18"/>
          <w:lang w:val="en-AU"/>
        </w:rPr>
        <w:fldChar w:fldCharType="end"/>
      </w:r>
      <w:r w:rsidRPr="002059EF">
        <w:rPr>
          <w:rFonts w:cs="Arial"/>
          <w:sz w:val="18"/>
          <w:szCs w:val="18"/>
          <w:lang w:val="en-AU"/>
        </w:rPr>
        <w:t>) [2.63]–[2.64].</w:t>
      </w:r>
    </w:p>
  </w:footnote>
  <w:footnote w:id="67">
    <w:p w14:paraId="2914814F" w14:textId="72D461C3"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Law Reform Commission</w:t>
      </w:r>
      <w:r w:rsidRPr="002059EF" w:rsidDel="00144B76">
        <w:rPr>
          <w:rFonts w:cs="Arial"/>
          <w:sz w:val="18"/>
          <w:szCs w:val="18"/>
          <w:lang w:val="en-AU"/>
        </w:rPr>
        <w:t xml:space="preserve"> </w:t>
      </w:r>
      <w:r w:rsidRPr="002059EF">
        <w:rPr>
          <w:rFonts w:cs="Arial"/>
          <w:sz w:val="18"/>
          <w:szCs w:val="18"/>
          <w:lang w:val="en-AU"/>
        </w:rPr>
        <w:t xml:space="preserve">(n </w:t>
      </w:r>
      <w:r>
        <w:rPr>
          <w:rFonts w:cs="Arial"/>
          <w:sz w:val="18"/>
          <w:szCs w:val="18"/>
          <w:lang w:val="en-AU"/>
        </w:rPr>
        <w:fldChar w:fldCharType="begin"/>
      </w:r>
      <w:r>
        <w:rPr>
          <w:rFonts w:cs="Arial"/>
          <w:sz w:val="18"/>
          <w:szCs w:val="18"/>
          <w:lang w:val="en-AU"/>
        </w:rPr>
        <w:instrText xml:space="preserve"> NOTEREF _Ref161678312 \h </w:instrText>
      </w:r>
      <w:r>
        <w:rPr>
          <w:rFonts w:cs="Arial"/>
          <w:sz w:val="18"/>
          <w:szCs w:val="18"/>
          <w:lang w:val="en-AU"/>
        </w:rPr>
      </w:r>
      <w:r>
        <w:rPr>
          <w:rFonts w:cs="Arial"/>
          <w:sz w:val="18"/>
          <w:szCs w:val="18"/>
          <w:lang w:val="en-AU"/>
        </w:rPr>
        <w:fldChar w:fldCharType="separate"/>
      </w:r>
      <w:r w:rsidR="00B02191">
        <w:rPr>
          <w:rFonts w:cs="Arial"/>
          <w:sz w:val="18"/>
          <w:szCs w:val="18"/>
          <w:lang w:val="en-AU"/>
        </w:rPr>
        <w:t>64</w:t>
      </w:r>
      <w:r>
        <w:rPr>
          <w:rFonts w:cs="Arial"/>
          <w:sz w:val="18"/>
          <w:szCs w:val="18"/>
          <w:lang w:val="en-AU"/>
        </w:rPr>
        <w:fldChar w:fldCharType="end"/>
      </w:r>
      <w:r w:rsidRPr="002059EF">
        <w:rPr>
          <w:rFonts w:cs="Arial"/>
          <w:sz w:val="18"/>
          <w:szCs w:val="18"/>
          <w:lang w:val="en-AU"/>
        </w:rPr>
        <w:t>) [2.45].</w:t>
      </w:r>
    </w:p>
  </w:footnote>
  <w:footnote w:id="68">
    <w:p w14:paraId="2AAC7890" w14:textId="1212CBEB"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Freiberg (n </w:t>
      </w:r>
      <w:r>
        <w:rPr>
          <w:rFonts w:cs="Arial"/>
          <w:sz w:val="18"/>
          <w:szCs w:val="18"/>
        </w:rPr>
        <w:fldChar w:fldCharType="begin"/>
      </w:r>
      <w:r>
        <w:rPr>
          <w:rFonts w:cs="Arial"/>
          <w:sz w:val="18"/>
          <w:szCs w:val="18"/>
        </w:rPr>
        <w:instrText xml:space="preserve"> NOTEREF _Ref161677558 \h </w:instrText>
      </w:r>
      <w:r>
        <w:rPr>
          <w:rFonts w:cs="Arial"/>
          <w:sz w:val="18"/>
          <w:szCs w:val="18"/>
        </w:rPr>
      </w:r>
      <w:r>
        <w:rPr>
          <w:rFonts w:cs="Arial"/>
          <w:sz w:val="18"/>
          <w:szCs w:val="18"/>
        </w:rPr>
        <w:fldChar w:fldCharType="separate"/>
      </w:r>
      <w:r w:rsidR="00B02191">
        <w:rPr>
          <w:rFonts w:cs="Arial"/>
          <w:sz w:val="18"/>
          <w:szCs w:val="18"/>
        </w:rPr>
        <w:t>8</w:t>
      </w:r>
      <w:r>
        <w:rPr>
          <w:rFonts w:cs="Arial"/>
          <w:sz w:val="18"/>
          <w:szCs w:val="18"/>
        </w:rPr>
        <w:fldChar w:fldCharType="end"/>
      </w:r>
      <w:r w:rsidRPr="002059EF">
        <w:rPr>
          <w:rFonts w:cs="Arial"/>
          <w:sz w:val="18"/>
          <w:szCs w:val="18"/>
        </w:rPr>
        <w:t>) 400, 424.</w:t>
      </w:r>
    </w:p>
  </w:footnote>
  <w:footnote w:id="69">
    <w:p w14:paraId="12B16DC6" w14:textId="6759DA0A"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eg, ‘Compliance and Enforcement Policy’, </w:t>
      </w:r>
      <w:r w:rsidRPr="002059EF">
        <w:rPr>
          <w:rFonts w:cs="Arial"/>
          <w:i/>
          <w:iCs/>
          <w:sz w:val="18"/>
          <w:szCs w:val="18"/>
          <w:lang w:val="en-AU"/>
        </w:rPr>
        <w:t>Australian Communications and Media Authority</w:t>
      </w:r>
      <w:r w:rsidRPr="002059EF">
        <w:rPr>
          <w:rFonts w:cs="Arial"/>
          <w:sz w:val="18"/>
          <w:szCs w:val="18"/>
          <w:lang w:val="en-AU"/>
        </w:rPr>
        <w:t xml:space="preserve"> (Web page, 28 July 2023) &lt;</w:t>
      </w:r>
      <w:hyperlink r:id="rId1" w:history="1">
        <w:r w:rsidRPr="002059EF">
          <w:rPr>
            <w:rStyle w:val="Hyperlink"/>
            <w:rFonts w:cs="Arial"/>
            <w:color w:val="auto"/>
            <w:sz w:val="18"/>
            <w:szCs w:val="18"/>
            <w:u w:val="none"/>
            <w:lang w:val="en-AU"/>
          </w:rPr>
          <w:t>https://www.acma.gov.au/compliance-and-enforcement-policy</w:t>
        </w:r>
      </w:hyperlink>
      <w:r w:rsidRPr="002059EF">
        <w:rPr>
          <w:rFonts w:cs="Arial"/>
          <w:sz w:val="18"/>
          <w:szCs w:val="18"/>
          <w:lang w:val="en-AU"/>
        </w:rPr>
        <w:t>&gt; (the ACMA Compliance and Enforcement Policy).</w:t>
      </w:r>
    </w:p>
  </w:footnote>
  <w:footnote w:id="70">
    <w:p w14:paraId="3BCCEFA4" w14:textId="2EE282C2"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122.</w:t>
      </w:r>
    </w:p>
  </w:footnote>
  <w:footnote w:id="71">
    <w:p w14:paraId="40122E96"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r w:rsidRPr="002059EF" w:rsidDel="00C728BE">
        <w:rPr>
          <w:rFonts w:cs="Arial"/>
          <w:sz w:val="18"/>
          <w:szCs w:val="18"/>
          <w:lang w:val="en-AU"/>
        </w:rPr>
        <w:t xml:space="preserve"> </w:t>
      </w:r>
      <w:r w:rsidRPr="002059EF">
        <w:rPr>
          <w:rFonts w:cs="Arial"/>
          <w:sz w:val="18"/>
          <w:szCs w:val="18"/>
          <w:lang w:val="en-AU"/>
        </w:rPr>
        <w:t>s 129.</w:t>
      </w:r>
    </w:p>
  </w:footnote>
  <w:footnote w:id="72">
    <w:p w14:paraId="1491F953"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r w:rsidRPr="002059EF" w:rsidDel="00C728BE">
        <w:rPr>
          <w:rFonts w:cs="Arial"/>
          <w:sz w:val="18"/>
          <w:szCs w:val="18"/>
          <w:lang w:val="en-AU"/>
        </w:rPr>
        <w:t xml:space="preserve"> </w:t>
      </w:r>
      <w:r w:rsidRPr="002059EF">
        <w:rPr>
          <w:rFonts w:cs="Arial"/>
          <w:sz w:val="18"/>
          <w:szCs w:val="18"/>
          <w:lang w:val="en-AU"/>
        </w:rPr>
        <w:t>s 103.</w:t>
      </w:r>
    </w:p>
  </w:footnote>
  <w:footnote w:id="73">
    <w:p w14:paraId="3F16ADE8"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r w:rsidRPr="002059EF" w:rsidDel="00C728BE">
        <w:rPr>
          <w:rFonts w:cs="Arial"/>
          <w:sz w:val="18"/>
          <w:szCs w:val="18"/>
          <w:lang w:val="en-AU"/>
        </w:rPr>
        <w:t xml:space="preserve"> </w:t>
      </w:r>
      <w:r w:rsidRPr="002059EF">
        <w:rPr>
          <w:rFonts w:cs="Arial"/>
          <w:sz w:val="18"/>
          <w:szCs w:val="18"/>
          <w:lang w:val="en-AU"/>
        </w:rPr>
        <w:t>s 70.</w:t>
      </w:r>
    </w:p>
  </w:footnote>
  <w:footnote w:id="74">
    <w:p w14:paraId="641A856E" w14:textId="1DFA5B1E"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the ACMA Compliance and Enforcement Policy</w:t>
      </w:r>
      <w:r w:rsidRPr="002059EF" w:rsidDel="004712DE">
        <w:rPr>
          <w:rFonts w:cs="Arial"/>
          <w:sz w:val="18"/>
          <w:szCs w:val="18"/>
          <w:lang w:val="en-AU"/>
        </w:rPr>
        <w:t xml:space="preserve"> </w:t>
      </w:r>
      <w:r w:rsidRPr="002059EF">
        <w:rPr>
          <w:rFonts w:cs="Arial"/>
          <w:sz w:val="18"/>
          <w:szCs w:val="18"/>
          <w:lang w:val="en-AU"/>
        </w:rPr>
        <w:t xml:space="preserve">(n </w:t>
      </w:r>
      <w:r>
        <w:rPr>
          <w:rFonts w:cs="Arial"/>
          <w:sz w:val="18"/>
          <w:szCs w:val="18"/>
          <w:lang w:val="en-AU"/>
        </w:rPr>
        <w:fldChar w:fldCharType="begin"/>
      </w:r>
      <w:r>
        <w:rPr>
          <w:rFonts w:cs="Arial"/>
          <w:sz w:val="18"/>
          <w:szCs w:val="18"/>
          <w:lang w:val="en-AU"/>
        </w:rPr>
        <w:instrText xml:space="preserve"> NOTEREF _Ref137556912 \h </w:instrText>
      </w:r>
      <w:r>
        <w:rPr>
          <w:rFonts w:cs="Arial"/>
          <w:sz w:val="18"/>
          <w:szCs w:val="18"/>
          <w:lang w:val="en-AU"/>
        </w:rPr>
      </w:r>
      <w:r>
        <w:rPr>
          <w:rFonts w:cs="Arial"/>
          <w:sz w:val="18"/>
          <w:szCs w:val="18"/>
          <w:lang w:val="en-AU"/>
        </w:rPr>
        <w:fldChar w:fldCharType="separate"/>
      </w:r>
      <w:r w:rsidR="00B02191">
        <w:rPr>
          <w:rFonts w:cs="Arial"/>
          <w:sz w:val="18"/>
          <w:szCs w:val="18"/>
          <w:lang w:val="en-AU"/>
        </w:rPr>
        <w:t>68</w:t>
      </w:r>
      <w:r>
        <w:rPr>
          <w:rFonts w:cs="Arial"/>
          <w:sz w:val="18"/>
          <w:szCs w:val="18"/>
          <w:lang w:val="en-AU"/>
        </w:rPr>
        <w:fldChar w:fldCharType="end"/>
      </w:r>
      <w:r w:rsidRPr="002059EF">
        <w:rPr>
          <w:rFonts w:cs="Arial"/>
          <w:sz w:val="18"/>
          <w:szCs w:val="18"/>
          <w:lang w:val="en-AU"/>
        </w:rPr>
        <w:t>).</w:t>
      </w:r>
    </w:p>
  </w:footnote>
  <w:footnote w:id="75">
    <w:p w14:paraId="687DB93B" w14:textId="461CF59E"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121.</w:t>
      </w:r>
    </w:p>
  </w:footnote>
  <w:footnote w:id="76">
    <w:p w14:paraId="3A37F855" w14:textId="40569554" w:rsidR="00712508" w:rsidRPr="002059EF" w:rsidRDefault="00712508" w:rsidP="40F8949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TCPSS Act ss 128, 130. A direction to comply is only one mechanism the ACMA may use to enforce the TCPSS Act requirement to join the TIO. See the mechanisms to enforce the select service provider rules discussed in section B(3) of this chapter.</w:t>
      </w:r>
    </w:p>
  </w:footnote>
  <w:footnote w:id="77">
    <w:p w14:paraId="103E9DF0" w14:textId="5F7C5AB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572E(1).</w:t>
      </w:r>
    </w:p>
  </w:footnote>
  <w:footnote w:id="78">
    <w:p w14:paraId="4D3DB77C"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Regulatory Guide No. 5: Infringement Notices</w:t>
      </w:r>
      <w:r w:rsidRPr="002059EF">
        <w:rPr>
          <w:rFonts w:cs="Arial"/>
          <w:sz w:val="18"/>
          <w:szCs w:val="18"/>
          <w:lang w:val="en-AU"/>
        </w:rPr>
        <w:t xml:space="preserve"> (Guidance No 5, February 2023) [2.2].</w:t>
      </w:r>
    </w:p>
  </w:footnote>
  <w:footnote w:id="79">
    <w:p w14:paraId="53B4EBD5" w14:textId="39ECFEAA"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572J.</w:t>
      </w:r>
    </w:p>
  </w:footnote>
  <w:footnote w:id="80">
    <w:p w14:paraId="5EC837C6" w14:textId="202BF542"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The maximum penalties the ACMA and the Federal Court may impose vary depending on the statutory provision breached and the party in breach.</w:t>
      </w:r>
    </w:p>
  </w:footnote>
  <w:footnote w:id="81">
    <w:p w14:paraId="42108843" w14:textId="4E5D1B04"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572G. </w:t>
      </w:r>
    </w:p>
  </w:footnote>
  <w:footnote w:id="82">
    <w:p w14:paraId="0F484A4F"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 572E(3). See also Explanatory Statement, </w:t>
      </w:r>
      <w:r w:rsidRPr="002059EF">
        <w:rPr>
          <w:rFonts w:cs="Arial"/>
          <w:i/>
          <w:iCs/>
          <w:sz w:val="18"/>
          <w:szCs w:val="18"/>
          <w:lang w:val="en-AU"/>
        </w:rPr>
        <w:t>Telecommunications (Listed Infringement Notice Provisions) Declaration 2022</w:t>
      </w:r>
      <w:r w:rsidRPr="002059EF">
        <w:rPr>
          <w:rFonts w:cs="Arial"/>
          <w:sz w:val="18"/>
          <w:szCs w:val="18"/>
          <w:lang w:val="en-AU"/>
        </w:rPr>
        <w:t xml:space="preserve"> (Cth) 1; Australian Communications and Media Authority, </w:t>
      </w:r>
      <w:r w:rsidRPr="002059EF">
        <w:rPr>
          <w:rFonts w:cs="Arial"/>
          <w:i/>
          <w:iCs/>
          <w:sz w:val="18"/>
          <w:szCs w:val="18"/>
          <w:lang w:val="en-AU"/>
        </w:rPr>
        <w:t xml:space="preserve">Telecommunications (Infringement Notices) Guidelines 2022 </w:t>
      </w:r>
      <w:r w:rsidRPr="002059EF">
        <w:rPr>
          <w:rFonts w:cs="Arial"/>
          <w:sz w:val="18"/>
          <w:szCs w:val="18"/>
          <w:lang w:val="en-AU"/>
        </w:rPr>
        <w:t>(3 March 2022) [9.1].</w:t>
      </w:r>
    </w:p>
  </w:footnote>
  <w:footnote w:id="83">
    <w:p w14:paraId="6357759D" w14:textId="2C9721C9"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121(1).</w:t>
      </w:r>
    </w:p>
  </w:footnote>
  <w:footnote w:id="84">
    <w:p w14:paraId="2D47FBBA" w14:textId="5FE86233"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TCPSS Act</w:t>
      </w:r>
      <w:r w:rsidRPr="002059EF">
        <w:rPr>
          <w:rFonts w:cs="Arial"/>
          <w:sz w:val="18"/>
          <w:szCs w:val="18"/>
          <w:lang w:val="en-AU"/>
        </w:rPr>
        <w:t xml:space="preserve"> s 148(4).</w:t>
      </w:r>
    </w:p>
  </w:footnote>
  <w:footnote w:id="85">
    <w:p w14:paraId="3D90D36E" w14:textId="73AB959F"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w:t>
      </w:r>
      <w:r w:rsidRPr="002059EF">
        <w:rPr>
          <w:rFonts w:cs="Arial"/>
          <w:iCs/>
          <w:sz w:val="18"/>
          <w:szCs w:val="18"/>
          <w:lang w:val="en-AU"/>
        </w:rPr>
        <w:t>Tel Act</w:t>
      </w:r>
      <w:r w:rsidRPr="002059EF">
        <w:rPr>
          <w:rFonts w:cs="Arial"/>
          <w:sz w:val="18"/>
          <w:szCs w:val="18"/>
          <w:lang w:val="en-AU"/>
        </w:rPr>
        <w:t xml:space="preserve"> s 572E(5)–(7).</w:t>
      </w:r>
    </w:p>
  </w:footnote>
  <w:footnote w:id="86">
    <w:p w14:paraId="780BFA06" w14:textId="6882ABED"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The </w:t>
      </w:r>
      <w:r w:rsidRPr="002059EF">
        <w:rPr>
          <w:rFonts w:cs="Arial"/>
          <w:i/>
          <w:iCs/>
          <w:sz w:val="18"/>
          <w:szCs w:val="18"/>
          <w:lang w:val="en-AU"/>
        </w:rPr>
        <w:t>Telecommunications (Carrier Licence Conditions – Telstra Corporation Limited) Declaration</w:t>
      </w:r>
      <w:r w:rsidRPr="002059EF">
        <w:rPr>
          <w:rFonts w:cs="Arial"/>
          <w:sz w:val="18"/>
          <w:szCs w:val="18"/>
          <w:lang w:val="en-AU"/>
        </w:rPr>
        <w:t xml:space="preserve"> </w:t>
      </w:r>
      <w:r w:rsidRPr="002059EF">
        <w:rPr>
          <w:rFonts w:cs="Arial"/>
          <w:i/>
          <w:iCs/>
          <w:sz w:val="18"/>
          <w:szCs w:val="18"/>
          <w:lang w:val="en-AU"/>
        </w:rPr>
        <w:t>2019</w:t>
      </w:r>
      <w:r w:rsidRPr="002059EF">
        <w:rPr>
          <w:rFonts w:cs="Arial"/>
          <w:sz w:val="18"/>
          <w:szCs w:val="18"/>
          <w:lang w:val="en-AU"/>
        </w:rPr>
        <w:t xml:space="preserve"> (Cth) and </w:t>
      </w:r>
      <w:r w:rsidRPr="002059EF">
        <w:rPr>
          <w:rFonts w:cs="Arial"/>
          <w:i/>
          <w:iCs/>
          <w:sz w:val="18"/>
          <w:szCs w:val="18"/>
          <w:lang w:val="en-AU"/>
        </w:rPr>
        <w:t>Telecommunications (Carrier Licence Conditions – Telstra Infraco Limited) Declaration 2019</w:t>
      </w:r>
      <w:r w:rsidRPr="002059EF">
        <w:rPr>
          <w:rFonts w:cs="Arial"/>
          <w:sz w:val="18"/>
          <w:szCs w:val="18"/>
          <w:lang w:val="en-AU"/>
        </w:rPr>
        <w:t xml:space="preserve"> (Cth) were adopted pursuant to </w:t>
      </w:r>
      <w:r w:rsidRPr="002059EF">
        <w:rPr>
          <w:rFonts w:cs="Arial"/>
          <w:iCs/>
          <w:sz w:val="18"/>
          <w:szCs w:val="18"/>
          <w:lang w:val="en-AU"/>
        </w:rPr>
        <w:t>Tel Act</w:t>
      </w:r>
      <w:r w:rsidRPr="002059EF">
        <w:rPr>
          <w:rFonts w:cs="Arial"/>
          <w:sz w:val="18"/>
          <w:szCs w:val="18"/>
          <w:lang w:val="en-AU"/>
        </w:rPr>
        <w:t xml:space="preserve"> s 63. </w:t>
      </w:r>
    </w:p>
  </w:footnote>
  <w:footnote w:id="87">
    <w:p w14:paraId="12B90D86" w14:textId="47247C20"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Chapter 2, section C(3) below, for more information about service provider determinations.</w:t>
      </w:r>
    </w:p>
  </w:footnote>
  <w:footnote w:id="88">
    <w:p w14:paraId="1EA714F4" w14:textId="5DF9D9CA"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572E(7).</w:t>
      </w:r>
    </w:p>
  </w:footnote>
  <w:footnote w:id="89">
    <w:p w14:paraId="7942903F" w14:textId="58AD00E4" w:rsidR="00712508" w:rsidRPr="002059EF" w:rsidRDefault="00712508" w:rsidP="0070506E">
      <w:pPr>
        <w:pStyle w:val="NoSpacing"/>
        <w:jc w:val="both"/>
        <w:rPr>
          <w:rFonts w:cs="Arial"/>
          <w:sz w:val="18"/>
          <w:szCs w:val="18"/>
        </w:rPr>
      </w:pPr>
      <w:r w:rsidRPr="002059EF">
        <w:rPr>
          <w:rStyle w:val="FootnoteReference"/>
          <w:rFonts w:cs="Arial"/>
          <w:sz w:val="18"/>
          <w:szCs w:val="18"/>
        </w:rPr>
        <w:footnoteRef/>
      </w:r>
      <w:r w:rsidRPr="002059EF">
        <w:rPr>
          <w:rFonts w:cs="Arial"/>
          <w:sz w:val="18"/>
          <w:szCs w:val="18"/>
        </w:rPr>
        <w:t xml:space="preserve"> See the </w:t>
      </w:r>
      <w:r w:rsidRPr="002059EF">
        <w:rPr>
          <w:rFonts w:cs="Arial"/>
          <w:sz w:val="18"/>
          <w:szCs w:val="18"/>
          <w:lang w:val="en-AU"/>
        </w:rPr>
        <w:t>Authorised Version Explanatory Statement Registered 25 March 2022 to F2022L00387 at p. 3.</w:t>
      </w:r>
    </w:p>
  </w:footnote>
  <w:footnote w:id="90">
    <w:p w14:paraId="0ADB9C0D"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Explanatory Statement, </w:t>
      </w:r>
      <w:r w:rsidRPr="002059EF">
        <w:rPr>
          <w:rFonts w:cs="Arial"/>
          <w:i/>
          <w:iCs/>
          <w:sz w:val="18"/>
          <w:szCs w:val="18"/>
          <w:lang w:val="en-AU"/>
        </w:rPr>
        <w:t>Telecommunications (Listed Infringement Notice Provisions) Declaration 2022 (Cth)</w:t>
      </w:r>
      <w:r w:rsidRPr="002059EF">
        <w:rPr>
          <w:rFonts w:cs="Arial"/>
          <w:sz w:val="18"/>
          <w:szCs w:val="18"/>
          <w:lang w:val="en-AU"/>
        </w:rPr>
        <w:t xml:space="preserve"> 3.</w:t>
      </w:r>
    </w:p>
  </w:footnote>
  <w:footnote w:id="91">
    <w:p w14:paraId="25FE562C"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Attorney-General’s Department, </w:t>
      </w:r>
      <w:r w:rsidRPr="002059EF">
        <w:rPr>
          <w:rFonts w:cs="Arial"/>
          <w:i/>
          <w:iCs/>
          <w:sz w:val="18"/>
          <w:szCs w:val="18"/>
          <w:lang w:val="en-AU"/>
        </w:rPr>
        <w:t>A Guide to Framing Commonwealth Offences, Infringement Notices and Enforcement Powers</w:t>
      </w:r>
      <w:r w:rsidRPr="002059EF">
        <w:rPr>
          <w:rFonts w:cs="Arial"/>
          <w:sz w:val="18"/>
          <w:szCs w:val="18"/>
          <w:lang w:val="en-AU"/>
        </w:rPr>
        <w:t xml:space="preserve"> (Guide, September 2011) 58. See also ibid.</w:t>
      </w:r>
    </w:p>
  </w:footnote>
  <w:footnote w:id="92">
    <w:p w14:paraId="293C9959" w14:textId="45D53FEB"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eg, </w:t>
      </w:r>
      <w:r w:rsidRPr="002059EF">
        <w:rPr>
          <w:rFonts w:cs="Arial"/>
          <w:iCs/>
          <w:sz w:val="18"/>
          <w:szCs w:val="18"/>
          <w:lang w:val="en-AU"/>
        </w:rPr>
        <w:t>Tel Act</w:t>
      </w:r>
      <w:r w:rsidRPr="002059EF">
        <w:rPr>
          <w:rFonts w:cs="Arial"/>
          <w:sz w:val="18"/>
          <w:szCs w:val="18"/>
          <w:lang w:val="en-AU"/>
        </w:rPr>
        <w:t xml:space="preserve"> ss 69(2), 102(2).</w:t>
      </w:r>
    </w:p>
  </w:footnote>
  <w:footnote w:id="93">
    <w:p w14:paraId="14D3AA20"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eg, Australian Communications and Media Authority, </w:t>
      </w:r>
      <w:r w:rsidRPr="002059EF">
        <w:rPr>
          <w:rFonts w:cs="Arial"/>
          <w:i/>
          <w:iCs/>
          <w:sz w:val="18"/>
          <w:szCs w:val="18"/>
          <w:lang w:val="en-AU"/>
        </w:rPr>
        <w:t xml:space="preserve">Direction to Optus Internet Pty Ltd in relation to subsections 14(2), 14(3) and 15(1) of the Telecommunications Service Provider (NBN Service Migration) Determination 2018 </w:t>
      </w:r>
      <w:r w:rsidRPr="002059EF">
        <w:rPr>
          <w:rFonts w:cs="Arial"/>
          <w:sz w:val="18"/>
          <w:szCs w:val="18"/>
          <w:lang w:val="en-AU"/>
        </w:rPr>
        <w:t xml:space="preserve">(11 March 2022); Australian Communications and Media Authority, </w:t>
      </w:r>
      <w:r w:rsidRPr="002059EF">
        <w:rPr>
          <w:rFonts w:cs="Arial"/>
          <w:i/>
          <w:iCs/>
          <w:sz w:val="18"/>
          <w:szCs w:val="18"/>
          <w:lang w:val="en-AU"/>
        </w:rPr>
        <w:t>Direction to Lycamobile Pty Ltd in relation to the</w:t>
      </w:r>
      <w:r w:rsidRPr="002059EF">
        <w:rPr>
          <w:rFonts w:cs="Arial"/>
          <w:sz w:val="18"/>
          <w:szCs w:val="18"/>
          <w:lang w:val="en-AU"/>
        </w:rPr>
        <w:t xml:space="preserve"> </w:t>
      </w:r>
      <w:r w:rsidRPr="002059EF">
        <w:rPr>
          <w:rFonts w:cs="Arial"/>
          <w:i/>
          <w:iCs/>
          <w:sz w:val="18"/>
          <w:szCs w:val="18"/>
          <w:lang w:val="en-AU"/>
        </w:rPr>
        <w:t>Telecommunications (Service Provider – Identity Checks for Prepaid Mobile Carriage Services</w:t>
      </w:r>
      <w:r w:rsidRPr="002059EF">
        <w:rPr>
          <w:rFonts w:cs="Arial"/>
          <w:sz w:val="18"/>
          <w:szCs w:val="18"/>
          <w:lang w:val="en-AU"/>
        </w:rPr>
        <w:t xml:space="preserve">) </w:t>
      </w:r>
      <w:r w:rsidRPr="002059EF">
        <w:rPr>
          <w:rFonts w:cs="Arial"/>
          <w:i/>
          <w:iCs/>
          <w:sz w:val="18"/>
          <w:szCs w:val="18"/>
          <w:lang w:val="en-AU"/>
        </w:rPr>
        <w:t>Determination 2017</w:t>
      </w:r>
      <w:r w:rsidRPr="002059EF">
        <w:rPr>
          <w:rFonts w:cs="Arial"/>
          <w:sz w:val="18"/>
          <w:szCs w:val="18"/>
          <w:lang w:val="en-AU"/>
        </w:rPr>
        <w:t xml:space="preserve"> (May 2021).</w:t>
      </w:r>
    </w:p>
  </w:footnote>
  <w:footnote w:id="94">
    <w:p w14:paraId="17324958" w14:textId="4B04B2BF"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564(1).</w:t>
      </w:r>
    </w:p>
  </w:footnote>
  <w:footnote w:id="95">
    <w:p w14:paraId="7F3485E3"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 571(1).</w:t>
      </w:r>
    </w:p>
  </w:footnote>
  <w:footnote w:id="96">
    <w:p w14:paraId="1D015C43"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 564.</w:t>
      </w:r>
    </w:p>
  </w:footnote>
  <w:footnote w:id="97">
    <w:p w14:paraId="3B1AA1F7" w14:textId="4F2485FB"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cs="Arial"/>
          <w:iCs/>
          <w:sz w:val="18"/>
          <w:szCs w:val="18"/>
        </w:rPr>
        <w:t>TCPSS Act</w:t>
      </w:r>
      <w:r w:rsidRPr="002059EF">
        <w:rPr>
          <w:rFonts w:cs="Arial"/>
          <w:sz w:val="18"/>
          <w:szCs w:val="18"/>
        </w:rPr>
        <w:t xml:space="preserve"> s 148(4).</w:t>
      </w:r>
    </w:p>
  </w:footnote>
  <w:footnote w:id="98">
    <w:p w14:paraId="583D477C" w14:textId="6731BCCE"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Tel Act ss 121(2) and 121(4).</w:t>
      </w:r>
    </w:p>
  </w:footnote>
  <w:footnote w:id="99">
    <w:p w14:paraId="41EC5563" w14:textId="521581A4"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ss 128(1) and 123(3).</w:t>
      </w:r>
    </w:p>
  </w:footnote>
  <w:footnote w:id="100">
    <w:p w14:paraId="22947BAD" w14:textId="1CBFC84B"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ss 101(1) and 101(3).</w:t>
      </w:r>
    </w:p>
  </w:footnote>
  <w:footnote w:id="101">
    <w:p w14:paraId="355964FB" w14:textId="48ABB946"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ss 68(1) and 68(3).</w:t>
      </w:r>
    </w:p>
  </w:footnote>
  <w:footnote w:id="102">
    <w:p w14:paraId="79970C7E" w14:textId="3BAA4DB2"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Ibid ss 69(4) and 102(4).</w:t>
      </w:r>
    </w:p>
  </w:footnote>
  <w:footnote w:id="103">
    <w:p w14:paraId="73EEA671" w14:textId="5D2E81F0"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 570(3)(a).</w:t>
      </w:r>
    </w:p>
  </w:footnote>
  <w:footnote w:id="104">
    <w:p w14:paraId="12298035" w14:textId="5A1983C0"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Ibid s 570(3)(b).</w:t>
      </w:r>
    </w:p>
  </w:footnote>
  <w:footnote w:id="105">
    <w:p w14:paraId="25742AD3" w14:textId="31728CD9"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 570(4)(b).</w:t>
      </w:r>
    </w:p>
  </w:footnote>
  <w:footnote w:id="106">
    <w:p w14:paraId="211A15F5" w14:textId="26BE9953"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Ibid ss 570(5) and (6).</w:t>
      </w:r>
    </w:p>
  </w:footnote>
  <w:footnote w:id="107">
    <w:p w14:paraId="72FB5AEE" w14:textId="72570BF1"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Tel Act s 529 for the ACMA’s power to make record-keeping rules.</w:t>
      </w:r>
    </w:p>
  </w:footnote>
  <w:footnote w:id="108">
    <w:p w14:paraId="56036F73" w14:textId="04438B79"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Tel Act s 531(2).</w:t>
      </w:r>
    </w:p>
  </w:footnote>
  <w:footnote w:id="109">
    <w:p w14:paraId="2CD18DE2"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 xml:space="preserve">Regulatory Guide No. 1: Enforceable Undertakings </w:t>
      </w:r>
      <w:r w:rsidRPr="002059EF">
        <w:rPr>
          <w:rFonts w:cs="Arial"/>
          <w:sz w:val="18"/>
          <w:szCs w:val="18"/>
          <w:lang w:val="en-AU"/>
        </w:rPr>
        <w:t>(Guidance No 1, February 2023) [2.1].</w:t>
      </w:r>
    </w:p>
  </w:footnote>
  <w:footnote w:id="110">
    <w:p w14:paraId="7E3CD331" w14:textId="1B08B70D"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572B.</w:t>
      </w:r>
    </w:p>
  </w:footnote>
  <w:footnote w:id="111">
    <w:p w14:paraId="7E7EF290"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r w:rsidRPr="002059EF">
        <w:rPr>
          <w:rFonts w:cs="Arial"/>
          <w:i/>
          <w:iCs/>
          <w:sz w:val="18"/>
          <w:szCs w:val="18"/>
          <w:lang w:val="en-AU"/>
        </w:rPr>
        <w:t xml:space="preserve"> </w:t>
      </w:r>
      <w:r w:rsidRPr="002059EF">
        <w:rPr>
          <w:rFonts w:cs="Arial"/>
          <w:sz w:val="18"/>
          <w:szCs w:val="18"/>
          <w:lang w:val="en-AU"/>
        </w:rPr>
        <w:t>s 572C.</w:t>
      </w:r>
    </w:p>
  </w:footnote>
  <w:footnote w:id="112">
    <w:p w14:paraId="2EE7B7C2" w14:textId="4DF2A7D2"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(n </w:t>
      </w:r>
      <w:r>
        <w:rPr>
          <w:rFonts w:cs="Arial"/>
          <w:sz w:val="18"/>
          <w:szCs w:val="18"/>
          <w:lang w:val="en-AU"/>
        </w:rPr>
        <w:fldChar w:fldCharType="begin"/>
      </w:r>
      <w:r>
        <w:rPr>
          <w:rFonts w:cs="Arial"/>
          <w:sz w:val="18"/>
          <w:szCs w:val="18"/>
          <w:lang w:val="en-AU"/>
        </w:rPr>
        <w:instrText xml:space="preserve"> NOTEREF _Ref161678565 \h </w:instrText>
      </w:r>
      <w:r>
        <w:rPr>
          <w:rFonts w:cs="Arial"/>
          <w:sz w:val="18"/>
          <w:szCs w:val="18"/>
          <w:lang w:val="en-AU"/>
        </w:rPr>
      </w:r>
      <w:r>
        <w:rPr>
          <w:rFonts w:cs="Arial"/>
          <w:sz w:val="18"/>
          <w:szCs w:val="18"/>
          <w:lang w:val="en-AU"/>
        </w:rPr>
        <w:fldChar w:fldCharType="separate"/>
      </w:r>
      <w:r w:rsidR="00B02191">
        <w:rPr>
          <w:rFonts w:cs="Arial"/>
          <w:sz w:val="18"/>
          <w:szCs w:val="18"/>
          <w:lang w:val="en-AU"/>
        </w:rPr>
        <w:t>108</w:t>
      </w:r>
      <w:r>
        <w:rPr>
          <w:rFonts w:cs="Arial"/>
          <w:sz w:val="18"/>
          <w:szCs w:val="18"/>
          <w:lang w:val="en-AU"/>
        </w:rPr>
        <w:fldChar w:fldCharType="end"/>
      </w:r>
      <w:r w:rsidRPr="002059EF">
        <w:rPr>
          <w:rFonts w:cs="Arial"/>
          <w:sz w:val="18"/>
          <w:szCs w:val="18"/>
          <w:lang w:val="en-AU"/>
        </w:rPr>
        <w:t xml:space="preserve">). See also Australian Communications and Media Authority (n </w:t>
      </w:r>
      <w:r>
        <w:rPr>
          <w:rFonts w:cs="Arial"/>
          <w:sz w:val="18"/>
          <w:szCs w:val="18"/>
          <w:lang w:val="en-AU"/>
        </w:rPr>
        <w:fldChar w:fldCharType="begin"/>
      </w:r>
      <w:r>
        <w:rPr>
          <w:rFonts w:cs="Arial"/>
          <w:sz w:val="18"/>
          <w:szCs w:val="18"/>
          <w:lang w:val="en-AU"/>
        </w:rPr>
        <w:instrText xml:space="preserve"> NOTEREF _Ref137556912 \h </w:instrText>
      </w:r>
      <w:r>
        <w:rPr>
          <w:rFonts w:cs="Arial"/>
          <w:sz w:val="18"/>
          <w:szCs w:val="18"/>
          <w:lang w:val="en-AU"/>
        </w:rPr>
      </w:r>
      <w:r>
        <w:rPr>
          <w:rFonts w:cs="Arial"/>
          <w:sz w:val="18"/>
          <w:szCs w:val="18"/>
          <w:lang w:val="en-AU"/>
        </w:rPr>
        <w:fldChar w:fldCharType="separate"/>
      </w:r>
      <w:r w:rsidR="00B02191">
        <w:rPr>
          <w:rFonts w:cs="Arial"/>
          <w:sz w:val="18"/>
          <w:szCs w:val="18"/>
          <w:lang w:val="en-AU"/>
        </w:rPr>
        <w:t>68</w:t>
      </w:r>
      <w:r>
        <w:rPr>
          <w:rFonts w:cs="Arial"/>
          <w:sz w:val="18"/>
          <w:szCs w:val="18"/>
          <w:lang w:val="en-AU"/>
        </w:rPr>
        <w:fldChar w:fldCharType="end"/>
      </w:r>
      <w:r w:rsidRPr="002059EF">
        <w:rPr>
          <w:rFonts w:cs="Arial"/>
          <w:sz w:val="18"/>
          <w:szCs w:val="18"/>
          <w:lang w:val="en-AU"/>
        </w:rPr>
        <w:t>).</w:t>
      </w:r>
    </w:p>
  </w:footnote>
  <w:footnote w:id="113">
    <w:p w14:paraId="0A8146BA" w14:textId="01865CE3"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Freiberg (n </w:t>
      </w:r>
      <w:r>
        <w:rPr>
          <w:rFonts w:cs="Arial"/>
          <w:sz w:val="18"/>
          <w:szCs w:val="18"/>
          <w:lang w:val="en-AU"/>
        </w:rPr>
        <w:fldChar w:fldCharType="begin"/>
      </w:r>
      <w:r>
        <w:rPr>
          <w:rFonts w:cs="Arial"/>
          <w:sz w:val="18"/>
          <w:szCs w:val="18"/>
          <w:lang w:val="en-AU"/>
        </w:rPr>
        <w:instrText xml:space="preserve"> NOTEREF _Ref161677558 \h </w:instrText>
      </w:r>
      <w:r>
        <w:rPr>
          <w:rFonts w:cs="Arial"/>
          <w:sz w:val="18"/>
          <w:szCs w:val="18"/>
          <w:lang w:val="en-AU"/>
        </w:rPr>
      </w:r>
      <w:r>
        <w:rPr>
          <w:rFonts w:cs="Arial"/>
          <w:sz w:val="18"/>
          <w:szCs w:val="18"/>
          <w:lang w:val="en-AU"/>
        </w:rPr>
        <w:fldChar w:fldCharType="separate"/>
      </w:r>
      <w:r w:rsidR="00B02191">
        <w:rPr>
          <w:rFonts w:cs="Arial"/>
          <w:sz w:val="18"/>
          <w:szCs w:val="18"/>
          <w:lang w:val="en-AU"/>
        </w:rPr>
        <w:t>8</w:t>
      </w:r>
      <w:r>
        <w:rPr>
          <w:rFonts w:cs="Arial"/>
          <w:sz w:val="18"/>
          <w:szCs w:val="18"/>
          <w:lang w:val="en-AU"/>
        </w:rPr>
        <w:fldChar w:fldCharType="end"/>
      </w:r>
      <w:r w:rsidRPr="002059EF">
        <w:rPr>
          <w:rFonts w:cs="Arial"/>
          <w:sz w:val="18"/>
          <w:szCs w:val="18"/>
          <w:lang w:val="en-AU"/>
        </w:rPr>
        <w:t>) 276, 295–9.</w:t>
      </w:r>
    </w:p>
  </w:footnote>
  <w:footnote w:id="114">
    <w:p w14:paraId="1C82F85B" w14:textId="72112DFB"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(n </w:t>
      </w:r>
      <w:r>
        <w:rPr>
          <w:rFonts w:cs="Arial"/>
          <w:sz w:val="18"/>
          <w:szCs w:val="18"/>
          <w:lang w:val="en-AU"/>
        </w:rPr>
        <w:fldChar w:fldCharType="begin"/>
      </w:r>
      <w:r>
        <w:rPr>
          <w:rFonts w:cs="Arial"/>
          <w:sz w:val="18"/>
          <w:szCs w:val="18"/>
          <w:lang w:val="en-AU"/>
        </w:rPr>
        <w:instrText xml:space="preserve"> NOTEREF _Ref161678565 \h </w:instrText>
      </w:r>
      <w:r>
        <w:rPr>
          <w:rFonts w:cs="Arial"/>
          <w:sz w:val="18"/>
          <w:szCs w:val="18"/>
          <w:lang w:val="en-AU"/>
        </w:rPr>
      </w:r>
      <w:r>
        <w:rPr>
          <w:rFonts w:cs="Arial"/>
          <w:sz w:val="18"/>
          <w:szCs w:val="18"/>
          <w:lang w:val="en-AU"/>
        </w:rPr>
        <w:fldChar w:fldCharType="separate"/>
      </w:r>
      <w:r w:rsidR="00B02191">
        <w:rPr>
          <w:rFonts w:cs="Arial"/>
          <w:sz w:val="18"/>
          <w:szCs w:val="18"/>
          <w:lang w:val="en-AU"/>
        </w:rPr>
        <w:t>108</w:t>
      </w:r>
      <w:r>
        <w:rPr>
          <w:rFonts w:cs="Arial"/>
          <w:sz w:val="18"/>
          <w:szCs w:val="18"/>
          <w:lang w:val="en-AU"/>
        </w:rPr>
        <w:fldChar w:fldCharType="end"/>
      </w:r>
      <w:r w:rsidRPr="002059EF">
        <w:rPr>
          <w:rFonts w:cs="Arial"/>
          <w:sz w:val="18"/>
          <w:szCs w:val="18"/>
          <w:lang w:val="en-AU"/>
        </w:rPr>
        <w:t>) [2.12].</w:t>
      </w:r>
    </w:p>
  </w:footnote>
  <w:footnote w:id="115">
    <w:p w14:paraId="677E8A08" w14:textId="4EF9A76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Freiberg (n </w:t>
      </w:r>
      <w:r>
        <w:rPr>
          <w:rFonts w:cs="Arial"/>
          <w:sz w:val="18"/>
          <w:szCs w:val="18"/>
          <w:lang w:val="en-AU"/>
        </w:rPr>
        <w:fldChar w:fldCharType="begin"/>
      </w:r>
      <w:r>
        <w:rPr>
          <w:rFonts w:cs="Arial"/>
          <w:sz w:val="18"/>
          <w:szCs w:val="18"/>
          <w:lang w:val="en-AU"/>
        </w:rPr>
        <w:instrText xml:space="preserve"> NOTEREF _Ref161677558 \h </w:instrText>
      </w:r>
      <w:r>
        <w:rPr>
          <w:rFonts w:cs="Arial"/>
          <w:sz w:val="18"/>
          <w:szCs w:val="18"/>
          <w:lang w:val="en-AU"/>
        </w:rPr>
      </w:r>
      <w:r>
        <w:rPr>
          <w:rFonts w:cs="Arial"/>
          <w:sz w:val="18"/>
          <w:szCs w:val="18"/>
          <w:lang w:val="en-AU"/>
        </w:rPr>
        <w:fldChar w:fldCharType="separate"/>
      </w:r>
      <w:r w:rsidR="00B02191">
        <w:rPr>
          <w:rFonts w:cs="Arial"/>
          <w:sz w:val="18"/>
          <w:szCs w:val="18"/>
          <w:lang w:val="en-AU"/>
        </w:rPr>
        <w:t>8</w:t>
      </w:r>
      <w:r>
        <w:rPr>
          <w:rFonts w:cs="Arial"/>
          <w:sz w:val="18"/>
          <w:szCs w:val="18"/>
          <w:lang w:val="en-AU"/>
        </w:rPr>
        <w:fldChar w:fldCharType="end"/>
      </w:r>
      <w:r w:rsidRPr="002059EF">
        <w:rPr>
          <w:rFonts w:cs="Arial"/>
          <w:sz w:val="18"/>
          <w:szCs w:val="18"/>
          <w:lang w:val="en-AU"/>
        </w:rPr>
        <w:t xml:space="preserve">) 298. See also Karen Yeung, </w:t>
      </w:r>
      <w:r w:rsidRPr="002059EF">
        <w:rPr>
          <w:rFonts w:cs="Arial"/>
          <w:i/>
          <w:iCs/>
          <w:sz w:val="18"/>
          <w:szCs w:val="18"/>
          <w:lang w:val="en-AU"/>
        </w:rPr>
        <w:t xml:space="preserve">Securing Compliance: A Principled Approach </w:t>
      </w:r>
      <w:r w:rsidRPr="002059EF">
        <w:rPr>
          <w:rFonts w:cs="Arial"/>
          <w:sz w:val="18"/>
          <w:szCs w:val="18"/>
          <w:lang w:val="en-AU"/>
        </w:rPr>
        <w:t xml:space="preserve">(Hart, 2004); Marina Nehme, ‘Enforceable Undertakings’ Practices Across Australian Regulators: Lesson Learned’ (2021) 21(1) </w:t>
      </w:r>
      <w:r w:rsidRPr="002059EF">
        <w:rPr>
          <w:rFonts w:cs="Arial"/>
          <w:i/>
          <w:iCs/>
          <w:sz w:val="18"/>
          <w:szCs w:val="18"/>
          <w:lang w:val="en-AU"/>
        </w:rPr>
        <w:t>Journal of Corporate Law Studies</w:t>
      </w:r>
      <w:r w:rsidRPr="002059EF">
        <w:rPr>
          <w:rFonts w:cs="Arial"/>
          <w:sz w:val="18"/>
          <w:szCs w:val="18"/>
          <w:lang w:val="en-AU"/>
        </w:rPr>
        <w:t xml:space="preserve"> 283.</w:t>
      </w:r>
    </w:p>
  </w:footnote>
  <w:footnote w:id="116">
    <w:p w14:paraId="7C823FFA" w14:textId="12123EB2"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Freiberg (n </w:t>
      </w:r>
      <w:r>
        <w:rPr>
          <w:rFonts w:cs="Arial"/>
          <w:sz w:val="18"/>
          <w:szCs w:val="18"/>
          <w:lang w:val="en-AU"/>
        </w:rPr>
        <w:fldChar w:fldCharType="begin"/>
      </w:r>
      <w:r>
        <w:rPr>
          <w:rFonts w:cs="Arial"/>
          <w:sz w:val="18"/>
          <w:szCs w:val="18"/>
          <w:lang w:val="en-AU"/>
        </w:rPr>
        <w:instrText xml:space="preserve"> NOTEREF _Ref161677558 \h </w:instrText>
      </w:r>
      <w:r>
        <w:rPr>
          <w:rFonts w:cs="Arial"/>
          <w:sz w:val="18"/>
          <w:szCs w:val="18"/>
          <w:lang w:val="en-AU"/>
        </w:rPr>
      </w:r>
      <w:r>
        <w:rPr>
          <w:rFonts w:cs="Arial"/>
          <w:sz w:val="18"/>
          <w:szCs w:val="18"/>
          <w:lang w:val="en-AU"/>
        </w:rPr>
        <w:fldChar w:fldCharType="separate"/>
      </w:r>
      <w:r w:rsidR="00B02191">
        <w:rPr>
          <w:rFonts w:cs="Arial"/>
          <w:sz w:val="18"/>
          <w:szCs w:val="18"/>
          <w:lang w:val="en-AU"/>
        </w:rPr>
        <w:t>8</w:t>
      </w:r>
      <w:r>
        <w:rPr>
          <w:rFonts w:cs="Arial"/>
          <w:sz w:val="18"/>
          <w:szCs w:val="18"/>
          <w:lang w:val="en-AU"/>
        </w:rPr>
        <w:fldChar w:fldCharType="end"/>
      </w:r>
      <w:r w:rsidRPr="002059EF">
        <w:rPr>
          <w:rFonts w:cs="Arial"/>
          <w:sz w:val="18"/>
          <w:szCs w:val="18"/>
          <w:lang w:val="en-AU"/>
        </w:rPr>
        <w:t xml:space="preserve">) 298; Yeung ibid; Nehme ibid.  </w:t>
      </w:r>
    </w:p>
  </w:footnote>
  <w:footnote w:id="117">
    <w:p w14:paraId="6C7A926D" w14:textId="77777777" w:rsidR="00712508" w:rsidRPr="002059EF" w:rsidRDefault="00712508" w:rsidP="0045143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TPG Internet Pty Ltd, </w:t>
      </w:r>
      <w:r w:rsidRPr="002059EF">
        <w:rPr>
          <w:rFonts w:cs="Arial"/>
          <w:i/>
          <w:iCs/>
          <w:sz w:val="18"/>
          <w:szCs w:val="18"/>
        </w:rPr>
        <w:t>Enforceable Undertaking Given to the Australian Communications and Media Authority by TPG Internet Pty Ltd (CAN 068 383 737) under section 572B of the Telecommunications Act 1997</w:t>
      </w:r>
      <w:r w:rsidRPr="002059EF">
        <w:rPr>
          <w:rFonts w:cs="Arial"/>
          <w:i/>
          <w:iCs/>
          <w:sz w:val="18"/>
          <w:szCs w:val="18"/>
          <w:lang w:val="en-AU"/>
        </w:rPr>
        <w:t xml:space="preserve"> (Cth) </w:t>
      </w:r>
      <w:r w:rsidRPr="002059EF">
        <w:rPr>
          <w:rFonts w:cs="Arial"/>
          <w:sz w:val="18"/>
          <w:szCs w:val="18"/>
          <w:lang w:val="en-AU"/>
        </w:rPr>
        <w:t>(Enforceable undertaking, March 2022).</w:t>
      </w:r>
    </w:p>
  </w:footnote>
  <w:footnote w:id="118">
    <w:p w14:paraId="2BDD4951"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Annex A for the full list.</w:t>
      </w:r>
    </w:p>
  </w:footnote>
  <w:footnote w:id="119">
    <w:p w14:paraId="635266B0" w14:textId="7C349CA6"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122.</w:t>
      </w:r>
    </w:p>
  </w:footnote>
  <w:footnote w:id="120">
    <w:p w14:paraId="6B3A6BF7" w14:textId="77777777"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 121.</w:t>
      </w:r>
    </w:p>
  </w:footnote>
  <w:footnote w:id="121">
    <w:p w14:paraId="3B4CD080" w14:textId="753FCCED" w:rsidR="00712508" w:rsidRPr="002059EF" w:rsidRDefault="00712508" w:rsidP="00AC24AC">
      <w:pPr>
        <w:pStyle w:val="NoSpacing"/>
        <w:jc w:val="both"/>
        <w:rPr>
          <w:rFonts w:cs="Arial"/>
          <w:sz w:val="18"/>
          <w:szCs w:val="18"/>
        </w:rPr>
      </w:pPr>
      <w:r w:rsidRPr="002059EF">
        <w:rPr>
          <w:rStyle w:val="FootnoteReference"/>
          <w:rFonts w:cs="Arial"/>
          <w:sz w:val="18"/>
          <w:szCs w:val="18"/>
          <w:lang w:val="en-AU"/>
        </w:rPr>
        <w:footnoteRef/>
      </w:r>
      <w:r w:rsidRPr="002059EF">
        <w:rPr>
          <w:rFonts w:cs="Arial"/>
          <w:sz w:val="18"/>
          <w:szCs w:val="18"/>
          <w:lang w:val="en-AU"/>
        </w:rPr>
        <w:t xml:space="preserve"> See ibid s 572G(1)(b). A direction to comply is a ‘civil penalty provision’ for the purposes of s 572E(1) of the </w:t>
      </w:r>
      <w:r w:rsidRPr="002059EF">
        <w:rPr>
          <w:rFonts w:cs="Arial"/>
          <w:iCs/>
          <w:sz w:val="18"/>
          <w:szCs w:val="18"/>
          <w:lang w:val="en-AU"/>
        </w:rPr>
        <w:t>Tel Act</w:t>
      </w:r>
      <w:r w:rsidRPr="002059EF">
        <w:rPr>
          <w:rFonts w:cs="Arial"/>
          <w:sz w:val="18"/>
          <w:szCs w:val="18"/>
          <w:lang w:val="en-AU"/>
        </w:rPr>
        <w:t xml:space="preserve">. See at ss 121(2),121(4). Breach of a direction to comply also amounts to a breach of s 68 and s 101 of the </w:t>
      </w:r>
      <w:r w:rsidRPr="002059EF">
        <w:rPr>
          <w:rFonts w:cs="Arial"/>
          <w:iCs/>
          <w:sz w:val="18"/>
          <w:szCs w:val="18"/>
          <w:lang w:val="en-AU"/>
        </w:rPr>
        <w:t>Tel Act</w:t>
      </w:r>
      <w:r w:rsidRPr="002059EF">
        <w:rPr>
          <w:rFonts w:cs="Arial"/>
          <w:sz w:val="18"/>
          <w:szCs w:val="18"/>
          <w:lang w:val="en-AU"/>
        </w:rPr>
        <w:t xml:space="preserve">. However, an infringement notice can only be issued in relation to the breach of the direction to comply: see at s 572E(3). See also ‘Infringement Notices for Breaking the Telco Rules’, </w:t>
      </w:r>
      <w:r w:rsidRPr="002059EF">
        <w:rPr>
          <w:rFonts w:cs="Arial"/>
          <w:i/>
          <w:iCs/>
          <w:sz w:val="18"/>
          <w:szCs w:val="18"/>
          <w:lang w:val="en-AU"/>
        </w:rPr>
        <w:t>Australian Communications and Media Authority</w:t>
      </w:r>
      <w:r w:rsidRPr="002059EF">
        <w:rPr>
          <w:rFonts w:cs="Arial"/>
          <w:sz w:val="18"/>
          <w:szCs w:val="18"/>
          <w:lang w:val="en-AU"/>
        </w:rPr>
        <w:t xml:space="preserve"> (Web page, 03 July 2023) &lt;https://www.acma.gov.au/infringement-notices-breaking-telco-rules&gt;.</w:t>
      </w:r>
    </w:p>
  </w:footnote>
  <w:footnote w:id="122">
    <w:p w14:paraId="0CE79C63" w14:textId="666150DF"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570(3)(b) and 570(4)(b). A breach of a direction to comply also amounts to a breach of s 68 and s 101 of the </w:t>
      </w:r>
      <w:r w:rsidRPr="002059EF">
        <w:rPr>
          <w:rFonts w:cs="Arial"/>
          <w:iCs/>
          <w:sz w:val="18"/>
          <w:szCs w:val="18"/>
          <w:lang w:val="en-AU"/>
        </w:rPr>
        <w:t>Tel Act</w:t>
      </w:r>
      <w:r w:rsidRPr="002059EF">
        <w:rPr>
          <w:rFonts w:cs="Arial"/>
          <w:sz w:val="18"/>
          <w:szCs w:val="18"/>
          <w:lang w:val="en-AU"/>
        </w:rPr>
        <w:t xml:space="preserve">. However, s 570(6) prevents the ACMA from initiating civil proceedings for both breaches. It can bring proceedings only in relation to the breach of the direction to comply.  </w:t>
      </w:r>
    </w:p>
  </w:footnote>
  <w:footnote w:id="123">
    <w:p w14:paraId="5E20A9D1" w14:textId="196BC6EB" w:rsidR="00712508" w:rsidRPr="002059EF" w:rsidRDefault="00712508" w:rsidP="006A5DFC">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The same applies to the application of injunctions in relation to industry standards, service provider rules and carrier licence conditions discussed in sections 3(C)(2), (3) and (4) below.</w:t>
      </w:r>
    </w:p>
  </w:footnote>
  <w:footnote w:id="124">
    <w:p w14:paraId="29F7562C" w14:textId="77777777" w:rsidR="00712508" w:rsidRPr="002059EF" w:rsidRDefault="00712508" w:rsidP="009E5824">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The ACMA adopted the Telecommunications (Financial Hardship) Industry Standard on 1 February 2024. The standard comes into force on 29 March 2024. As the report covers the period between 1 January 2010 and 30 June 2023, we make no further reference to this standard.</w:t>
      </w:r>
    </w:p>
  </w:footnote>
  <w:footnote w:id="125">
    <w:p w14:paraId="2C674C4C" w14:textId="1AE4A3D5" w:rsidR="00712508" w:rsidRPr="002059EF" w:rsidRDefault="00712508" w:rsidP="00AC24AC">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Pr>
          <w:rFonts w:cs="Arial"/>
          <w:sz w:val="18"/>
          <w:szCs w:val="18"/>
          <w:lang w:val="en-AU"/>
        </w:rPr>
        <w:t>Tel Act</w:t>
      </w:r>
      <w:r w:rsidRPr="002059EF">
        <w:rPr>
          <w:rFonts w:cs="Arial"/>
          <w:sz w:val="18"/>
          <w:szCs w:val="18"/>
          <w:lang w:val="en-AU"/>
        </w:rPr>
        <w:t xml:space="preserve"> s 129(2).</w:t>
      </w:r>
    </w:p>
  </w:footnote>
  <w:footnote w:id="126">
    <w:p w14:paraId="11E6BA48" w14:textId="3BBE58FB" w:rsidR="00712508" w:rsidRPr="002059EF" w:rsidRDefault="00712508" w:rsidP="73A03200">
      <w:pPr>
        <w:pStyle w:val="NoSpacing"/>
        <w:jc w:val="both"/>
        <w:rPr>
          <w:rFonts w:cs="Arial"/>
          <w:sz w:val="18"/>
          <w:szCs w:val="18"/>
        </w:rPr>
      </w:pPr>
      <w:r w:rsidRPr="002059EF">
        <w:rPr>
          <w:rStyle w:val="FootnoteReference"/>
          <w:rFonts w:cs="Arial"/>
          <w:sz w:val="18"/>
          <w:szCs w:val="18"/>
          <w:lang w:val="en-AU"/>
        </w:rPr>
        <w:footnoteRef/>
      </w:r>
      <w:r w:rsidRPr="002059EF">
        <w:rPr>
          <w:rFonts w:cs="Arial"/>
          <w:sz w:val="18"/>
          <w:szCs w:val="18"/>
          <w:lang w:val="en-AU"/>
        </w:rPr>
        <w:t xml:space="preserve"> See ibid 572G(1)(b). An industry standard is a civil penalty provision: at s 128(3). In addition, breach of the requirement in s 128 to comply with an industry standard may amount to a breach of ss 68 and 101 of the Tel Act. However, an infringement notice can only be issued in relation to the breach of the industry standard: at s 572E(3). Although on its webpage, ‘Infringement Notices for Breaking the Telco Rules’ (</w:t>
      </w:r>
      <w:r w:rsidRPr="002059EF">
        <w:rPr>
          <w:rFonts w:cs="Arial"/>
          <w:sz w:val="18"/>
          <w:szCs w:val="18"/>
          <w:lang w:val="en-AU"/>
        </w:rPr>
        <w:t xml:space="preserve">see n </w:t>
      </w:r>
      <w:r>
        <w:rPr>
          <w:rFonts w:cs="Arial"/>
          <w:sz w:val="18"/>
          <w:szCs w:val="18"/>
          <w:lang w:val="en-AU"/>
        </w:rPr>
        <w:fldChar w:fldCharType="begin"/>
      </w:r>
      <w:r>
        <w:rPr>
          <w:rFonts w:cs="Arial"/>
          <w:sz w:val="18"/>
          <w:szCs w:val="18"/>
          <w:lang w:val="en-AU"/>
        </w:rPr>
        <w:instrText xml:space="preserve"> NOTEREF _Ref161678921 \h </w:instrText>
      </w:r>
      <w:r>
        <w:rPr>
          <w:rFonts w:cs="Arial"/>
          <w:sz w:val="18"/>
          <w:szCs w:val="18"/>
          <w:lang w:val="en-AU"/>
        </w:rPr>
      </w:r>
      <w:r>
        <w:rPr>
          <w:rFonts w:cs="Arial"/>
          <w:sz w:val="18"/>
          <w:szCs w:val="18"/>
          <w:lang w:val="en-AU"/>
        </w:rPr>
        <w:fldChar w:fldCharType="separate"/>
      </w:r>
      <w:r w:rsidR="00B02191">
        <w:rPr>
          <w:rFonts w:cs="Arial"/>
          <w:sz w:val="18"/>
          <w:szCs w:val="18"/>
          <w:lang w:val="en-AU"/>
        </w:rPr>
        <w:t>120</w:t>
      </w:r>
      <w:r>
        <w:rPr>
          <w:rFonts w:cs="Arial"/>
          <w:sz w:val="18"/>
          <w:szCs w:val="18"/>
          <w:lang w:val="en-AU"/>
        </w:rPr>
        <w:fldChar w:fldCharType="end"/>
      </w:r>
      <w:r w:rsidRPr="002059EF">
        <w:rPr>
          <w:rFonts w:cs="Arial"/>
          <w:sz w:val="18"/>
          <w:szCs w:val="18"/>
          <w:lang w:val="en-AU"/>
        </w:rPr>
        <w:t xml:space="preserve">), the ACMA does not say breach of an industry standard is a reason for an infringement notice, the ACMA has issued infringement notices for breaches of industry standards. See, eg, the infringement notice it issued against Circles.Life for breaches of the </w:t>
      </w:r>
      <w:r w:rsidRPr="002059EF">
        <w:rPr>
          <w:rFonts w:cs="Arial"/>
          <w:i/>
          <w:iCs/>
          <w:sz w:val="18"/>
          <w:szCs w:val="18"/>
          <w:lang w:val="en-AU"/>
        </w:rPr>
        <w:t>Telecommunications (Mobile Number Pre-porting Additional Identity Verification) Industry Standard 2020</w:t>
      </w:r>
      <w:r w:rsidRPr="002059EF">
        <w:rPr>
          <w:rFonts w:cs="Arial"/>
          <w:sz w:val="18"/>
          <w:szCs w:val="18"/>
          <w:lang w:val="en-AU"/>
        </w:rPr>
        <w:t xml:space="preserve"> (Cth): Australian Communications and Media Authority, </w:t>
      </w:r>
      <w:r w:rsidRPr="002059EF">
        <w:rPr>
          <w:rFonts w:cs="Arial"/>
          <w:i/>
          <w:iCs/>
          <w:sz w:val="18"/>
          <w:szCs w:val="18"/>
          <w:lang w:val="en-AU"/>
        </w:rPr>
        <w:t>Infringement Notice</w:t>
      </w:r>
      <w:r w:rsidRPr="002059EF">
        <w:rPr>
          <w:rFonts w:cs="Arial"/>
          <w:sz w:val="18"/>
          <w:szCs w:val="18"/>
          <w:lang w:val="en-AU"/>
        </w:rPr>
        <w:t xml:space="preserve"> (6 July 2022) </w:t>
      </w:r>
      <w:hyperlink r:id="rId2" w:history="1">
        <w:r w:rsidRPr="002059EF">
          <w:rPr>
            <w:rStyle w:val="Hyperlink"/>
            <w:rFonts w:cs="Arial"/>
            <w:sz w:val="18"/>
            <w:szCs w:val="18"/>
            <w:lang w:val="en-AU"/>
          </w:rPr>
          <w:t>https://www.acma.gov.au/sites/default/files/2022-08/Infringement%20Notice%20-%20Circles.PDF</w:t>
        </w:r>
      </w:hyperlink>
      <w:r w:rsidRPr="002059EF">
        <w:rPr>
          <w:rFonts w:cs="Arial"/>
          <w:sz w:val="18"/>
          <w:szCs w:val="18"/>
          <w:lang w:val="en-AU"/>
        </w:rPr>
        <w:t>.</w:t>
      </w:r>
    </w:p>
  </w:footnote>
  <w:footnote w:id="127">
    <w:p w14:paraId="30A0F1B9" w14:textId="159664EB"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The ACMA is able to issue a remedial direction as a result of the combination of the following provisions: s 102(2) enables the ACMA to issue a remedial direction for breach of a service provider rule; s 98 says that the rules in Schedule 2 are service provider rules; cl 1 of Schedule 2 requires a service provider to comply with the Act; s 128 requires participants in a section of the industry to comply with industry standards that apply to that section of the industry.</w:t>
      </w:r>
    </w:p>
  </w:footnote>
  <w:footnote w:id="128">
    <w:p w14:paraId="5B85183F" w14:textId="1F70F464"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ss 570(3)(b) and (4)(b). A breach of an industry standard also amounts to a breach of s 68 (the requirement to comply with carrier licence conditions) and s 101 (the requirement to comply with service provider rules). Breaches of carrier licence conditions and the service provider rules may attract penalties of up to $10 million: at s 570(3)(a). However, </w:t>
      </w:r>
      <w:r w:rsidRPr="002059EF">
        <w:rPr>
          <w:rFonts w:cs="Arial"/>
          <w:iCs/>
          <w:sz w:val="18"/>
          <w:szCs w:val="18"/>
          <w:lang w:val="en-AU"/>
        </w:rPr>
        <w:t>Tel Act</w:t>
      </w:r>
      <w:r w:rsidRPr="002059EF">
        <w:rPr>
          <w:rFonts w:cs="Arial"/>
          <w:sz w:val="18"/>
          <w:szCs w:val="18"/>
          <w:lang w:val="en-AU"/>
        </w:rPr>
        <w:t xml:space="preserve"> s 570(6) prevents the ACMA from initiating civil proceedings for both a breach of an industry standard and a breach of a licence condition or service provider rule. It can bring proceedings only in relation to the breach of the industry standard: at s 570(6).     </w:t>
      </w:r>
    </w:p>
  </w:footnote>
  <w:footnote w:id="129">
    <w:p w14:paraId="3920F6AB" w14:textId="2FC8262A" w:rsidR="00712508" w:rsidRPr="002059EF" w:rsidRDefault="00712508" w:rsidP="00F95B91">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Non-compliance with a remedial direction is a breach of ss 69(4) and 102(4) of the </w:t>
      </w:r>
      <w:r w:rsidRPr="002059EF">
        <w:rPr>
          <w:rFonts w:cs="Arial"/>
          <w:iCs/>
          <w:sz w:val="18"/>
          <w:szCs w:val="18"/>
          <w:lang w:val="en-AU"/>
        </w:rPr>
        <w:t>Tel Act</w:t>
      </w:r>
      <w:r w:rsidRPr="002059EF">
        <w:rPr>
          <w:rFonts w:cs="Arial"/>
          <w:sz w:val="18"/>
          <w:szCs w:val="18"/>
          <w:lang w:val="en-AU"/>
        </w:rPr>
        <w:t xml:space="preserve"> and consequently a breach of Part 1 of Schedules 1 and 2 of the </w:t>
      </w:r>
      <w:r w:rsidRPr="002059EF">
        <w:rPr>
          <w:rFonts w:cs="Arial"/>
          <w:iCs/>
          <w:sz w:val="18"/>
          <w:szCs w:val="18"/>
          <w:lang w:val="en-AU"/>
        </w:rPr>
        <w:t>Tel Act respectively</w:t>
      </w:r>
      <w:r w:rsidRPr="002059EF">
        <w:rPr>
          <w:rFonts w:cs="Arial"/>
          <w:sz w:val="18"/>
          <w:szCs w:val="18"/>
          <w:lang w:val="en-AU"/>
        </w:rPr>
        <w:t xml:space="preserve">. </w:t>
      </w:r>
      <w:r>
        <w:rPr>
          <w:rFonts w:cs="Arial"/>
          <w:sz w:val="18"/>
          <w:szCs w:val="18"/>
          <w:lang w:val="en-AU"/>
        </w:rPr>
        <w:t>T</w:t>
      </w:r>
      <w:r w:rsidRPr="002059EF">
        <w:rPr>
          <w:rFonts w:cs="Arial"/>
          <w:sz w:val="18"/>
          <w:szCs w:val="18"/>
          <w:lang w:val="en-AU"/>
        </w:rPr>
        <w:t xml:space="preserve">he ACMA has also declared ss 69(4) and 102(4) to be listed infringement notice provisions. See </w:t>
      </w:r>
      <w:r w:rsidRPr="002059EF">
        <w:rPr>
          <w:rFonts w:cs="Arial"/>
          <w:i/>
          <w:iCs/>
          <w:sz w:val="18"/>
          <w:szCs w:val="18"/>
          <w:lang w:val="en-AU"/>
        </w:rPr>
        <w:t>Telecommunications Listed Infringement Notice Provisions) Declaration 2022</w:t>
      </w:r>
      <w:r w:rsidRPr="002059EF">
        <w:rPr>
          <w:rFonts w:cs="Arial"/>
          <w:sz w:val="18"/>
          <w:szCs w:val="18"/>
          <w:lang w:val="en-AU"/>
        </w:rPr>
        <w:t xml:space="preserve"> (Cth). </w:t>
      </w:r>
    </w:p>
  </w:footnote>
  <w:footnote w:id="130">
    <w:p w14:paraId="40A3D27E" w14:textId="3C54760D" w:rsidR="00712508" w:rsidRPr="002059EF" w:rsidRDefault="00712508" w:rsidP="00F95B91">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Breach of s 101(1) of the </w:t>
      </w:r>
      <w:r w:rsidRPr="002059EF">
        <w:rPr>
          <w:rFonts w:cs="Arial"/>
          <w:iCs/>
          <w:sz w:val="18"/>
          <w:szCs w:val="18"/>
          <w:lang w:val="en-AU"/>
        </w:rPr>
        <w:t>Tel Act</w:t>
      </w:r>
      <w:r w:rsidRPr="002059EF">
        <w:rPr>
          <w:rFonts w:cs="Arial"/>
          <w:sz w:val="18"/>
          <w:szCs w:val="18"/>
          <w:lang w:val="en-AU"/>
        </w:rPr>
        <w:t xml:space="preserve"> (the requirement to comply with service provider rules) is a civil penalty provision but non-compliance with a remedial direction issued under s 102(2) of the </w:t>
      </w:r>
      <w:r w:rsidRPr="002059EF">
        <w:rPr>
          <w:rFonts w:cs="Arial"/>
          <w:iCs/>
          <w:sz w:val="18"/>
          <w:szCs w:val="18"/>
          <w:lang w:val="en-AU"/>
        </w:rPr>
        <w:t>Tel Act</w:t>
      </w:r>
      <w:r w:rsidRPr="002059EF">
        <w:rPr>
          <w:rFonts w:cs="Arial"/>
          <w:sz w:val="18"/>
          <w:szCs w:val="18"/>
          <w:lang w:val="en-AU"/>
        </w:rPr>
        <w:t xml:space="preserve"> is not. Hence s 570(6) of the </w:t>
      </w:r>
      <w:r w:rsidRPr="002059EF">
        <w:rPr>
          <w:rFonts w:cs="Arial"/>
          <w:iCs/>
          <w:sz w:val="18"/>
          <w:szCs w:val="18"/>
          <w:lang w:val="en-AU"/>
        </w:rPr>
        <w:t>Tel Act</w:t>
      </w:r>
      <w:r w:rsidRPr="002059EF">
        <w:rPr>
          <w:rFonts w:cs="Arial"/>
          <w:sz w:val="18"/>
          <w:szCs w:val="18"/>
          <w:lang w:val="en-AU"/>
        </w:rPr>
        <w:t xml:space="preserve"> does not apply and the ACMA can bring actions for the breach of the remedial direction as well as for breach of the industry standard itself. The same applies to the breach of a remedial direction in the context of the service provider rules and carrier licence conditions discussed in sections 3(C)(3) and (4) below.</w:t>
      </w:r>
    </w:p>
  </w:footnote>
  <w:footnote w:id="131">
    <w:p w14:paraId="1C001CA7"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 103(2).</w:t>
      </w:r>
    </w:p>
  </w:footnote>
  <w:footnote w:id="132">
    <w:p w14:paraId="4B57FE7F"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 102.</w:t>
      </w:r>
    </w:p>
  </w:footnote>
  <w:footnote w:id="133">
    <w:p w14:paraId="09CB2116" w14:textId="67CB7960"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 570(3)(a)</w:t>
      </w:r>
      <w:r>
        <w:rPr>
          <w:rFonts w:cs="Arial"/>
          <w:sz w:val="18"/>
          <w:szCs w:val="18"/>
          <w:lang w:val="en-AU"/>
        </w:rPr>
        <w:t>.</w:t>
      </w:r>
      <w:r w:rsidRPr="002059EF">
        <w:rPr>
          <w:rFonts w:cs="Arial"/>
          <w:sz w:val="18"/>
          <w:szCs w:val="18"/>
          <w:lang w:val="en-AU"/>
        </w:rPr>
        <w:t xml:space="preserve"> Compliance with the service provider rules is a civil penalty provision: at s 101(1).</w:t>
      </w:r>
    </w:p>
  </w:footnote>
  <w:footnote w:id="134">
    <w:p w14:paraId="3A0180D4" w14:textId="3D850275" w:rsidR="00712508" w:rsidRPr="002059EF" w:rsidRDefault="00712508" w:rsidP="00651533">
      <w:pPr>
        <w:pStyle w:val="NoSpacing"/>
        <w:jc w:val="both"/>
        <w:rPr>
          <w:rFonts w:cs="Arial"/>
          <w:color w:val="000000" w:themeColor="text1"/>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Here we are referring to the Schedule 2 provisions the ACMA may enforce. </w:t>
      </w:r>
      <w:r>
        <w:rPr>
          <w:rFonts w:cs="Arial"/>
          <w:sz w:val="18"/>
          <w:szCs w:val="18"/>
          <w:lang w:val="en-AU"/>
        </w:rPr>
        <w:t>T</w:t>
      </w:r>
      <w:r w:rsidRPr="002059EF">
        <w:rPr>
          <w:rFonts w:cs="Arial"/>
          <w:sz w:val="18"/>
          <w:szCs w:val="18"/>
          <w:lang w:val="en-AU"/>
        </w:rPr>
        <w:t xml:space="preserve">he ACMA does not have power to enforce all provisions of Schedule 2 of the </w:t>
      </w:r>
      <w:r w:rsidRPr="002059EF">
        <w:rPr>
          <w:rFonts w:cs="Arial"/>
          <w:iCs/>
          <w:sz w:val="18"/>
          <w:szCs w:val="18"/>
          <w:lang w:val="en-AU"/>
        </w:rPr>
        <w:t>Tel Act</w:t>
      </w:r>
      <w:r w:rsidRPr="002059EF">
        <w:rPr>
          <w:rFonts w:cs="Arial"/>
          <w:sz w:val="18"/>
          <w:szCs w:val="18"/>
          <w:lang w:val="en-AU"/>
        </w:rPr>
        <w:t xml:space="preserve">. </w:t>
      </w:r>
    </w:p>
  </w:footnote>
  <w:footnote w:id="135">
    <w:p w14:paraId="66B821DA" w14:textId="0FDE4A99"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For the complete list, see </w:t>
      </w:r>
      <w:r w:rsidRPr="002059EF">
        <w:rPr>
          <w:rFonts w:cs="Arial"/>
          <w:i/>
          <w:iCs/>
          <w:sz w:val="18"/>
          <w:szCs w:val="18"/>
          <w:lang w:val="en-AU"/>
        </w:rPr>
        <w:t xml:space="preserve">Telecommunications (Listed Infringement Notice Provisions) Declaration 2022 </w:t>
      </w:r>
      <w:r w:rsidRPr="002059EF">
        <w:rPr>
          <w:rFonts w:cs="Arial"/>
          <w:sz w:val="18"/>
          <w:szCs w:val="18"/>
          <w:lang w:val="en-AU"/>
        </w:rPr>
        <w:t>(Cth).</w:t>
      </w:r>
    </w:p>
  </w:footnote>
  <w:footnote w:id="136">
    <w:p w14:paraId="40F7840F" w14:textId="47DC4E6C"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Explanatory Statement, </w:t>
      </w:r>
      <w:r w:rsidRPr="002059EF">
        <w:rPr>
          <w:rFonts w:cs="Arial"/>
          <w:i/>
          <w:iCs/>
          <w:sz w:val="18"/>
          <w:szCs w:val="18"/>
          <w:lang w:val="en-AU"/>
        </w:rPr>
        <w:t>Telecommunications (Listed Infringement Notice Provisions) Declaration 2022</w:t>
      </w:r>
      <w:r w:rsidRPr="002059EF">
        <w:rPr>
          <w:rFonts w:cs="Arial"/>
          <w:sz w:val="18"/>
          <w:szCs w:val="18"/>
          <w:lang w:val="en-AU"/>
        </w:rPr>
        <w:t xml:space="preserve"> (Cth) 3.</w:t>
      </w:r>
    </w:p>
  </w:footnote>
  <w:footnote w:id="137">
    <w:p w14:paraId="104DCE03" w14:textId="4F2EF43A"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TCPSS Act</w:t>
      </w:r>
      <w:r w:rsidRPr="002059EF">
        <w:rPr>
          <w:rFonts w:cs="Arial"/>
          <w:sz w:val="18"/>
          <w:szCs w:val="18"/>
          <w:lang w:val="en-AU"/>
        </w:rPr>
        <w:t xml:space="preserve"> s 130.</w:t>
      </w:r>
    </w:p>
  </w:footnote>
  <w:footnote w:id="138">
    <w:p w14:paraId="13E501F7" w14:textId="02530E60"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The ACMA has declared that s</w:t>
      </w:r>
      <w:r>
        <w:rPr>
          <w:rFonts w:cs="Arial"/>
          <w:sz w:val="18"/>
          <w:szCs w:val="18"/>
          <w:lang w:val="en-AU"/>
        </w:rPr>
        <w:t xml:space="preserve"> </w:t>
      </w:r>
      <w:r w:rsidRPr="002059EF">
        <w:rPr>
          <w:rFonts w:cs="Arial"/>
          <w:sz w:val="18"/>
          <w:szCs w:val="18"/>
          <w:lang w:val="en-AU"/>
        </w:rPr>
        <w:t xml:space="preserve">130(2) of the </w:t>
      </w:r>
      <w:r w:rsidRPr="002059EF">
        <w:rPr>
          <w:rFonts w:cs="Arial"/>
          <w:iCs/>
          <w:sz w:val="18"/>
          <w:szCs w:val="18"/>
          <w:lang w:val="en-AU"/>
        </w:rPr>
        <w:t>TCPSS Act</w:t>
      </w:r>
      <w:r w:rsidRPr="002059EF">
        <w:rPr>
          <w:rFonts w:cs="Arial"/>
          <w:sz w:val="18"/>
          <w:szCs w:val="18"/>
          <w:lang w:val="en-AU"/>
        </w:rPr>
        <w:t xml:space="preserve"> is a listed infringement notice provision: see </w:t>
      </w:r>
      <w:r w:rsidRPr="002059EF">
        <w:rPr>
          <w:rFonts w:cs="Arial"/>
          <w:i/>
          <w:iCs/>
          <w:sz w:val="18"/>
          <w:szCs w:val="18"/>
          <w:lang w:val="en-AU"/>
        </w:rPr>
        <w:t xml:space="preserve">Telecommunications (Listed Infringement Notice Provisions) Declaration 2022 </w:t>
      </w:r>
      <w:r w:rsidRPr="002059EF">
        <w:rPr>
          <w:rFonts w:cs="Arial"/>
          <w:sz w:val="18"/>
          <w:szCs w:val="18"/>
          <w:lang w:val="en-AU"/>
        </w:rPr>
        <w:t>(Cth).</w:t>
      </w:r>
    </w:p>
  </w:footnote>
  <w:footnote w:id="139">
    <w:p w14:paraId="53890F09" w14:textId="755FC4E6"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570(3)(a). Compliance with the service provider rules is a civil penalty provision: at s 101(1).</w:t>
      </w:r>
    </w:p>
  </w:footnote>
  <w:footnote w:id="140">
    <w:p w14:paraId="6F694830" w14:textId="63A59B00"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Tel Act s 531(2). Section 531 does not specifically exclude other enforcement action but the ACMA does not refer to other types of enforcement action for breach of s 531(1) on its website. See, eg, the ACMA, ‘Report How You Comply with CSG Recordkeeping’ &lt;https://www.acma.gov.au/report-how-you-comply-csg-recordkeeping&gt;. </w:t>
      </w:r>
    </w:p>
  </w:footnote>
  <w:footnote w:id="141">
    <w:p w14:paraId="03F10109" w14:textId="13663F21"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Cs/>
          <w:sz w:val="18"/>
          <w:szCs w:val="18"/>
          <w:lang w:val="en-AU"/>
        </w:rPr>
        <w:t>Tel Act</w:t>
      </w:r>
      <w:r w:rsidRPr="002059EF">
        <w:rPr>
          <w:rFonts w:cs="Arial"/>
          <w:sz w:val="18"/>
          <w:szCs w:val="18"/>
          <w:lang w:val="en-AU"/>
        </w:rPr>
        <w:t xml:space="preserve"> s 70(1).</w:t>
      </w:r>
    </w:p>
  </w:footnote>
  <w:footnote w:id="142">
    <w:p w14:paraId="4FC16AA5"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 69.</w:t>
      </w:r>
    </w:p>
  </w:footnote>
  <w:footnote w:id="143">
    <w:p w14:paraId="423BD6EF" w14:textId="7808B861" w:rsidR="00712508" w:rsidRPr="002059EF" w:rsidRDefault="00712508" w:rsidP="00485746">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s 570(3)(a). Breach of s 68(1) of the </w:t>
      </w:r>
      <w:r w:rsidRPr="002059EF">
        <w:rPr>
          <w:rFonts w:cs="Arial"/>
          <w:iCs/>
          <w:sz w:val="18"/>
          <w:szCs w:val="18"/>
          <w:lang w:val="en-AU"/>
        </w:rPr>
        <w:t>Tel Act</w:t>
      </w:r>
      <w:r w:rsidRPr="002059EF">
        <w:rPr>
          <w:rFonts w:cs="Arial"/>
          <w:sz w:val="18"/>
          <w:szCs w:val="18"/>
          <w:lang w:val="en-AU"/>
        </w:rPr>
        <w:t xml:space="preserve"> is a civil penalty provision. </w:t>
      </w:r>
    </w:p>
  </w:footnote>
  <w:footnote w:id="144">
    <w:p w14:paraId="5DB1950F"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w:t>
      </w:r>
      <w:r w:rsidRPr="002059EF">
        <w:rPr>
          <w:rFonts w:cs="Arial"/>
          <w:i/>
          <w:iCs/>
          <w:sz w:val="18"/>
          <w:szCs w:val="18"/>
          <w:lang w:val="en-AU"/>
        </w:rPr>
        <w:t>Telecommunications (Listed Infringement Notice Provisions) Declaration 2022</w:t>
      </w:r>
      <w:r w:rsidRPr="002059EF">
        <w:rPr>
          <w:rFonts w:cs="Arial"/>
          <w:sz w:val="18"/>
          <w:szCs w:val="18"/>
          <w:lang w:val="en-AU"/>
        </w:rPr>
        <w:t xml:space="preserve"> (Cth).</w:t>
      </w:r>
    </w:p>
  </w:footnote>
  <w:footnote w:id="145">
    <w:p w14:paraId="00B041B6"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Explanatory Statement, </w:t>
      </w:r>
      <w:r w:rsidRPr="002059EF">
        <w:rPr>
          <w:rFonts w:cs="Arial"/>
          <w:i/>
          <w:iCs/>
          <w:sz w:val="18"/>
          <w:szCs w:val="18"/>
          <w:lang w:val="en-AU"/>
        </w:rPr>
        <w:t>Telecommunications (Listed Infringement Notice Provisions) Declaration 2022</w:t>
      </w:r>
      <w:r w:rsidRPr="002059EF">
        <w:rPr>
          <w:rFonts w:cs="Arial"/>
          <w:sz w:val="18"/>
          <w:szCs w:val="18"/>
          <w:lang w:val="en-AU"/>
        </w:rPr>
        <w:t xml:space="preserve"> (Cth) 3; Attorney-General’s Department (n 85).</w:t>
      </w:r>
    </w:p>
  </w:footnote>
  <w:footnote w:id="146">
    <w:p w14:paraId="04D58DC1" w14:textId="6127B141"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Explanatory Statement, </w:t>
      </w:r>
      <w:r w:rsidRPr="002059EF">
        <w:rPr>
          <w:rFonts w:cs="Arial"/>
          <w:i/>
          <w:iCs/>
          <w:sz w:val="18"/>
          <w:szCs w:val="18"/>
          <w:lang w:val="en-AU"/>
        </w:rPr>
        <w:t>Telecommunications (Listed Infringement Notice Provisions) Declaration 2022</w:t>
      </w:r>
      <w:r w:rsidRPr="002059EF">
        <w:rPr>
          <w:rFonts w:cs="Arial"/>
          <w:sz w:val="18"/>
          <w:szCs w:val="18"/>
          <w:lang w:val="en-AU"/>
        </w:rPr>
        <w:t xml:space="preserve"> (Cth) (Authorised Version Explanatory Statement Registered 25 March 2022 to F2022L00387) 3.</w:t>
      </w:r>
    </w:p>
  </w:footnote>
  <w:footnote w:id="147">
    <w:p w14:paraId="50A93E9E" w14:textId="7F44F351"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This is because the ACMA has also declared subsection 69(4) of the </w:t>
      </w:r>
      <w:r w:rsidRPr="002059EF">
        <w:rPr>
          <w:rFonts w:cs="Arial"/>
          <w:iCs/>
          <w:sz w:val="18"/>
          <w:szCs w:val="18"/>
          <w:lang w:val="en-AU"/>
        </w:rPr>
        <w:t>Tel Act</w:t>
      </w:r>
      <w:r w:rsidRPr="002059EF">
        <w:rPr>
          <w:rFonts w:cs="Arial"/>
          <w:sz w:val="18"/>
          <w:szCs w:val="18"/>
          <w:lang w:val="en-AU"/>
        </w:rPr>
        <w:t xml:space="preserve"> (obligation to comply with a remedial direction) to be a listed infringement notice provision. For the complete list, see </w:t>
      </w:r>
      <w:r w:rsidRPr="002059EF">
        <w:rPr>
          <w:rFonts w:cs="Arial"/>
          <w:i/>
          <w:iCs/>
          <w:sz w:val="18"/>
          <w:szCs w:val="18"/>
          <w:lang w:val="en-AU"/>
        </w:rPr>
        <w:t>Telecommunications (Listed Infringement Notice Provisions) Declaration 2022 (Cth).</w:t>
      </w:r>
    </w:p>
  </w:footnote>
  <w:footnote w:id="148">
    <w:p w14:paraId="07D402CF" w14:textId="3A5FCB58"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Breach of s 68(1) of the </w:t>
      </w:r>
      <w:r w:rsidRPr="002059EF">
        <w:rPr>
          <w:rFonts w:cs="Arial"/>
          <w:iCs/>
          <w:sz w:val="18"/>
          <w:szCs w:val="18"/>
          <w:lang w:val="en-AU"/>
        </w:rPr>
        <w:t>Tel Act</w:t>
      </w:r>
      <w:r w:rsidRPr="002059EF">
        <w:rPr>
          <w:rFonts w:cs="Arial"/>
          <w:sz w:val="18"/>
          <w:szCs w:val="18"/>
          <w:lang w:val="en-AU"/>
        </w:rPr>
        <w:t xml:space="preserve"> is a civil penalty provision but non-compliance with s 69(4) of the </w:t>
      </w:r>
      <w:r w:rsidRPr="002059EF">
        <w:rPr>
          <w:rFonts w:cs="Arial"/>
          <w:iCs/>
          <w:sz w:val="18"/>
          <w:szCs w:val="18"/>
          <w:lang w:val="en-AU"/>
        </w:rPr>
        <w:t>Tel Act</w:t>
      </w:r>
      <w:r w:rsidRPr="002059EF">
        <w:rPr>
          <w:rFonts w:cs="Arial"/>
          <w:sz w:val="18"/>
          <w:szCs w:val="18"/>
          <w:lang w:val="en-AU"/>
        </w:rPr>
        <w:t xml:space="preserve"> is not. Hence s 570(6) of the </w:t>
      </w:r>
      <w:r w:rsidRPr="002059EF">
        <w:rPr>
          <w:rFonts w:cs="Arial"/>
          <w:iCs/>
          <w:sz w:val="18"/>
          <w:szCs w:val="18"/>
          <w:lang w:val="en-AU"/>
        </w:rPr>
        <w:t>Tel Act</w:t>
      </w:r>
      <w:r w:rsidRPr="002059EF">
        <w:rPr>
          <w:rFonts w:cs="Arial"/>
          <w:sz w:val="18"/>
          <w:szCs w:val="18"/>
          <w:lang w:val="en-AU"/>
        </w:rPr>
        <w:t xml:space="preserve"> does not apply.</w:t>
      </w:r>
    </w:p>
  </w:footnote>
  <w:footnote w:id="149">
    <w:p w14:paraId="6B7C68DB" w14:textId="12B15CC2"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The ACMA Compliance and Enforcement Policy (n </w:t>
      </w:r>
      <w:r>
        <w:rPr>
          <w:rFonts w:cs="Arial"/>
          <w:sz w:val="18"/>
          <w:szCs w:val="18"/>
          <w:lang w:val="en-AU"/>
        </w:rPr>
        <w:fldChar w:fldCharType="begin"/>
      </w:r>
      <w:r>
        <w:rPr>
          <w:rFonts w:cs="Arial"/>
          <w:sz w:val="18"/>
          <w:szCs w:val="18"/>
          <w:lang w:val="en-AU"/>
        </w:rPr>
        <w:instrText xml:space="preserve"> NOTEREF _Ref137556912 \h </w:instrText>
      </w:r>
      <w:r>
        <w:rPr>
          <w:rFonts w:cs="Arial"/>
          <w:sz w:val="18"/>
          <w:szCs w:val="18"/>
          <w:lang w:val="en-AU"/>
        </w:rPr>
      </w:r>
      <w:r>
        <w:rPr>
          <w:rFonts w:cs="Arial"/>
          <w:sz w:val="18"/>
          <w:szCs w:val="18"/>
          <w:lang w:val="en-AU"/>
        </w:rPr>
        <w:fldChar w:fldCharType="separate"/>
      </w:r>
      <w:r w:rsidR="00B02191">
        <w:rPr>
          <w:rFonts w:cs="Arial"/>
          <w:sz w:val="18"/>
          <w:szCs w:val="18"/>
          <w:lang w:val="en-AU"/>
        </w:rPr>
        <w:t>68</w:t>
      </w:r>
      <w:r>
        <w:rPr>
          <w:rFonts w:cs="Arial"/>
          <w:sz w:val="18"/>
          <w:szCs w:val="18"/>
          <w:lang w:val="en-AU"/>
        </w:rPr>
        <w:fldChar w:fldCharType="end"/>
      </w:r>
      <w:r w:rsidRPr="002059EF">
        <w:rPr>
          <w:rFonts w:cs="Arial"/>
          <w:sz w:val="18"/>
          <w:szCs w:val="18"/>
          <w:lang w:val="en-AU"/>
        </w:rPr>
        <w:t>).</w:t>
      </w:r>
    </w:p>
  </w:footnote>
  <w:footnote w:id="150">
    <w:p w14:paraId="1ECF9977" w14:textId="0F31A25D"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eg, Australian Communications and Media Authority</w:t>
      </w:r>
      <w:r w:rsidRPr="002059EF" w:rsidDel="00F72D30">
        <w:rPr>
          <w:rFonts w:cs="Arial"/>
          <w:sz w:val="18"/>
          <w:szCs w:val="18"/>
          <w:lang w:val="en-AU"/>
        </w:rPr>
        <w:t xml:space="preserve"> </w:t>
      </w:r>
      <w:r w:rsidRPr="002059EF">
        <w:rPr>
          <w:rFonts w:cs="Arial"/>
          <w:sz w:val="18"/>
          <w:szCs w:val="18"/>
          <w:lang w:val="en-AU"/>
        </w:rPr>
        <w:t xml:space="preserve">(n </w:t>
      </w:r>
      <w:r>
        <w:rPr>
          <w:rFonts w:cs="Arial"/>
          <w:sz w:val="18"/>
          <w:szCs w:val="18"/>
          <w:lang w:val="en-AU"/>
        </w:rPr>
        <w:fldChar w:fldCharType="begin"/>
      </w:r>
      <w:r>
        <w:rPr>
          <w:rFonts w:cs="Arial"/>
          <w:sz w:val="18"/>
          <w:szCs w:val="18"/>
          <w:lang w:val="en-AU"/>
        </w:rPr>
        <w:instrText xml:space="preserve"> NOTEREF _Ref161678565 \h </w:instrText>
      </w:r>
      <w:r>
        <w:rPr>
          <w:rFonts w:cs="Arial"/>
          <w:sz w:val="18"/>
          <w:szCs w:val="18"/>
          <w:lang w:val="en-AU"/>
        </w:rPr>
      </w:r>
      <w:r>
        <w:rPr>
          <w:rFonts w:cs="Arial"/>
          <w:sz w:val="18"/>
          <w:szCs w:val="18"/>
          <w:lang w:val="en-AU"/>
        </w:rPr>
        <w:fldChar w:fldCharType="separate"/>
      </w:r>
      <w:r w:rsidR="00B02191">
        <w:rPr>
          <w:rFonts w:cs="Arial"/>
          <w:sz w:val="18"/>
          <w:szCs w:val="18"/>
          <w:lang w:val="en-AU"/>
        </w:rPr>
        <w:t>108</w:t>
      </w:r>
      <w:r>
        <w:rPr>
          <w:rFonts w:cs="Arial"/>
          <w:sz w:val="18"/>
          <w:szCs w:val="18"/>
          <w:lang w:val="en-AU"/>
        </w:rPr>
        <w:fldChar w:fldCharType="end"/>
      </w:r>
      <w:r w:rsidRPr="002059EF">
        <w:rPr>
          <w:rFonts w:cs="Arial"/>
          <w:sz w:val="18"/>
          <w:szCs w:val="18"/>
          <w:lang w:val="en-AU"/>
        </w:rPr>
        <w:t xml:space="preserve">); Australian Communications and Media Authority, </w:t>
      </w:r>
      <w:r w:rsidRPr="002059EF">
        <w:rPr>
          <w:rFonts w:cs="Arial"/>
          <w:i/>
          <w:iCs/>
          <w:sz w:val="18"/>
          <w:szCs w:val="18"/>
          <w:lang w:val="en-AU"/>
        </w:rPr>
        <w:t xml:space="preserve">Regulatory Guide No. 4: Remedial Directions </w:t>
      </w:r>
      <w:r w:rsidRPr="002059EF">
        <w:rPr>
          <w:rFonts w:cs="Arial"/>
          <w:sz w:val="18"/>
          <w:szCs w:val="18"/>
          <w:lang w:val="en-AU"/>
        </w:rPr>
        <w:t>(Guidance, February 2023); Australian Communications and Media Authority</w:t>
      </w:r>
      <w:r w:rsidRPr="002059EF" w:rsidDel="00F72D30">
        <w:rPr>
          <w:rFonts w:cs="Arial"/>
          <w:sz w:val="18"/>
          <w:szCs w:val="18"/>
          <w:lang w:val="en-AU"/>
        </w:rPr>
        <w:t xml:space="preserve"> </w:t>
      </w:r>
      <w:r w:rsidRPr="002059EF">
        <w:rPr>
          <w:rFonts w:cs="Arial"/>
          <w:sz w:val="18"/>
          <w:szCs w:val="18"/>
          <w:lang w:val="en-AU"/>
        </w:rPr>
        <w:t xml:space="preserve">(n </w:t>
      </w:r>
      <w:r>
        <w:rPr>
          <w:rFonts w:cs="Arial"/>
          <w:sz w:val="18"/>
          <w:szCs w:val="18"/>
          <w:lang w:val="en-AU"/>
        </w:rPr>
        <w:fldChar w:fldCharType="begin"/>
      </w:r>
      <w:r>
        <w:rPr>
          <w:rFonts w:cs="Arial"/>
          <w:sz w:val="18"/>
          <w:szCs w:val="18"/>
          <w:lang w:val="en-AU"/>
        </w:rPr>
        <w:instrText xml:space="preserve"> NOTEREF _Ref161679210 \h </w:instrText>
      </w:r>
      <w:r>
        <w:rPr>
          <w:rFonts w:cs="Arial"/>
          <w:sz w:val="18"/>
          <w:szCs w:val="18"/>
          <w:lang w:val="en-AU"/>
        </w:rPr>
      </w:r>
      <w:r>
        <w:rPr>
          <w:rFonts w:cs="Arial"/>
          <w:sz w:val="18"/>
          <w:szCs w:val="18"/>
          <w:lang w:val="en-AU"/>
        </w:rPr>
        <w:fldChar w:fldCharType="separate"/>
      </w:r>
      <w:r w:rsidR="00B02191">
        <w:rPr>
          <w:rFonts w:cs="Arial"/>
          <w:sz w:val="18"/>
          <w:szCs w:val="18"/>
          <w:lang w:val="en-AU"/>
        </w:rPr>
        <w:t>77</w:t>
      </w:r>
      <w:r>
        <w:rPr>
          <w:rFonts w:cs="Arial"/>
          <w:sz w:val="18"/>
          <w:szCs w:val="18"/>
          <w:lang w:val="en-AU"/>
        </w:rPr>
        <w:fldChar w:fldCharType="end"/>
      </w:r>
      <w:r w:rsidRPr="002059EF">
        <w:rPr>
          <w:rFonts w:cs="Arial"/>
          <w:sz w:val="18"/>
          <w:szCs w:val="18"/>
          <w:lang w:val="en-AU"/>
        </w:rPr>
        <w:t>).</w:t>
      </w:r>
    </w:p>
  </w:footnote>
  <w:footnote w:id="151">
    <w:p w14:paraId="1D3F201B"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
          <w:iCs/>
          <w:sz w:val="18"/>
          <w:szCs w:val="18"/>
          <w:lang w:val="en-AU"/>
        </w:rPr>
        <w:t>Public Governance, Performance and Accountability Act 2013</w:t>
      </w:r>
      <w:r w:rsidRPr="002059EF">
        <w:rPr>
          <w:rFonts w:cs="Arial"/>
          <w:sz w:val="18"/>
          <w:szCs w:val="18"/>
          <w:lang w:val="en-AU"/>
        </w:rPr>
        <w:t xml:space="preserve"> (Cth) s 16(a).</w:t>
      </w:r>
    </w:p>
  </w:footnote>
  <w:footnote w:id="152">
    <w:p w14:paraId="19BF764A"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w:t>
      </w:r>
      <w:r w:rsidRPr="002059EF">
        <w:rPr>
          <w:rFonts w:cs="Arial"/>
          <w:i/>
          <w:iCs/>
          <w:sz w:val="18"/>
          <w:szCs w:val="18"/>
          <w:lang w:val="en-AU"/>
        </w:rPr>
        <w:t>Australian Communications and Media Authority</w:t>
      </w:r>
      <w:r w:rsidRPr="002059EF">
        <w:rPr>
          <w:rFonts w:cs="Arial"/>
          <w:sz w:val="18"/>
          <w:szCs w:val="18"/>
          <w:lang w:val="en-AU"/>
        </w:rPr>
        <w:t xml:space="preserve"> </w:t>
      </w:r>
      <w:r w:rsidRPr="002059EF">
        <w:rPr>
          <w:rFonts w:cs="Arial"/>
          <w:i/>
          <w:iCs/>
          <w:sz w:val="18"/>
          <w:szCs w:val="18"/>
          <w:lang w:val="en-AU"/>
        </w:rPr>
        <w:t xml:space="preserve">Act 2005 </w:t>
      </w:r>
      <w:r w:rsidRPr="002059EF">
        <w:rPr>
          <w:rFonts w:cs="Arial"/>
          <w:sz w:val="18"/>
          <w:szCs w:val="18"/>
          <w:lang w:val="en-AU"/>
        </w:rPr>
        <w:t>(Cth) s 6(2)(b).</w:t>
      </w:r>
    </w:p>
  </w:footnote>
  <w:footnote w:id="153">
    <w:p w14:paraId="6129BD7D" w14:textId="40620501"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Commonwealth entities include ‘listed entities’. See </w:t>
      </w:r>
      <w:r w:rsidRPr="002059EF">
        <w:rPr>
          <w:rFonts w:cs="Arial"/>
          <w:i/>
          <w:iCs/>
          <w:sz w:val="18"/>
          <w:szCs w:val="18"/>
          <w:lang w:val="en-AU"/>
        </w:rPr>
        <w:t>Public Governance, Performance and Accountability Act 2013</w:t>
      </w:r>
      <w:r w:rsidRPr="002059EF">
        <w:rPr>
          <w:rFonts w:cs="Arial"/>
          <w:sz w:val="18"/>
          <w:szCs w:val="18"/>
          <w:lang w:val="en-AU"/>
        </w:rPr>
        <w:t xml:space="preserve"> (Cth) s 10(c). See also </w:t>
      </w:r>
      <w:r w:rsidRPr="002059EF">
        <w:rPr>
          <w:rFonts w:cs="Arial"/>
          <w:i/>
          <w:iCs/>
          <w:sz w:val="18"/>
          <w:szCs w:val="18"/>
          <w:lang w:val="en-AU"/>
        </w:rPr>
        <w:t>Australian Communications and Media Authority</w:t>
      </w:r>
      <w:r w:rsidRPr="002059EF">
        <w:rPr>
          <w:rFonts w:cs="Arial"/>
          <w:sz w:val="18"/>
          <w:szCs w:val="18"/>
          <w:lang w:val="en-AU"/>
        </w:rPr>
        <w:t xml:space="preserve"> </w:t>
      </w:r>
      <w:r w:rsidRPr="002059EF">
        <w:rPr>
          <w:rFonts w:cs="Arial"/>
          <w:i/>
          <w:iCs/>
          <w:sz w:val="18"/>
          <w:szCs w:val="18"/>
          <w:lang w:val="en-AU"/>
        </w:rPr>
        <w:t xml:space="preserve">Act 2005 </w:t>
      </w:r>
      <w:r w:rsidRPr="002059EF">
        <w:rPr>
          <w:rFonts w:cs="Arial"/>
          <w:sz w:val="18"/>
          <w:szCs w:val="18"/>
          <w:lang w:val="en-AU"/>
        </w:rPr>
        <w:t xml:space="preserve">(Cth) s 6(2)(b) which states the ACMA is a listed entity for the purposes of the </w:t>
      </w:r>
      <w:r w:rsidRPr="002059EF">
        <w:rPr>
          <w:rFonts w:cs="Arial"/>
          <w:i/>
          <w:iCs/>
          <w:sz w:val="18"/>
          <w:szCs w:val="18"/>
          <w:lang w:val="en-AU"/>
        </w:rPr>
        <w:t>Public Governance, Performance and Accountability Act 2013</w:t>
      </w:r>
      <w:r w:rsidRPr="002059EF">
        <w:rPr>
          <w:rFonts w:cs="Arial"/>
          <w:sz w:val="18"/>
          <w:szCs w:val="18"/>
          <w:lang w:val="en-AU"/>
        </w:rPr>
        <w:t xml:space="preserve"> (Cth).</w:t>
      </w:r>
    </w:p>
  </w:footnote>
  <w:footnote w:id="154">
    <w:p w14:paraId="19573EA0" w14:textId="5B70C384"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The ACMA Compliance and Enforcement Policy (n </w:t>
      </w:r>
      <w:r>
        <w:rPr>
          <w:rFonts w:cs="Arial"/>
          <w:sz w:val="18"/>
          <w:szCs w:val="18"/>
          <w:lang w:val="en-AU"/>
        </w:rPr>
        <w:fldChar w:fldCharType="begin"/>
      </w:r>
      <w:r>
        <w:rPr>
          <w:rFonts w:cs="Arial"/>
          <w:sz w:val="18"/>
          <w:szCs w:val="18"/>
          <w:lang w:val="en-AU"/>
        </w:rPr>
        <w:instrText xml:space="preserve"> NOTEREF _Ref137556912 \h </w:instrText>
      </w:r>
      <w:r>
        <w:rPr>
          <w:rFonts w:cs="Arial"/>
          <w:sz w:val="18"/>
          <w:szCs w:val="18"/>
          <w:lang w:val="en-AU"/>
        </w:rPr>
      </w:r>
      <w:r>
        <w:rPr>
          <w:rFonts w:cs="Arial"/>
          <w:sz w:val="18"/>
          <w:szCs w:val="18"/>
          <w:lang w:val="en-AU"/>
        </w:rPr>
        <w:fldChar w:fldCharType="separate"/>
      </w:r>
      <w:r w:rsidR="00B02191">
        <w:rPr>
          <w:rFonts w:cs="Arial"/>
          <w:sz w:val="18"/>
          <w:szCs w:val="18"/>
          <w:lang w:val="en-AU"/>
        </w:rPr>
        <w:t>68</w:t>
      </w:r>
      <w:r>
        <w:rPr>
          <w:rFonts w:cs="Arial"/>
          <w:sz w:val="18"/>
          <w:szCs w:val="18"/>
          <w:lang w:val="en-AU"/>
        </w:rPr>
        <w:fldChar w:fldCharType="end"/>
      </w:r>
      <w:r w:rsidRPr="002059EF">
        <w:rPr>
          <w:rFonts w:cs="Arial"/>
          <w:sz w:val="18"/>
          <w:szCs w:val="18"/>
          <w:lang w:val="en-AU"/>
        </w:rPr>
        <w:t>).</w:t>
      </w:r>
    </w:p>
  </w:footnote>
  <w:footnote w:id="155">
    <w:p w14:paraId="430A4E46"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Examples include publishing guidance documents, formal and informal consultation, and publication of investigation outcomes.</w:t>
      </w:r>
    </w:p>
  </w:footnote>
  <w:footnote w:id="156">
    <w:p w14:paraId="7D69BE93" w14:textId="57630A4B"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The ACMA Compliance and Enforcement Policy (n </w:t>
      </w:r>
      <w:r>
        <w:rPr>
          <w:rFonts w:cs="Arial"/>
          <w:sz w:val="18"/>
          <w:szCs w:val="18"/>
          <w:lang w:val="en-AU"/>
        </w:rPr>
        <w:fldChar w:fldCharType="begin"/>
      </w:r>
      <w:r>
        <w:rPr>
          <w:rFonts w:cs="Arial"/>
          <w:sz w:val="18"/>
          <w:szCs w:val="18"/>
          <w:lang w:val="en-AU"/>
        </w:rPr>
        <w:instrText xml:space="preserve"> NOTEREF _Ref137556912 \h </w:instrText>
      </w:r>
      <w:r>
        <w:rPr>
          <w:rFonts w:cs="Arial"/>
          <w:sz w:val="18"/>
          <w:szCs w:val="18"/>
          <w:lang w:val="en-AU"/>
        </w:rPr>
      </w:r>
      <w:r>
        <w:rPr>
          <w:rFonts w:cs="Arial"/>
          <w:sz w:val="18"/>
          <w:szCs w:val="18"/>
          <w:lang w:val="en-AU"/>
        </w:rPr>
        <w:fldChar w:fldCharType="separate"/>
      </w:r>
      <w:r w:rsidR="00B02191">
        <w:rPr>
          <w:rFonts w:cs="Arial"/>
          <w:sz w:val="18"/>
          <w:szCs w:val="18"/>
          <w:lang w:val="en-AU"/>
        </w:rPr>
        <w:t>68</w:t>
      </w:r>
      <w:r>
        <w:rPr>
          <w:rFonts w:cs="Arial"/>
          <w:sz w:val="18"/>
          <w:szCs w:val="18"/>
          <w:lang w:val="en-AU"/>
        </w:rPr>
        <w:fldChar w:fldCharType="end"/>
      </w:r>
      <w:r w:rsidRPr="002059EF">
        <w:rPr>
          <w:rFonts w:cs="Arial"/>
          <w:sz w:val="18"/>
          <w:szCs w:val="18"/>
          <w:lang w:val="en-AU"/>
        </w:rPr>
        <w:t>).</w:t>
      </w:r>
    </w:p>
  </w:footnote>
  <w:footnote w:id="157">
    <w:p w14:paraId="5CC103DD"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p>
  </w:footnote>
  <w:footnote w:id="158">
    <w:p w14:paraId="73BE15DD"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p>
  </w:footnote>
  <w:footnote w:id="159">
    <w:p w14:paraId="5E59C4A8" w14:textId="3BAF2101"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This version of the pyramid is taken from the August 2010 version of the ACMA’s </w:t>
      </w:r>
      <w:r w:rsidRPr="002059EF">
        <w:rPr>
          <w:rFonts w:cs="Arial"/>
          <w:i/>
          <w:sz w:val="18"/>
          <w:szCs w:val="18"/>
          <w:lang w:val="en-AU"/>
        </w:rPr>
        <w:t>Compliance and Enforcement Policy</w:t>
      </w:r>
      <w:r w:rsidRPr="002059EF">
        <w:rPr>
          <w:rFonts w:cs="Arial"/>
          <w:sz w:val="18"/>
          <w:szCs w:val="18"/>
          <w:lang w:val="en-AU"/>
        </w:rPr>
        <w:t xml:space="preserve">: see Australian Communications and Media Authority, </w:t>
      </w:r>
      <w:r w:rsidRPr="002059EF">
        <w:rPr>
          <w:rFonts w:cs="Arial"/>
          <w:i/>
          <w:iCs/>
          <w:sz w:val="18"/>
          <w:szCs w:val="18"/>
          <w:lang w:val="en-AU"/>
        </w:rPr>
        <w:t>Compliance and Enforcement Policy</w:t>
      </w:r>
      <w:r w:rsidRPr="002059EF">
        <w:rPr>
          <w:rFonts w:cs="Arial"/>
          <w:sz w:val="18"/>
          <w:szCs w:val="18"/>
          <w:lang w:val="en-AU"/>
        </w:rPr>
        <w:t xml:space="preserve"> (Policy, August 2010). A copy can currently be found here: &lt;https://reia.com.au/wp-content/uploads/2017/10/Compliance-Guide.pdf&gt;. A later version with lower resolution and different colours (but the same content) is available through the website version: see the ACMA Compliance and Enforcement Policy (n </w:t>
      </w:r>
      <w:r>
        <w:rPr>
          <w:rFonts w:cs="Arial"/>
          <w:sz w:val="18"/>
          <w:szCs w:val="18"/>
          <w:lang w:val="en-AU"/>
        </w:rPr>
        <w:fldChar w:fldCharType="begin"/>
      </w:r>
      <w:r>
        <w:rPr>
          <w:rFonts w:cs="Arial"/>
          <w:sz w:val="18"/>
          <w:szCs w:val="18"/>
          <w:lang w:val="en-AU"/>
        </w:rPr>
        <w:instrText xml:space="preserve"> NOTEREF _Ref137556912 \h </w:instrText>
      </w:r>
      <w:r>
        <w:rPr>
          <w:rFonts w:cs="Arial"/>
          <w:sz w:val="18"/>
          <w:szCs w:val="18"/>
          <w:lang w:val="en-AU"/>
        </w:rPr>
      </w:r>
      <w:r>
        <w:rPr>
          <w:rFonts w:cs="Arial"/>
          <w:sz w:val="18"/>
          <w:szCs w:val="18"/>
          <w:lang w:val="en-AU"/>
        </w:rPr>
        <w:fldChar w:fldCharType="separate"/>
      </w:r>
      <w:r w:rsidR="00B02191">
        <w:rPr>
          <w:rFonts w:cs="Arial"/>
          <w:sz w:val="18"/>
          <w:szCs w:val="18"/>
          <w:lang w:val="en-AU"/>
        </w:rPr>
        <w:t>68</w:t>
      </w:r>
      <w:r>
        <w:rPr>
          <w:rFonts w:cs="Arial"/>
          <w:sz w:val="18"/>
          <w:szCs w:val="18"/>
          <w:lang w:val="en-AU"/>
        </w:rPr>
        <w:fldChar w:fldCharType="end"/>
      </w:r>
      <w:r w:rsidRPr="002059EF">
        <w:rPr>
          <w:rFonts w:cs="Arial"/>
          <w:sz w:val="18"/>
          <w:szCs w:val="18"/>
          <w:lang w:val="en-AU"/>
        </w:rPr>
        <w:t xml:space="preserve">). </w:t>
      </w:r>
    </w:p>
  </w:footnote>
  <w:footnote w:id="160">
    <w:p w14:paraId="34DA4729" w14:textId="222A56E5" w:rsidR="00712508" w:rsidRPr="002059EF" w:rsidRDefault="00712508" w:rsidP="0078068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w:t>
      </w:r>
      <w:r w:rsidRPr="002059EF" w:rsidDel="00E45CC2">
        <w:rPr>
          <w:rFonts w:cs="Arial"/>
          <w:sz w:val="18"/>
          <w:szCs w:val="18"/>
          <w:lang w:val="en-AU"/>
        </w:rPr>
        <w:t xml:space="preserve"> </w:t>
      </w:r>
      <w:r w:rsidRPr="002059EF">
        <w:rPr>
          <w:rFonts w:cs="Arial"/>
          <w:sz w:val="18"/>
          <w:szCs w:val="18"/>
          <w:lang w:val="en-AU"/>
        </w:rPr>
        <w:t xml:space="preserve">(n </w:t>
      </w:r>
      <w:r>
        <w:rPr>
          <w:rFonts w:cs="Arial"/>
          <w:sz w:val="18"/>
          <w:szCs w:val="18"/>
          <w:lang w:val="en-AU"/>
        </w:rPr>
        <w:fldChar w:fldCharType="begin"/>
      </w:r>
      <w:r>
        <w:rPr>
          <w:rFonts w:cs="Arial"/>
          <w:sz w:val="18"/>
          <w:szCs w:val="18"/>
          <w:lang w:val="en-AU"/>
        </w:rPr>
        <w:instrText xml:space="preserve"> NOTEREF _Ref161679210 \h </w:instrText>
      </w:r>
      <w:r>
        <w:rPr>
          <w:rFonts w:cs="Arial"/>
          <w:sz w:val="18"/>
          <w:szCs w:val="18"/>
          <w:lang w:val="en-AU"/>
        </w:rPr>
      </w:r>
      <w:r>
        <w:rPr>
          <w:rFonts w:cs="Arial"/>
          <w:sz w:val="18"/>
          <w:szCs w:val="18"/>
          <w:lang w:val="en-AU"/>
        </w:rPr>
        <w:fldChar w:fldCharType="separate"/>
      </w:r>
      <w:r w:rsidR="00B02191">
        <w:rPr>
          <w:rFonts w:cs="Arial"/>
          <w:sz w:val="18"/>
          <w:szCs w:val="18"/>
          <w:lang w:val="en-AU"/>
        </w:rPr>
        <w:t>77</w:t>
      </w:r>
      <w:r>
        <w:rPr>
          <w:rFonts w:cs="Arial"/>
          <w:sz w:val="18"/>
          <w:szCs w:val="18"/>
          <w:lang w:val="en-AU"/>
        </w:rPr>
        <w:fldChar w:fldCharType="end"/>
      </w:r>
      <w:r w:rsidRPr="002059EF">
        <w:rPr>
          <w:rFonts w:cs="Arial"/>
          <w:sz w:val="18"/>
          <w:szCs w:val="18"/>
          <w:lang w:val="en-AU"/>
        </w:rPr>
        <w:t>) [9.2].</w:t>
      </w:r>
    </w:p>
  </w:footnote>
  <w:footnote w:id="161">
    <w:p w14:paraId="34E8B97A" w14:textId="36C1D272"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w:t>
      </w:r>
      <w:r w:rsidRPr="002059EF" w:rsidDel="003C50B4">
        <w:rPr>
          <w:rFonts w:cs="Arial"/>
          <w:sz w:val="18"/>
          <w:szCs w:val="18"/>
          <w:lang w:val="en-AU"/>
        </w:rPr>
        <w:t xml:space="preserve"> </w:t>
      </w:r>
      <w:r w:rsidRPr="002059EF">
        <w:rPr>
          <w:rFonts w:cs="Arial"/>
          <w:sz w:val="18"/>
          <w:szCs w:val="18"/>
          <w:lang w:val="en-AU"/>
        </w:rPr>
        <w:t xml:space="preserve">(n </w:t>
      </w:r>
      <w:r>
        <w:rPr>
          <w:rFonts w:cs="Arial"/>
          <w:sz w:val="18"/>
          <w:szCs w:val="18"/>
          <w:lang w:val="en-AU"/>
        </w:rPr>
        <w:fldChar w:fldCharType="begin"/>
      </w:r>
      <w:r>
        <w:rPr>
          <w:rFonts w:cs="Arial"/>
          <w:sz w:val="18"/>
          <w:szCs w:val="18"/>
          <w:lang w:val="en-AU"/>
        </w:rPr>
        <w:instrText xml:space="preserve"> NOTEREF _Ref161678565 \h </w:instrText>
      </w:r>
      <w:r>
        <w:rPr>
          <w:rFonts w:cs="Arial"/>
          <w:sz w:val="18"/>
          <w:szCs w:val="18"/>
          <w:lang w:val="en-AU"/>
        </w:rPr>
      </w:r>
      <w:r>
        <w:rPr>
          <w:rFonts w:cs="Arial"/>
          <w:sz w:val="18"/>
          <w:szCs w:val="18"/>
          <w:lang w:val="en-AU"/>
        </w:rPr>
        <w:fldChar w:fldCharType="separate"/>
      </w:r>
      <w:r w:rsidR="00B02191">
        <w:rPr>
          <w:rFonts w:cs="Arial"/>
          <w:sz w:val="18"/>
          <w:szCs w:val="18"/>
          <w:lang w:val="en-AU"/>
        </w:rPr>
        <w:t>108</w:t>
      </w:r>
      <w:r>
        <w:rPr>
          <w:rFonts w:cs="Arial"/>
          <w:sz w:val="18"/>
          <w:szCs w:val="18"/>
          <w:lang w:val="en-AU"/>
        </w:rPr>
        <w:fldChar w:fldCharType="end"/>
      </w:r>
      <w:r w:rsidRPr="002059EF">
        <w:rPr>
          <w:rFonts w:cs="Arial"/>
          <w:sz w:val="18"/>
          <w:szCs w:val="18"/>
          <w:lang w:val="en-AU"/>
        </w:rPr>
        <w:t>) 3.</w:t>
      </w:r>
    </w:p>
  </w:footnote>
  <w:footnote w:id="162">
    <w:p w14:paraId="5F203F08"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p>
  </w:footnote>
  <w:footnote w:id="163">
    <w:p w14:paraId="731EFB35"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[10.1].</w:t>
      </w:r>
    </w:p>
  </w:footnote>
  <w:footnote w:id="164">
    <w:p w14:paraId="06981047" w14:textId="77777777"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eg, Michael T Schaper, ‘How Australia’s Franchising Regulator Establishes Its Enforcement Priorities’ (2018) 16(2) </w:t>
      </w:r>
      <w:r w:rsidRPr="002059EF">
        <w:rPr>
          <w:rFonts w:cs="Arial"/>
          <w:i/>
          <w:iCs/>
          <w:sz w:val="18"/>
          <w:szCs w:val="18"/>
          <w:lang w:val="en-AU"/>
        </w:rPr>
        <w:t>International Journal of Franchising Law</w:t>
      </w:r>
      <w:r w:rsidRPr="002059EF">
        <w:rPr>
          <w:rFonts w:cs="Arial"/>
          <w:sz w:val="18"/>
          <w:szCs w:val="18"/>
          <w:lang w:val="en-AU"/>
        </w:rPr>
        <w:t xml:space="preserve"> 14.</w:t>
      </w:r>
    </w:p>
  </w:footnote>
  <w:footnote w:id="165">
    <w:p w14:paraId="12B51630" w14:textId="5105486C"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and Office of the eSafety Commissioner, </w:t>
      </w:r>
      <w:r w:rsidRPr="002059EF">
        <w:rPr>
          <w:rFonts w:cs="Arial"/>
          <w:i/>
          <w:iCs/>
          <w:sz w:val="18"/>
          <w:szCs w:val="18"/>
          <w:lang w:val="en-AU"/>
        </w:rPr>
        <w:t>Annual Reports 2019-2020</w:t>
      </w:r>
      <w:r w:rsidRPr="002059EF">
        <w:rPr>
          <w:rFonts w:cs="Arial"/>
          <w:sz w:val="18"/>
          <w:szCs w:val="18"/>
          <w:lang w:val="en-AU"/>
        </w:rPr>
        <w:t xml:space="preserve"> (Report, 9 September 2020) 37 (‘the ACMA Annual Report 2019-20’).</w:t>
      </w:r>
    </w:p>
  </w:footnote>
  <w:footnote w:id="166">
    <w:p w14:paraId="4820F139" w14:textId="3D75F7D5" w:rsidR="00712508" w:rsidRPr="002059EF" w:rsidRDefault="00712508" w:rsidP="00651533">
      <w:pPr>
        <w:pStyle w:val="NoSpacing"/>
        <w:jc w:val="both"/>
        <w:rPr>
          <w:rFonts w:cs="Arial"/>
          <w:sz w:val="18"/>
          <w:szCs w:val="18"/>
          <w:u w:val="single"/>
          <w:lang w:val="en-AU"/>
        </w:rPr>
      </w:pPr>
      <w:r w:rsidRPr="002059EF">
        <w:rPr>
          <w:rStyle w:val="FootnoteReference"/>
          <w:rFonts w:cs="Arial"/>
          <w:sz w:val="18"/>
          <w:szCs w:val="18"/>
          <w:lang w:val="en-AU"/>
        </w:rPr>
        <w:footnoteRef/>
      </w:r>
      <w:r w:rsidRPr="002059EF">
        <w:rPr>
          <w:rFonts w:cs="Arial"/>
          <w:sz w:val="18"/>
          <w:szCs w:val="18"/>
          <w:lang w:val="en-AU"/>
        </w:rPr>
        <w:t xml:space="preserve"> The ACMA’s Chair (an accountable authority) must prepare a corporate plan: </w:t>
      </w:r>
      <w:r w:rsidRPr="002059EF">
        <w:rPr>
          <w:rFonts w:cs="Arial"/>
          <w:i/>
          <w:iCs/>
          <w:sz w:val="18"/>
          <w:szCs w:val="18"/>
          <w:lang w:val="en-AU"/>
        </w:rPr>
        <w:t>Public Governance, Performance and Accountability Act 2013</w:t>
      </w:r>
      <w:r w:rsidRPr="002059EF">
        <w:rPr>
          <w:rFonts w:cs="Arial"/>
          <w:sz w:val="18"/>
          <w:szCs w:val="18"/>
          <w:lang w:val="en-AU"/>
        </w:rPr>
        <w:t xml:space="preserve"> (Cth) s 35(1)(b). The ACMA’s Chair must also prepare an annual performance statement addressing how it achieved the purpose set out in the corporate plan: s 39.</w:t>
      </w:r>
    </w:p>
  </w:footnote>
  <w:footnote w:id="167">
    <w:p w14:paraId="32D303FB" w14:textId="2A4688AF"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ACMA Annual Report 2019-20 (n </w:t>
      </w:r>
      <w:r>
        <w:rPr>
          <w:rFonts w:cs="Arial"/>
          <w:sz w:val="18"/>
          <w:szCs w:val="18"/>
          <w:lang w:val="en-AU"/>
        </w:rPr>
        <w:fldChar w:fldCharType="begin"/>
      </w:r>
      <w:r>
        <w:rPr>
          <w:rFonts w:cs="Arial"/>
          <w:sz w:val="18"/>
          <w:szCs w:val="18"/>
          <w:lang w:val="en-AU"/>
        </w:rPr>
        <w:instrText xml:space="preserve"> NOTEREF _Ref161679331 \h </w:instrText>
      </w:r>
      <w:r>
        <w:rPr>
          <w:rFonts w:cs="Arial"/>
          <w:sz w:val="18"/>
          <w:szCs w:val="18"/>
          <w:lang w:val="en-AU"/>
        </w:rPr>
      </w:r>
      <w:r>
        <w:rPr>
          <w:rFonts w:cs="Arial"/>
          <w:sz w:val="18"/>
          <w:szCs w:val="18"/>
          <w:lang w:val="en-AU"/>
        </w:rPr>
        <w:fldChar w:fldCharType="separate"/>
      </w:r>
      <w:r w:rsidR="00B02191">
        <w:rPr>
          <w:rFonts w:cs="Arial"/>
          <w:sz w:val="18"/>
          <w:szCs w:val="18"/>
          <w:lang w:val="en-AU"/>
        </w:rPr>
        <w:t>164</w:t>
      </w:r>
      <w:r>
        <w:rPr>
          <w:rFonts w:cs="Arial"/>
          <w:sz w:val="18"/>
          <w:szCs w:val="18"/>
          <w:lang w:val="en-AU"/>
        </w:rPr>
        <w:fldChar w:fldCharType="end"/>
      </w:r>
      <w:r w:rsidRPr="002059EF">
        <w:rPr>
          <w:rFonts w:cs="Arial"/>
          <w:sz w:val="18"/>
          <w:szCs w:val="18"/>
          <w:lang w:val="en-AU"/>
        </w:rPr>
        <w:t>) 38.</w:t>
      </w:r>
    </w:p>
  </w:footnote>
  <w:footnote w:id="168">
    <w:p w14:paraId="644C79B7" w14:textId="624E32F9"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Style w:val="normaltextrun"/>
          <w:rFonts w:cs="Arial"/>
          <w:sz w:val="18"/>
          <w:szCs w:val="18"/>
          <w:lang w:val="en-AU"/>
        </w:rPr>
        <w:t xml:space="preserve">‘Compliance Priorities 2019–20’, </w:t>
      </w:r>
      <w:r w:rsidRPr="002059EF">
        <w:rPr>
          <w:rStyle w:val="normaltextrun"/>
          <w:rFonts w:cs="Arial"/>
          <w:i/>
          <w:iCs/>
          <w:sz w:val="18"/>
          <w:szCs w:val="18"/>
          <w:lang w:val="en-AU"/>
        </w:rPr>
        <w:t xml:space="preserve">Australian Communications and Media Authority </w:t>
      </w:r>
      <w:r w:rsidRPr="002059EF">
        <w:rPr>
          <w:rStyle w:val="normaltextrun"/>
          <w:rFonts w:cs="Arial"/>
          <w:sz w:val="18"/>
          <w:szCs w:val="18"/>
          <w:lang w:val="en-AU"/>
        </w:rPr>
        <w:t>(Web page, 07 April 2020) &lt;https://www.acma.gov.au/compliance-priorities-2019-20&gt;.</w:t>
      </w:r>
    </w:p>
  </w:footnote>
  <w:footnote w:id="169">
    <w:p w14:paraId="64E650E6" w14:textId="620A44AD"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‘Compliance Priorities 2020–21’, </w:t>
      </w:r>
      <w:r w:rsidRPr="002059EF">
        <w:rPr>
          <w:rFonts w:cs="Arial"/>
          <w:i/>
          <w:iCs/>
          <w:sz w:val="18"/>
          <w:szCs w:val="18"/>
          <w:lang w:val="en-AU"/>
        </w:rPr>
        <w:t xml:space="preserve">Australian Communications and Media Authority </w:t>
      </w:r>
      <w:r w:rsidRPr="002059EF">
        <w:rPr>
          <w:rFonts w:cs="Arial"/>
          <w:sz w:val="18"/>
          <w:szCs w:val="18"/>
          <w:lang w:val="en-AU"/>
        </w:rPr>
        <w:t>(Web page, 04 May 2021) &lt;</w:t>
      </w:r>
      <w:r w:rsidRPr="002059EF">
        <w:rPr>
          <w:rStyle w:val="normaltextrun"/>
          <w:rFonts w:cs="Arial"/>
          <w:sz w:val="18"/>
          <w:szCs w:val="18"/>
          <w:lang w:val="en-AU"/>
        </w:rPr>
        <w:t xml:space="preserve"> https://www.acma.gov.au/node/467&gt;.</w:t>
      </w:r>
    </w:p>
  </w:footnote>
  <w:footnote w:id="170">
    <w:p w14:paraId="72BA6536" w14:textId="21F35F69"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‘Compliance Priorities 2021–22’, </w:t>
      </w:r>
      <w:r w:rsidRPr="002059EF">
        <w:rPr>
          <w:rFonts w:cs="Arial"/>
          <w:i/>
          <w:iCs/>
          <w:sz w:val="18"/>
          <w:szCs w:val="18"/>
          <w:lang w:val="en-AU"/>
        </w:rPr>
        <w:t xml:space="preserve">Australian Communications and Media Authority </w:t>
      </w:r>
      <w:r w:rsidRPr="002059EF">
        <w:rPr>
          <w:rFonts w:cs="Arial"/>
          <w:sz w:val="18"/>
          <w:szCs w:val="18"/>
          <w:lang w:val="en-AU"/>
        </w:rPr>
        <w:t>(Web page, 09 January 2023) &lt;</w:t>
      </w:r>
      <w:r w:rsidRPr="002059EF">
        <w:rPr>
          <w:rStyle w:val="normaltextrun"/>
          <w:rFonts w:cs="Arial"/>
          <w:sz w:val="18"/>
          <w:szCs w:val="18"/>
          <w:lang w:val="en-AU"/>
        </w:rPr>
        <w:t>https://www.acma.gov.au/compliance-priorities-2021-22&gt;.</w:t>
      </w:r>
    </w:p>
  </w:footnote>
  <w:footnote w:id="171">
    <w:p w14:paraId="73C9CAC4" w14:textId="6AA43765" w:rsidR="00712508" w:rsidRPr="002059EF" w:rsidRDefault="00712508" w:rsidP="461D8649">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‘Compliance Priorities 2022–23’, </w:t>
      </w:r>
      <w:r w:rsidRPr="002059EF">
        <w:rPr>
          <w:rFonts w:cs="Arial"/>
          <w:i/>
          <w:iCs/>
          <w:sz w:val="18"/>
          <w:szCs w:val="18"/>
          <w:lang w:val="en-AU"/>
        </w:rPr>
        <w:t xml:space="preserve">Australian Communications and Media Authority </w:t>
      </w:r>
      <w:r w:rsidRPr="002059EF">
        <w:rPr>
          <w:rFonts w:cs="Arial"/>
          <w:sz w:val="18"/>
          <w:szCs w:val="18"/>
          <w:lang w:val="en-AU"/>
        </w:rPr>
        <w:t>(Web page, 30 June 2023) &lt;https://www.acma.gov.au/compliance-priorities-2022-23&gt;.</w:t>
      </w:r>
    </w:p>
  </w:footnote>
  <w:footnote w:id="172">
    <w:p w14:paraId="1F74AEAD" w14:textId="6DBF5951"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‘Consumer Protections a Priority for the ACMA in 2023–24’, </w:t>
      </w:r>
      <w:r w:rsidRPr="002059EF">
        <w:rPr>
          <w:rFonts w:cs="Arial"/>
          <w:i/>
          <w:iCs/>
          <w:sz w:val="18"/>
          <w:szCs w:val="18"/>
          <w:lang w:val="en-AU"/>
        </w:rPr>
        <w:t xml:space="preserve">Australian Communications and Media Authority </w:t>
      </w:r>
      <w:r w:rsidRPr="002059EF">
        <w:rPr>
          <w:rFonts w:cs="Arial"/>
          <w:sz w:val="18"/>
          <w:szCs w:val="18"/>
          <w:lang w:val="en-AU"/>
        </w:rPr>
        <w:t>(Article, 30 June 2023) &lt;https://www.acma.gov.au/articles/2023-06/consumer-protections-priority-acma-2023-24&gt;.</w:t>
      </w:r>
    </w:p>
  </w:footnote>
  <w:footnote w:id="173">
    <w:p w14:paraId="1E7061F5" w14:textId="09A12AFD" w:rsidR="00712508" w:rsidRPr="002059EF" w:rsidRDefault="00712508" w:rsidP="00DB712E">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w:t>
      </w:r>
      <w:r>
        <w:rPr>
          <w:rFonts w:cs="Arial"/>
          <w:sz w:val="18"/>
          <w:szCs w:val="18"/>
        </w:rPr>
        <w:t>section B of Chapter 2</w:t>
      </w:r>
      <w:r w:rsidRPr="002059EF">
        <w:rPr>
          <w:rFonts w:cs="Arial"/>
          <w:sz w:val="18"/>
          <w:szCs w:val="18"/>
        </w:rPr>
        <w:t>. It also includes a single instance of a deed of agreement.</w:t>
      </w:r>
    </w:p>
  </w:footnote>
  <w:footnote w:id="174">
    <w:p w14:paraId="5A5DE4DC" w14:textId="7ED87AF9"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Nielsen (n </w:t>
      </w:r>
      <w:r>
        <w:rPr>
          <w:rFonts w:cs="Arial"/>
          <w:sz w:val="18"/>
          <w:szCs w:val="18"/>
          <w:lang w:val="en-AU"/>
        </w:rPr>
        <w:fldChar w:fldCharType="begin"/>
      </w:r>
      <w:r>
        <w:rPr>
          <w:rFonts w:cs="Arial"/>
          <w:sz w:val="18"/>
          <w:szCs w:val="18"/>
          <w:lang w:val="en-AU"/>
        </w:rPr>
        <w:instrText xml:space="preserve"> NOTEREF _Ref161679507 \h </w:instrText>
      </w:r>
      <w:r>
        <w:rPr>
          <w:rFonts w:cs="Arial"/>
          <w:sz w:val="18"/>
          <w:szCs w:val="18"/>
          <w:lang w:val="en-AU"/>
        </w:rPr>
      </w:r>
      <w:r>
        <w:rPr>
          <w:rFonts w:cs="Arial"/>
          <w:sz w:val="18"/>
          <w:szCs w:val="18"/>
          <w:lang w:val="en-AU"/>
        </w:rPr>
        <w:fldChar w:fldCharType="separate"/>
      </w:r>
      <w:r w:rsidR="00B02191">
        <w:rPr>
          <w:rFonts w:cs="Arial"/>
          <w:sz w:val="18"/>
          <w:szCs w:val="18"/>
          <w:lang w:val="en-AU"/>
        </w:rPr>
        <w:t>31</w:t>
      </w:r>
      <w:r>
        <w:rPr>
          <w:rFonts w:cs="Arial"/>
          <w:sz w:val="18"/>
          <w:szCs w:val="18"/>
          <w:lang w:val="en-AU"/>
        </w:rPr>
        <w:fldChar w:fldCharType="end"/>
      </w:r>
      <w:r w:rsidRPr="002059EF">
        <w:rPr>
          <w:rFonts w:cs="Arial"/>
          <w:sz w:val="18"/>
          <w:szCs w:val="18"/>
          <w:lang w:val="en-AU"/>
        </w:rPr>
        <w:t>) 399–404.</w:t>
      </w:r>
    </w:p>
  </w:footnote>
  <w:footnote w:id="175">
    <w:p w14:paraId="5F21A6BC" w14:textId="64BCB2EC" w:rsidR="00712508" w:rsidRPr="002059EF" w:rsidRDefault="00712508" w:rsidP="00651533">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eg, Peter J May and Soren C Winter, ‘Regulatory Enforcement Styles and Compliance’ in Christine Parker and Vibeke Lehmann Nielsen (eds), </w:t>
      </w:r>
      <w:r w:rsidRPr="002059EF">
        <w:rPr>
          <w:rFonts w:cs="Arial"/>
          <w:i/>
          <w:iCs/>
          <w:sz w:val="18"/>
          <w:szCs w:val="18"/>
          <w:lang w:val="en-AU"/>
        </w:rPr>
        <w:t>Explaining Compliance – Business Responses to Regulation</w:t>
      </w:r>
      <w:r w:rsidRPr="002059EF">
        <w:rPr>
          <w:rFonts w:cs="Arial"/>
          <w:sz w:val="18"/>
          <w:szCs w:val="18"/>
          <w:lang w:val="en-AU"/>
        </w:rPr>
        <w:t xml:space="preserve"> (Edward Elgar, 2011) 222, 227–9; Peter J May and Robert S Wood, ‘At the Regulatory Front Lines: Inspectors Enforcement Styles and Regulatory Compliance’ (2003) 13(2) </w:t>
      </w:r>
      <w:r w:rsidRPr="002059EF">
        <w:rPr>
          <w:rFonts w:cs="Arial"/>
          <w:i/>
          <w:iCs/>
          <w:sz w:val="18"/>
          <w:szCs w:val="18"/>
          <w:lang w:val="en-AU"/>
        </w:rPr>
        <w:t xml:space="preserve">Journal of Public Administration Research and Theory </w:t>
      </w:r>
      <w:r w:rsidRPr="002059EF">
        <w:rPr>
          <w:rFonts w:cs="Arial"/>
          <w:sz w:val="18"/>
          <w:szCs w:val="18"/>
          <w:lang w:val="en-AU"/>
        </w:rPr>
        <w:t>117.</w:t>
      </w:r>
    </w:p>
  </w:footnote>
  <w:footnote w:id="176">
    <w:p w14:paraId="4CD2567E" w14:textId="521B353E"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Subject to some exceptions, the Tel Act gives the ACMA discretion to prepare and publish investigation reports (see ss 516(1) and 517(2)). For the exceptions, see ss 516(2), and 517(3), (4) and (5).</w:t>
      </w:r>
    </w:p>
  </w:footnote>
  <w:footnote w:id="177">
    <w:p w14:paraId="3C4D066D" w14:textId="77777777"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eg, ss 57 and 67 of the </w:t>
      </w:r>
      <w:r w:rsidRPr="002059EF">
        <w:rPr>
          <w:rFonts w:cs="Arial"/>
          <w:i/>
          <w:iCs/>
          <w:sz w:val="18"/>
          <w:szCs w:val="18"/>
        </w:rPr>
        <w:t>Australian Communications and Media Authority Act 2005</w:t>
      </w:r>
      <w:r w:rsidRPr="002059EF">
        <w:rPr>
          <w:rFonts w:cs="Arial"/>
          <w:sz w:val="18"/>
          <w:szCs w:val="18"/>
        </w:rPr>
        <w:t xml:space="preserve"> (Cth).</w:t>
      </w:r>
    </w:p>
  </w:footnote>
  <w:footnote w:id="178">
    <w:p w14:paraId="71FC5797" w14:textId="06C7DC02"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Tel Act s 572B(5).</w:t>
      </w:r>
    </w:p>
  </w:footnote>
  <w:footnote w:id="179">
    <w:p w14:paraId="78B92D72" w14:textId="1C0B894C"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the ACMA, </w:t>
      </w:r>
      <w:r w:rsidRPr="002059EF">
        <w:rPr>
          <w:rFonts w:cs="Arial"/>
          <w:i/>
          <w:iCs/>
          <w:sz w:val="18"/>
          <w:szCs w:val="18"/>
        </w:rPr>
        <w:t>Regulatory Guide No. 6: Publication of Investigations and Enforcement Actions</w:t>
      </w:r>
      <w:r w:rsidRPr="002059EF">
        <w:rPr>
          <w:rFonts w:cs="Arial"/>
          <w:sz w:val="18"/>
          <w:szCs w:val="18"/>
        </w:rPr>
        <w:t xml:space="preserve"> (Updated February 2023) 3-4 &lt;https://www.acma.gov.au/publications/2019-12/guide/regulatory-guide-no-6-publication-investigations-and-enforcement-actions&gt;. See also &lt;https://www.acma.gov.au/investigations-telco-providers&gt;.</w:t>
      </w:r>
    </w:p>
  </w:footnote>
  <w:footnote w:id="180">
    <w:p w14:paraId="73115656" w14:textId="4AD1F719"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Ibid para 4.5. We found only one instance where the ACMA publicised information about an investigation which led to a finding of no breach. See its investigation into Vodafone Network Pty and Vodafone Pty </w:t>
      </w:r>
      <w:r w:rsidRPr="002059EF">
        <w:rPr>
          <w:rFonts w:cs="Arial"/>
          <w:sz w:val="18"/>
          <w:szCs w:val="18"/>
        </w:rPr>
        <w:t>Ltd’s alleged breach of cl 8.2.1(a)(xiii) of the TCP Code in July 2013, &lt;https://www.acma.gov.au/investigations-telco-providers-2010-2016&gt;.</w:t>
      </w:r>
    </w:p>
  </w:footnote>
  <w:footnote w:id="181">
    <w:p w14:paraId="7B2A1F0B" w14:textId="77777777"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Ibid para 4.1.</w:t>
      </w:r>
    </w:p>
  </w:footnote>
  <w:footnote w:id="182">
    <w:p w14:paraId="43C7AE39" w14:textId="77777777" w:rsidR="00712508" w:rsidRPr="002059EF" w:rsidRDefault="00712508" w:rsidP="00A553B4">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Ibid para 2.2.</w:t>
      </w:r>
    </w:p>
  </w:footnote>
  <w:footnote w:id="183">
    <w:p w14:paraId="4E72F313" w14:textId="44B95F1B"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&lt;https://www.acma.gov.au/action-telco-consumer-protections&gt;. </w:t>
      </w:r>
    </w:p>
  </w:footnote>
  <w:footnote w:id="184">
    <w:p w14:paraId="02FCF213" w14:textId="6E0A8AA7"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‘Investigations into Telco Providers’ (&lt;https://www.acma.gov.au/investigations-telco-providers&gt;) and ‘Investigations into Telco Providers 2010-2016’ (&lt;https://www.acma.gov.au/investigations-telco-providers-2010-2016&gt;).</w:t>
      </w:r>
    </w:p>
  </w:footnote>
  <w:footnote w:id="185">
    <w:p w14:paraId="3E914C06" w14:textId="3AD11A62"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cs="Arial"/>
          <w:color w:val="000000" w:themeColor="text1"/>
          <w:sz w:val="18"/>
          <w:szCs w:val="18"/>
        </w:rPr>
        <w:t>See section B of this chapter for an explanation of the way we define ‘provider’ in this chapter of the report.</w:t>
      </w:r>
    </w:p>
  </w:footnote>
  <w:footnote w:id="186">
    <w:p w14:paraId="6915798B" w14:textId="0B14E2A0"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Although some material is available from the Australian National Library’s Trove service, and pages from earlier versions of the ACMA’s website can be retrieved via the Internet Archive’s WayBack Machine, many resources are not available from Trove and many web pages with potentially pertinent enforcement information and investigation reports have not been archived or indexed by the WayBack Machine.</w:t>
      </w:r>
    </w:p>
  </w:footnote>
  <w:footnote w:id="187">
    <w:p w14:paraId="39A7DC57" w14:textId="77777777" w:rsidR="00712508" w:rsidRPr="002059EF" w:rsidRDefault="00712508" w:rsidP="00744700">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respectively, Annual Report 2009-10, p.86; Annual Report 2016-17, 19, 70-72; Annual Report 2021-22, 10, 39.</w:t>
      </w:r>
    </w:p>
  </w:footnote>
  <w:footnote w:id="188">
    <w:p w14:paraId="4F313C23" w14:textId="567FA8DE"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Australian Communications and Media Authority, </w:t>
      </w:r>
      <w:r w:rsidRPr="002059EF">
        <w:rPr>
          <w:rFonts w:cs="Arial"/>
          <w:i/>
          <w:iCs/>
          <w:sz w:val="18"/>
          <w:szCs w:val="18"/>
        </w:rPr>
        <w:t>Annual Report 2013-14</w:t>
      </w:r>
      <w:r w:rsidRPr="002059EF">
        <w:rPr>
          <w:rFonts w:cs="Arial"/>
          <w:sz w:val="18"/>
          <w:szCs w:val="18"/>
        </w:rPr>
        <w:t xml:space="preserve"> (Report, 30 September 2014) 80-81.</w:t>
      </w:r>
    </w:p>
  </w:footnote>
  <w:footnote w:id="189">
    <w:p w14:paraId="3FF0728D" w14:textId="11BF9EA6"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Australian Communications and Media Authority, </w:t>
      </w:r>
      <w:r w:rsidRPr="002059EF">
        <w:rPr>
          <w:rFonts w:cs="Arial"/>
          <w:i/>
          <w:sz w:val="18"/>
          <w:szCs w:val="18"/>
        </w:rPr>
        <w:t>Financial Hardship in the Telco Sector: Keeping the Customer Connected</w:t>
      </w:r>
      <w:r w:rsidRPr="002059EF">
        <w:rPr>
          <w:rFonts w:cs="Arial"/>
          <w:sz w:val="18"/>
          <w:szCs w:val="18"/>
        </w:rPr>
        <w:t xml:space="preserve"> (Report, May 2023) 16. Information, research and other reports on this topic over the period 2018-2023, including three annual ‘state of play reports’, is available at https://www.acma.gov.au/financial-hardship-telco-sector-keeping-customer-connected.</w:t>
      </w:r>
    </w:p>
  </w:footnote>
  <w:footnote w:id="190">
    <w:p w14:paraId="290659D5" w14:textId="77777777" w:rsidR="00712508" w:rsidRPr="002059EF" w:rsidRDefault="00712508" w:rsidP="00E52EB5">
      <w:pPr>
        <w:pStyle w:val="NoSpacing"/>
        <w:jc w:val="both"/>
        <w:rPr>
          <w:rFonts w:cs="Arial"/>
          <w:sz w:val="18"/>
          <w:szCs w:val="18"/>
        </w:rPr>
      </w:pPr>
      <w:r w:rsidRPr="002059EF">
        <w:rPr>
          <w:rStyle w:val="FootnoteReference"/>
          <w:rFonts w:cs="Arial"/>
          <w:sz w:val="18"/>
          <w:szCs w:val="18"/>
          <w:lang w:val="en-AU"/>
        </w:rPr>
        <w:footnoteRef/>
      </w:r>
      <w:r w:rsidRPr="002059EF">
        <w:rPr>
          <w:rFonts w:cs="Arial"/>
          <w:sz w:val="18"/>
          <w:szCs w:val="18"/>
          <w:lang w:val="en-AU"/>
        </w:rPr>
        <w:t xml:space="preserve"> Kenneth W Abbott, David Levi-Faur and Duncan Snidal, ‘Theorizing Regulatory Intermediaries: The RIT Model’ (2017) 670(1) </w:t>
      </w:r>
      <w:r w:rsidRPr="002059EF">
        <w:rPr>
          <w:rFonts w:cs="Arial"/>
          <w:i/>
          <w:iCs/>
          <w:sz w:val="18"/>
          <w:szCs w:val="18"/>
          <w:lang w:val="en-AU"/>
        </w:rPr>
        <w:t>Annals of the American Academy of Political and Social Science</w:t>
      </w:r>
      <w:r w:rsidRPr="002059EF">
        <w:rPr>
          <w:rFonts w:cs="Arial"/>
          <w:sz w:val="18"/>
          <w:szCs w:val="18"/>
          <w:lang w:val="en-AU"/>
        </w:rPr>
        <w:t xml:space="preserve"> 14, 14–5.</w:t>
      </w:r>
    </w:p>
  </w:footnote>
  <w:footnote w:id="191">
    <w:p w14:paraId="584A5BBE" w14:textId="26D0407F"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In recognition of the market share of the TPG group, we do provide a separate note at the end of section D below that collates the results of the various companies that now constitute TPG.</w:t>
      </w:r>
    </w:p>
  </w:footnote>
  <w:footnote w:id="192">
    <w:p w14:paraId="4FBD350C" w14:textId="5988B11E" w:rsidR="00712508" w:rsidRPr="002059EF" w:rsidRDefault="00712508" w:rsidP="00895E0F">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This number excludes </w:t>
      </w:r>
      <w:r w:rsidRPr="002059EF">
        <w:rPr>
          <w:rStyle w:val="cf01"/>
          <w:rFonts w:ascii="Arial" w:hAnsi="Arial" w:cs="Arial"/>
        </w:rPr>
        <w:t>one entry for an unidentified provider. This is because of the possibility that the unidentified provider had already been counted elsewhere in the data.</w:t>
      </w:r>
    </w:p>
  </w:footnote>
  <w:footnote w:id="193">
    <w:p w14:paraId="0C8907C6" w14:textId="41935FBA" w:rsidR="00712508" w:rsidRPr="002059EF" w:rsidRDefault="00712508" w:rsidP="00E52EB5">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Some investigations resulted in more than one associated enforcement action. See Table 1 in section G below and the notes to that table for a breakdown of the total number of enforcement actions by year, and assumptions made in the compilation of the data.</w:t>
      </w:r>
    </w:p>
  </w:footnote>
  <w:footnote w:id="194">
    <w:p w14:paraId="7FFBE42F" w14:textId="77777777" w:rsidR="00712508" w:rsidRPr="002059EF" w:rsidRDefault="00712508" w:rsidP="00E52EB5">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i/>
          <w:sz w:val="18"/>
          <w:szCs w:val="18"/>
          <w:shd w:val="clear" w:color="auto" w:fill="FFFFFF"/>
          <w:lang w:val="en-AU"/>
        </w:rPr>
        <w:t>Australian Communications and Media Authority v Bytecard Pty Ltd</w:t>
      </w:r>
      <w:r w:rsidRPr="002059EF">
        <w:rPr>
          <w:rFonts w:cs="Arial"/>
          <w:sz w:val="18"/>
          <w:szCs w:val="18"/>
          <w:shd w:val="clear" w:color="auto" w:fill="FFFFFF"/>
          <w:lang w:val="en-AU"/>
        </w:rPr>
        <w:t xml:space="preserve"> [2013] FCA 38.</w:t>
      </w:r>
    </w:p>
  </w:footnote>
  <w:footnote w:id="195">
    <w:p w14:paraId="7D6DD42F" w14:textId="77777777" w:rsidR="00712508" w:rsidRPr="002059EF" w:rsidRDefault="00712508" w:rsidP="00E52EB5">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Style w:val="normaltextrun"/>
          <w:rFonts w:cs="Arial"/>
          <w:i/>
          <w:iCs/>
          <w:sz w:val="18"/>
          <w:szCs w:val="18"/>
          <w:lang w:val="en-AU"/>
        </w:rPr>
        <w:t xml:space="preserve">Australian Communications and Media Authority v TPG Internet Pty Ltd </w:t>
      </w:r>
      <w:r w:rsidRPr="002059EF">
        <w:rPr>
          <w:rStyle w:val="normaltextrun"/>
          <w:rFonts w:cs="Arial"/>
          <w:sz w:val="18"/>
          <w:szCs w:val="18"/>
          <w:lang w:val="en-AU"/>
        </w:rPr>
        <w:t xml:space="preserve">[2014] FCA 382. </w:t>
      </w:r>
    </w:p>
  </w:footnote>
  <w:footnote w:id="196">
    <w:p w14:paraId="79720BAD" w14:textId="77777777" w:rsidR="00712508" w:rsidRPr="002059EF" w:rsidRDefault="00712508" w:rsidP="00E52EB5">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Style w:val="normaltextrun"/>
          <w:rFonts w:cs="Arial"/>
          <w:i/>
          <w:iCs/>
          <w:sz w:val="18"/>
          <w:szCs w:val="18"/>
          <w:shd w:val="clear" w:color="auto" w:fill="FFFFFF"/>
          <w:lang w:val="en-AU"/>
        </w:rPr>
        <w:t>Australian Communications and Media Authority v Limni Enterprises Pty Ltd (formerly known as Red Telecom Pty Ltd)</w:t>
      </w:r>
      <w:r w:rsidRPr="002059EF">
        <w:rPr>
          <w:rStyle w:val="normaltextrun"/>
          <w:rFonts w:cs="Arial"/>
          <w:sz w:val="18"/>
          <w:szCs w:val="18"/>
          <w:shd w:val="clear" w:color="auto" w:fill="FFFFFF"/>
          <w:lang w:val="en-AU"/>
        </w:rPr>
        <w:t> [2022] FCA 795.</w:t>
      </w:r>
    </w:p>
  </w:footnote>
  <w:footnote w:id="197">
    <w:p w14:paraId="1767C816" w14:textId="62F28F2D"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cs="Arial"/>
          <w:i/>
          <w:iCs/>
          <w:sz w:val="18"/>
          <w:szCs w:val="18"/>
        </w:rPr>
        <w:t xml:space="preserve">ACMA v Bytecard </w:t>
      </w:r>
      <w:r w:rsidRPr="002059EF">
        <w:rPr>
          <w:rFonts w:cs="Arial"/>
          <w:sz w:val="18"/>
          <w:szCs w:val="18"/>
        </w:rPr>
        <w:t xml:space="preserve">(n </w:t>
      </w:r>
      <w:r>
        <w:rPr>
          <w:rFonts w:cs="Arial"/>
          <w:sz w:val="18"/>
          <w:szCs w:val="18"/>
        </w:rPr>
        <w:fldChar w:fldCharType="begin"/>
      </w:r>
      <w:r>
        <w:rPr>
          <w:rFonts w:cs="Arial"/>
          <w:sz w:val="18"/>
          <w:szCs w:val="18"/>
        </w:rPr>
        <w:instrText xml:space="preserve"> NOTEREF _Ref161679606 \h </w:instrText>
      </w:r>
      <w:r>
        <w:rPr>
          <w:rFonts w:cs="Arial"/>
          <w:sz w:val="18"/>
          <w:szCs w:val="18"/>
        </w:rPr>
      </w:r>
      <w:r>
        <w:rPr>
          <w:rFonts w:cs="Arial"/>
          <w:sz w:val="18"/>
          <w:szCs w:val="18"/>
        </w:rPr>
        <w:fldChar w:fldCharType="separate"/>
      </w:r>
      <w:r w:rsidR="00B02191">
        <w:rPr>
          <w:rFonts w:cs="Arial"/>
          <w:sz w:val="18"/>
          <w:szCs w:val="18"/>
        </w:rPr>
        <w:t>193</w:t>
      </w:r>
      <w:r>
        <w:rPr>
          <w:rFonts w:cs="Arial"/>
          <w:sz w:val="18"/>
          <w:szCs w:val="18"/>
        </w:rPr>
        <w:fldChar w:fldCharType="end"/>
      </w:r>
      <w:r w:rsidRPr="002059EF">
        <w:rPr>
          <w:rFonts w:cs="Arial"/>
          <w:sz w:val="18"/>
          <w:szCs w:val="18"/>
        </w:rPr>
        <w:t>) (iii)-(iv).</w:t>
      </w:r>
    </w:p>
  </w:footnote>
  <w:footnote w:id="198">
    <w:p w14:paraId="2736EEC0" w14:textId="3F26F73A" w:rsidR="00712508" w:rsidRPr="002059EF" w:rsidRDefault="00712508" w:rsidP="00677F60">
      <w:pPr>
        <w:pStyle w:val="NoSpacing"/>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Investigation Report</w:t>
      </w:r>
      <w:r w:rsidRPr="002059EF">
        <w:rPr>
          <w:rFonts w:cs="Arial"/>
          <w:sz w:val="18"/>
          <w:szCs w:val="18"/>
          <w:lang w:val="en-AU"/>
        </w:rPr>
        <w:t xml:space="preserve"> (Investigation, ACMA2022/771, 24 March 2023) &lt;https://www.acma.gov.au/sites/default/files/2023-04/Final%20investigation%20report%20-%20Telstra%20Corporation%20Limited.pdf&gt;.</w:t>
      </w:r>
    </w:p>
  </w:footnote>
  <w:footnote w:id="199">
    <w:p w14:paraId="0CD64005" w14:textId="2A07091A" w:rsidR="00712508" w:rsidRPr="002059EF" w:rsidRDefault="00712508" w:rsidP="00677F60">
      <w:pPr>
        <w:pStyle w:val="NoSpacing"/>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Formal warning issued under subsection 122(2) of the Telecommunications Act 1997</w:t>
      </w:r>
      <w:r w:rsidRPr="002059EF" w:rsidDel="00BA7624">
        <w:rPr>
          <w:rFonts w:cs="Arial"/>
          <w:sz w:val="18"/>
          <w:szCs w:val="18"/>
          <w:lang w:val="en-AU"/>
        </w:rPr>
        <w:t xml:space="preserve"> </w:t>
      </w:r>
      <w:r w:rsidRPr="002059EF">
        <w:rPr>
          <w:rFonts w:cs="Arial"/>
          <w:sz w:val="18"/>
          <w:szCs w:val="18"/>
          <w:lang w:val="en-AU"/>
        </w:rPr>
        <w:t>(24 March 2023) &lt;https://www.acma.gov.au/sites/default/files/2023-04/Formal%20Warning%20to%20Telstra%20Corporation%20Limited%20%28signed%2024%20March%202023%29.pdf&gt;.</w:t>
      </w:r>
    </w:p>
  </w:footnote>
  <w:footnote w:id="200">
    <w:p w14:paraId="1262B10C" w14:textId="0201EB57" w:rsidR="00712508" w:rsidRPr="002059EF" w:rsidRDefault="00712508" w:rsidP="00677F60">
      <w:pPr>
        <w:pStyle w:val="NoSpacing"/>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Investigation Report</w:t>
      </w:r>
      <w:r w:rsidRPr="002059EF">
        <w:rPr>
          <w:rFonts w:cs="Arial"/>
          <w:sz w:val="18"/>
          <w:szCs w:val="18"/>
          <w:lang w:val="en-AU"/>
        </w:rPr>
        <w:t xml:space="preserve"> (Investigation, </w:t>
      </w:r>
      <w:r>
        <w:rPr>
          <w:rFonts w:cs="Arial"/>
          <w:sz w:val="18"/>
          <w:szCs w:val="18"/>
          <w:lang w:val="en-AU"/>
        </w:rPr>
        <w:t xml:space="preserve">ACMA </w:t>
      </w:r>
      <w:r w:rsidRPr="002059EF">
        <w:rPr>
          <w:rFonts w:cs="Arial"/>
          <w:sz w:val="18"/>
          <w:szCs w:val="18"/>
          <w:lang w:val="en-AU"/>
        </w:rPr>
        <w:t>2022/121) &lt;https://www.acma.gov.au/sites/default/files/2022-06/SpinTel%20Pty%20Ltd%20-%20Investigation%20Report%20-%20June%202022.pdf&gt;.</w:t>
      </w:r>
    </w:p>
  </w:footnote>
  <w:footnote w:id="201">
    <w:p w14:paraId="6F2EE54C" w14:textId="77777777" w:rsidR="00712508" w:rsidRPr="002059EF" w:rsidRDefault="00712508" w:rsidP="00677F60">
      <w:pPr>
        <w:pStyle w:val="NoSpacing"/>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Direction under subsection 121 (1) of the Telecommunications Act 1997</w:t>
      </w:r>
      <w:r w:rsidRPr="002059EF">
        <w:rPr>
          <w:rFonts w:cs="Arial"/>
          <w:sz w:val="18"/>
          <w:szCs w:val="18"/>
          <w:lang w:val="en-AU"/>
        </w:rPr>
        <w:t xml:space="preserve"> (15 June 2022) &lt;https://www.acma.gov.au/sites/default/files/2022-06/SpinTel%20Pty%20Ltd%20Direction%20-%20June%202022.pdf&gt;.</w:t>
      </w:r>
    </w:p>
  </w:footnote>
  <w:footnote w:id="202">
    <w:p w14:paraId="751F8530" w14:textId="19CE6B73" w:rsidR="00712508" w:rsidRPr="002059EF" w:rsidRDefault="00712508" w:rsidP="00677F60">
      <w:pPr>
        <w:pStyle w:val="NoSpacing"/>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Investigation Report</w:t>
      </w:r>
      <w:r w:rsidRPr="002059EF">
        <w:rPr>
          <w:rFonts w:cs="Arial"/>
          <w:sz w:val="18"/>
          <w:szCs w:val="18"/>
          <w:lang w:val="en-AU"/>
        </w:rPr>
        <w:t xml:space="preserve"> (Investigation, ACMA2021/561) &lt;https://www.acma.gov.au/sites/default/files/2022-03/Optus%20Investigation%20report.PDF&gt;.</w:t>
      </w:r>
    </w:p>
  </w:footnote>
  <w:footnote w:id="203">
    <w:p w14:paraId="55456C4F" w14:textId="77777777" w:rsidR="00712508" w:rsidRPr="002059EF" w:rsidRDefault="00712508" w:rsidP="00677F60">
      <w:pPr>
        <w:pStyle w:val="NoSpacing"/>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Direction in relation to subsections 14(2), 14(3) and 15(1) of the Telecommunications Service Provider (NBN Service Migration) Determination 2018</w:t>
      </w:r>
      <w:r w:rsidRPr="002059EF">
        <w:rPr>
          <w:rFonts w:cs="Arial"/>
          <w:sz w:val="18"/>
          <w:szCs w:val="18"/>
          <w:lang w:val="en-AU"/>
        </w:rPr>
        <w:t xml:space="preserve"> (11 March 2022) &lt;https://www.acma.gov.au/sites/default/files/2022-03/Optus%20Remedial%20direction.PDF&gt;.</w:t>
      </w:r>
    </w:p>
  </w:footnote>
  <w:footnote w:id="204">
    <w:p w14:paraId="635905DD" w14:textId="690B65C5" w:rsidR="00712508" w:rsidRPr="002059EF" w:rsidRDefault="00712508" w:rsidP="00677F60">
      <w:pPr>
        <w:pStyle w:val="NoSpacing"/>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section A of Chapter 3, above.</w:t>
      </w:r>
    </w:p>
  </w:footnote>
  <w:footnote w:id="205">
    <w:p w14:paraId="6942D017" w14:textId="77777777" w:rsidR="00712508" w:rsidRPr="002059EF" w:rsidRDefault="00712508" w:rsidP="00677F60">
      <w:pPr>
        <w:pStyle w:val="NoSpacing"/>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Investigation Report</w:t>
      </w:r>
      <w:r w:rsidRPr="002059EF">
        <w:rPr>
          <w:rFonts w:cs="Arial"/>
          <w:sz w:val="18"/>
          <w:szCs w:val="18"/>
          <w:lang w:val="en-AU"/>
        </w:rPr>
        <w:t xml:space="preserve"> (Investigation, 24 February 2022)  &lt;https://www.acma.gov.au/sites/default/files/2022-06/Investigation%20Report%20-%20Lycamobile_Redacted.pdf&gt;.</w:t>
      </w:r>
    </w:p>
  </w:footnote>
  <w:footnote w:id="206">
    <w:p w14:paraId="4335F645" w14:textId="77777777" w:rsidR="00712508" w:rsidRPr="002059EF" w:rsidRDefault="00712508" w:rsidP="00677F60">
      <w:pPr>
        <w:pStyle w:val="NoSpacing"/>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Infringement Notice</w:t>
      </w:r>
      <w:r w:rsidRPr="002059EF">
        <w:rPr>
          <w:rFonts w:cs="Arial"/>
          <w:sz w:val="18"/>
          <w:szCs w:val="18"/>
          <w:lang w:val="en-AU"/>
        </w:rPr>
        <w:t xml:space="preserve"> (13 May 2022) &lt;https://www.acma.gov.au/sites/default/files/2022-06/Infringement%20notice%20-%20Direction%20to%20comply%20with%20IPND%20Code%20contraventions_Redacted.pdf&gt;.</w:t>
      </w:r>
    </w:p>
  </w:footnote>
  <w:footnote w:id="207">
    <w:p w14:paraId="08358ED6" w14:textId="77777777" w:rsidR="00712508" w:rsidRPr="002059EF" w:rsidRDefault="00712508" w:rsidP="00677F60">
      <w:pPr>
        <w:pStyle w:val="NoSpacing"/>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Infringement Notice</w:t>
      </w:r>
      <w:r w:rsidRPr="002059EF">
        <w:rPr>
          <w:rFonts w:cs="Arial"/>
          <w:sz w:val="18"/>
          <w:szCs w:val="18"/>
          <w:lang w:val="en-AU"/>
        </w:rPr>
        <w:t xml:space="preserve"> (13 May 2022) &lt;https://www.acma.gov.au/sites/default/files/2022-06/Infringement%20Notice%20-%20remedial%20direction%20contraventions_Redacted.pdf&gt;.</w:t>
      </w:r>
    </w:p>
  </w:footnote>
  <w:footnote w:id="208">
    <w:p w14:paraId="09B54C16" w14:textId="2ADFB014" w:rsidR="00712508" w:rsidRPr="002059EF" w:rsidRDefault="00712508" w:rsidP="003122A0">
      <w:pPr>
        <w:pStyle w:val="NoSpacing"/>
        <w:jc w:val="both"/>
        <w:rPr>
          <w:rFonts w:cs="Arial"/>
          <w:b/>
          <w:bCs/>
          <w:sz w:val="18"/>
          <w:szCs w:val="18"/>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sz w:val="18"/>
          <w:szCs w:val="18"/>
        </w:rPr>
        <w:t xml:space="preserve">Lycamobile Pays $186,480 Penalty for Public Safety Failures’, </w:t>
      </w:r>
      <w:r w:rsidRPr="002059EF">
        <w:rPr>
          <w:rFonts w:cs="Arial"/>
          <w:i/>
          <w:iCs/>
          <w:sz w:val="18"/>
          <w:szCs w:val="18"/>
        </w:rPr>
        <w:t xml:space="preserve">Australian Communications and Media Authority </w:t>
      </w:r>
      <w:r w:rsidRPr="002059EF">
        <w:rPr>
          <w:rFonts w:cs="Arial"/>
          <w:iCs/>
          <w:sz w:val="18"/>
          <w:szCs w:val="18"/>
        </w:rPr>
        <w:t>(Article, 23 June 2022)</w:t>
      </w:r>
      <w:r w:rsidRPr="002059EF">
        <w:rPr>
          <w:rFonts w:cs="Arial"/>
          <w:sz w:val="18"/>
          <w:szCs w:val="18"/>
        </w:rPr>
        <w:t xml:space="preserve"> &lt;</w:t>
      </w:r>
      <w:r w:rsidRPr="002059EF">
        <w:rPr>
          <w:rFonts w:cs="Arial"/>
          <w:sz w:val="18"/>
          <w:szCs w:val="18"/>
          <w:lang w:val="en-AU"/>
        </w:rPr>
        <w:t>https://www.acma.gov.au/articles/2022-06/lycamobile-pays-186480-penalty-public-safety-failures&gt;.</w:t>
      </w:r>
    </w:p>
  </w:footnote>
  <w:footnote w:id="209">
    <w:p w14:paraId="0B349F25" w14:textId="519901A6"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This is set out in the ACMA’s Compliance and Enforcement Policy – see (n </w:t>
      </w:r>
      <w:r>
        <w:rPr>
          <w:rFonts w:cs="Arial"/>
          <w:sz w:val="18"/>
          <w:szCs w:val="18"/>
          <w:lang w:val="en-AU"/>
        </w:rPr>
        <w:fldChar w:fldCharType="begin"/>
      </w:r>
      <w:r>
        <w:rPr>
          <w:rFonts w:cs="Arial"/>
          <w:sz w:val="18"/>
          <w:szCs w:val="18"/>
          <w:lang w:val="en-AU"/>
        </w:rPr>
        <w:instrText xml:space="preserve"> NOTEREF _Ref137556912 \h </w:instrText>
      </w:r>
      <w:r>
        <w:rPr>
          <w:rFonts w:cs="Arial"/>
          <w:sz w:val="18"/>
          <w:szCs w:val="18"/>
          <w:lang w:val="en-AU"/>
        </w:rPr>
      </w:r>
      <w:r>
        <w:rPr>
          <w:rFonts w:cs="Arial"/>
          <w:sz w:val="18"/>
          <w:szCs w:val="18"/>
          <w:lang w:val="en-AU"/>
        </w:rPr>
        <w:fldChar w:fldCharType="separate"/>
      </w:r>
      <w:r w:rsidR="00B02191">
        <w:rPr>
          <w:rFonts w:cs="Arial"/>
          <w:sz w:val="18"/>
          <w:szCs w:val="18"/>
          <w:lang w:val="en-AU"/>
        </w:rPr>
        <w:t>68</w:t>
      </w:r>
      <w:r>
        <w:rPr>
          <w:rFonts w:cs="Arial"/>
          <w:sz w:val="18"/>
          <w:szCs w:val="18"/>
          <w:lang w:val="en-AU"/>
        </w:rPr>
        <w:fldChar w:fldCharType="end"/>
      </w:r>
      <w:r w:rsidRPr="002059EF">
        <w:rPr>
          <w:rFonts w:cs="Arial"/>
          <w:sz w:val="18"/>
          <w:szCs w:val="18"/>
          <w:lang w:val="en-AU"/>
        </w:rPr>
        <w:t>) and the discussion above in Chapter 3, section A.</w:t>
      </w:r>
    </w:p>
  </w:footnote>
  <w:footnote w:id="210">
    <w:p w14:paraId="6739F06D" w14:textId="4DD9AE95"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003E32D1">
        <w:rPr>
          <w:rFonts w:cs="Arial"/>
          <w:sz w:val="18"/>
          <w:szCs w:val="18"/>
        </w:rPr>
        <w:t xml:space="preserve">ACMA (n </w:t>
      </w:r>
      <w:r w:rsidR="003E32D1">
        <w:rPr>
          <w:rFonts w:cs="Arial"/>
          <w:sz w:val="18"/>
          <w:szCs w:val="18"/>
        </w:rPr>
        <w:fldChar w:fldCharType="begin"/>
      </w:r>
      <w:r w:rsidR="003E32D1">
        <w:rPr>
          <w:rFonts w:cs="Arial"/>
          <w:sz w:val="18"/>
          <w:szCs w:val="18"/>
        </w:rPr>
        <w:instrText xml:space="preserve"> NOTEREF _Ref162002099 \h </w:instrText>
      </w:r>
      <w:r w:rsidR="003E32D1">
        <w:rPr>
          <w:rFonts w:cs="Arial"/>
          <w:sz w:val="18"/>
          <w:szCs w:val="18"/>
        </w:rPr>
      </w:r>
      <w:r w:rsidR="003E32D1">
        <w:rPr>
          <w:rFonts w:cs="Arial"/>
          <w:sz w:val="18"/>
          <w:szCs w:val="18"/>
        </w:rPr>
        <w:fldChar w:fldCharType="separate"/>
      </w:r>
      <w:r w:rsidR="003E32D1">
        <w:rPr>
          <w:rFonts w:cs="Arial"/>
          <w:sz w:val="18"/>
          <w:szCs w:val="18"/>
        </w:rPr>
        <w:t>207</w:t>
      </w:r>
      <w:r w:rsidR="003E32D1">
        <w:rPr>
          <w:rFonts w:cs="Arial"/>
          <w:sz w:val="18"/>
          <w:szCs w:val="18"/>
        </w:rPr>
        <w:fldChar w:fldCharType="end"/>
      </w:r>
      <w:r w:rsidR="003E32D1">
        <w:rPr>
          <w:rFonts w:cs="Arial"/>
          <w:sz w:val="18"/>
          <w:szCs w:val="18"/>
        </w:rPr>
        <w:t>).</w:t>
      </w:r>
    </w:p>
  </w:footnote>
  <w:footnote w:id="211">
    <w:p w14:paraId="7CC9F5ED" w14:textId="2C6D4782"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[2013] FCA 38.</w:t>
      </w:r>
    </w:p>
  </w:footnote>
  <w:footnote w:id="212">
    <w:p w14:paraId="2AFEFDD5" w14:textId="77777777" w:rsidR="00712508" w:rsidRPr="002059EF" w:rsidRDefault="00712508" w:rsidP="00986145">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[2014] FCA 382.</w:t>
      </w:r>
    </w:p>
  </w:footnote>
  <w:footnote w:id="213">
    <w:p w14:paraId="5E1E5879" w14:textId="27E8CB6C"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The maximum penalty for each contravention of the ECS Determination is $250,000. See Tel Act s 570(3)(b).</w:t>
      </w:r>
    </w:p>
  </w:footnote>
  <w:footnote w:id="214">
    <w:p w14:paraId="135CB0EB" w14:textId="5767166E" w:rsidR="00712508" w:rsidRPr="002059EF" w:rsidRDefault="00712508" w:rsidP="00986145">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This is set out in the ACMA’s Compliance and Enforcement Policy – see (n </w:t>
      </w:r>
      <w:r>
        <w:rPr>
          <w:rFonts w:cs="Arial"/>
          <w:sz w:val="18"/>
          <w:szCs w:val="18"/>
          <w:lang w:val="en-AU"/>
        </w:rPr>
        <w:fldChar w:fldCharType="begin"/>
      </w:r>
      <w:r>
        <w:rPr>
          <w:rFonts w:cs="Arial"/>
          <w:sz w:val="18"/>
          <w:szCs w:val="18"/>
          <w:lang w:val="en-AU"/>
        </w:rPr>
        <w:instrText xml:space="preserve"> NOTEREF _Ref137556912 \h </w:instrText>
      </w:r>
      <w:r>
        <w:rPr>
          <w:rFonts w:cs="Arial"/>
          <w:sz w:val="18"/>
          <w:szCs w:val="18"/>
          <w:lang w:val="en-AU"/>
        </w:rPr>
      </w:r>
      <w:r>
        <w:rPr>
          <w:rFonts w:cs="Arial"/>
          <w:sz w:val="18"/>
          <w:szCs w:val="18"/>
          <w:lang w:val="en-AU"/>
        </w:rPr>
        <w:fldChar w:fldCharType="separate"/>
      </w:r>
      <w:r w:rsidR="00B02191">
        <w:rPr>
          <w:rFonts w:cs="Arial"/>
          <w:sz w:val="18"/>
          <w:szCs w:val="18"/>
          <w:lang w:val="en-AU"/>
        </w:rPr>
        <w:t>68</w:t>
      </w:r>
      <w:r>
        <w:rPr>
          <w:rFonts w:cs="Arial"/>
          <w:sz w:val="18"/>
          <w:szCs w:val="18"/>
          <w:lang w:val="en-AU"/>
        </w:rPr>
        <w:fldChar w:fldCharType="end"/>
      </w:r>
      <w:r w:rsidRPr="002059EF">
        <w:rPr>
          <w:rFonts w:cs="Arial"/>
          <w:sz w:val="18"/>
          <w:szCs w:val="18"/>
          <w:lang w:val="en-AU"/>
        </w:rPr>
        <w:t>) and the discussion above in Chapter 3, section A.</w:t>
      </w:r>
    </w:p>
  </w:footnote>
  <w:footnote w:id="215">
    <w:p w14:paraId="6AEC7ABC"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[2022] FCA 795.</w:t>
      </w:r>
    </w:p>
  </w:footnote>
  <w:footnote w:id="216">
    <w:p w14:paraId="0D2D5F08"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[142].</w:t>
      </w:r>
    </w:p>
  </w:footnote>
  <w:footnote w:id="217">
    <w:p w14:paraId="11BBE598" w14:textId="42F0CAA4"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Further, as noted above, multiple enforcement actions can stem from a single investigation (eg, a direction to comply with a code of practice and an enforceable undertaking given in relation to a related breach of a service provider rule), meaning that the total number of providers that are the subject of publicised investigations is not the same as the total number of providers that were the subject of enforcement action.</w:t>
      </w:r>
    </w:p>
  </w:footnote>
  <w:footnote w:id="218">
    <w:p w14:paraId="5518E02C" w14:textId="4389B6E6"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The chart and the corresponding list below include eleven companies as some were the subject of the same number of actions. As noted in section D above, we use the term ‘provider’ to refer to companies including subsidiaries and associated companies investigated by the ACMA that essentially use the same name in the market. Accordingly, in Figure 1</w:t>
      </w:r>
      <w:r>
        <w:rPr>
          <w:rFonts w:cs="Arial"/>
          <w:sz w:val="18"/>
          <w:szCs w:val="18"/>
        </w:rPr>
        <w:t>7</w:t>
      </w:r>
      <w:r w:rsidRPr="002059EF">
        <w:rPr>
          <w:rFonts w:cs="Arial"/>
          <w:sz w:val="18"/>
          <w:szCs w:val="18"/>
        </w:rPr>
        <w:t xml:space="preserve"> and throughout this chapter: references to Telstra are to Telstra Corporation Ltd; reference to Optus include Optus Internet Pty Ltd, Optus Mobile Pty Ltd, Optus Networks Pty Ltd and Singtel Optus Pty Ltd; references to Vodafone include Vodafone Australia Pty Ltd, Vodafone Hutchison Australia Pty Ltd, Vodafone Network Pty Ltd and Vodafone Pty Ltd and Vodafone Network Pty Ltd; and references to TPG include TPG Telecom Limited and TPG Internet Limited.</w:t>
      </w:r>
    </w:p>
  </w:footnote>
  <w:footnote w:id="219">
    <w:p w14:paraId="772D0F6E" w14:textId="077B0E32" w:rsidR="00712508" w:rsidRPr="002059EF" w:rsidRDefault="00712508" w:rsidP="00323D80">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‘Investigation Report and Direction to Comply: TPG Telecom Limited (Vodafone) – July 2023’, </w:t>
      </w:r>
      <w:r w:rsidRPr="002059EF">
        <w:rPr>
          <w:rFonts w:cs="Arial"/>
          <w:i/>
          <w:sz w:val="18"/>
          <w:szCs w:val="18"/>
        </w:rPr>
        <w:t>Australian Communications and Media Authority</w:t>
      </w:r>
      <w:r w:rsidRPr="002059EF">
        <w:rPr>
          <w:rFonts w:cs="Arial"/>
          <w:iCs/>
          <w:sz w:val="18"/>
          <w:szCs w:val="18"/>
        </w:rPr>
        <w:t xml:space="preserve"> (Web Page, 26 July 2023)</w:t>
      </w:r>
    </w:p>
    <w:p w14:paraId="4C5B0734" w14:textId="0AB760EF" w:rsidR="00712508" w:rsidRPr="002059EF" w:rsidRDefault="00712508">
      <w:pPr>
        <w:pStyle w:val="FootnoteText"/>
        <w:rPr>
          <w:rFonts w:cs="Arial"/>
          <w:sz w:val="18"/>
          <w:szCs w:val="18"/>
        </w:rPr>
      </w:pPr>
      <w:r w:rsidRPr="002059EF">
        <w:rPr>
          <w:rFonts w:cs="Arial"/>
          <w:sz w:val="18"/>
          <w:szCs w:val="18"/>
        </w:rPr>
        <w:t>&lt;https://www.acma.gov.au/publications/2023-07/report/investigation-report-and-direction-comply-tpg-telecom-limited-vodafone-july-2023&gt;. The report lists the carriage service provider as ‘TPG Telecom Limited (in connection with Vodafone brand)</w:t>
      </w:r>
      <w:r>
        <w:rPr>
          <w:rFonts w:cs="Arial"/>
          <w:sz w:val="18"/>
          <w:szCs w:val="18"/>
        </w:rPr>
        <w:t>’</w:t>
      </w:r>
      <w:r w:rsidRPr="002059EF">
        <w:rPr>
          <w:rFonts w:cs="Arial"/>
          <w:sz w:val="18"/>
          <w:szCs w:val="18"/>
        </w:rPr>
        <w:t>.</w:t>
      </w:r>
    </w:p>
  </w:footnote>
  <w:footnote w:id="220">
    <w:p w14:paraId="7714EBC8" w14:textId="78317ADA" w:rsidR="00712508" w:rsidRPr="002059EF" w:rsidRDefault="00712508">
      <w:pPr>
        <w:pStyle w:val="FootnoteText"/>
        <w:rPr>
          <w:rFonts w:cs="Arial"/>
          <w:b/>
          <w:bCs/>
          <w:sz w:val="18"/>
          <w:szCs w:val="18"/>
        </w:rPr>
      </w:pPr>
      <w:r w:rsidRPr="002059EF">
        <w:rPr>
          <w:rStyle w:val="FootnoteReference"/>
          <w:rFonts w:cs="Arial"/>
          <w:sz w:val="18"/>
          <w:szCs w:val="18"/>
        </w:rPr>
        <w:footnoteRef/>
      </w:r>
      <w:r w:rsidRPr="002059EF">
        <w:rPr>
          <w:rFonts w:cs="Arial"/>
          <w:sz w:val="18"/>
          <w:szCs w:val="18"/>
        </w:rPr>
        <w:t xml:space="preserve"> ‘Investigation Report and Enforceable Undertaking: TPG Telecom Limited – December 2022’, </w:t>
      </w:r>
      <w:r w:rsidRPr="002059EF">
        <w:rPr>
          <w:rFonts w:cs="Arial"/>
          <w:i/>
          <w:sz w:val="18"/>
          <w:szCs w:val="18"/>
        </w:rPr>
        <w:t>Australian Communications and Media Authority</w:t>
      </w:r>
      <w:r w:rsidRPr="002059EF">
        <w:rPr>
          <w:rFonts w:cs="Arial"/>
          <w:iCs/>
          <w:sz w:val="18"/>
          <w:szCs w:val="18"/>
        </w:rPr>
        <w:t xml:space="preserve"> (Web Page, 26 July 2023) </w:t>
      </w:r>
      <w:r w:rsidRPr="002059EF">
        <w:rPr>
          <w:rFonts w:cs="Arial"/>
          <w:sz w:val="18"/>
          <w:szCs w:val="18"/>
        </w:rPr>
        <w:t>&lt;https://www.acma.gov.au/publications/2022-12/report/investigation-report-and-enforceable-undertaking-tpg-telecom-limited-december-2022&gt;. The report lists the carriage service provider as ‘TPG Telecom Limited (trading as Lebara Australia, Lebara Mobile and Lebara) (CAN: 096 304 620)’.</w:t>
      </w:r>
    </w:p>
  </w:footnote>
  <w:footnote w:id="221">
    <w:p w14:paraId="63C90E6C" w14:textId="01CFDB09" w:rsidR="00712508" w:rsidRPr="002059EF" w:rsidRDefault="00712508" w:rsidP="00AD26FC">
      <w:pPr>
        <w:pStyle w:val="NoSpacing"/>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The numbers in parentheses reflect the total number of enforcement actions in that year.</w:t>
      </w:r>
      <w:r>
        <w:rPr>
          <w:rFonts w:cs="Arial"/>
          <w:sz w:val="18"/>
          <w:szCs w:val="18"/>
          <w:lang w:val="en-AU"/>
        </w:rPr>
        <w:t xml:space="preserve"> The same applies to the equivalent numbers in each of these provider summaries below.</w:t>
      </w:r>
    </w:p>
  </w:footnote>
  <w:footnote w:id="222">
    <w:p w14:paraId="7637A212" w14:textId="62C0E966"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cs="Arial"/>
          <w:sz w:val="18"/>
          <w:szCs w:val="18"/>
          <w:lang w:eastAsia="en-AU"/>
        </w:rPr>
        <w:t xml:space="preserve">This list and equivalent lists in the remaining </w:t>
      </w:r>
      <w:r>
        <w:rPr>
          <w:rFonts w:cs="Arial"/>
          <w:sz w:val="18"/>
          <w:szCs w:val="18"/>
          <w:lang w:eastAsia="en-AU"/>
        </w:rPr>
        <w:t>‘t</w:t>
      </w:r>
      <w:r w:rsidRPr="002059EF">
        <w:rPr>
          <w:rFonts w:cs="Arial"/>
          <w:sz w:val="18"/>
          <w:szCs w:val="18"/>
          <w:lang w:eastAsia="en-AU"/>
        </w:rPr>
        <w:t>op 10</w:t>
      </w:r>
      <w:r>
        <w:rPr>
          <w:rFonts w:cs="Arial"/>
          <w:sz w:val="18"/>
          <w:szCs w:val="18"/>
          <w:lang w:eastAsia="en-AU"/>
        </w:rPr>
        <w:t>’</w:t>
      </w:r>
      <w:r w:rsidRPr="002059EF">
        <w:rPr>
          <w:rFonts w:cs="Arial"/>
          <w:sz w:val="18"/>
          <w:szCs w:val="18"/>
          <w:lang w:eastAsia="en-AU"/>
        </w:rPr>
        <w:t xml:space="preserve"> providers section exclude consequential breaches of the Tel Act (eg, a breach of s 101(1) of the Tel Act for failure to comply with a service provider rule). Note: the arrangements for priority assistance now </w:t>
      </w:r>
      <w:r w:rsidRPr="002059EF">
        <w:rPr>
          <w:rFonts w:cs="Arial"/>
          <w:sz w:val="18"/>
          <w:szCs w:val="18"/>
        </w:rPr>
        <w:t>apply to Telstra Limited because of s 63A of the Tel Act.</w:t>
      </w:r>
    </w:p>
  </w:footnote>
  <w:footnote w:id="223">
    <w:p w14:paraId="333B242B" w14:textId="3AD7F7CC" w:rsidR="00712508" w:rsidRPr="002059EF" w:rsidRDefault="00712508" w:rsidP="00AD26FC">
      <w:pPr>
        <w:pStyle w:val="NoSpacing"/>
        <w:rPr>
          <w:rFonts w:cs="Arial"/>
          <w:b/>
          <w:bCs/>
          <w:sz w:val="18"/>
          <w:szCs w:val="18"/>
        </w:rPr>
      </w:pPr>
      <w:r w:rsidRPr="002059EF">
        <w:rPr>
          <w:rStyle w:val="FootnoteReference"/>
          <w:rFonts w:cs="Arial"/>
          <w:sz w:val="18"/>
          <w:szCs w:val="18"/>
          <w:lang w:val="en-AU"/>
        </w:rPr>
        <w:footnoteRef/>
      </w:r>
      <w:r w:rsidRPr="002059EF">
        <w:rPr>
          <w:rFonts w:cs="Arial"/>
          <w:sz w:val="18"/>
          <w:szCs w:val="18"/>
          <w:lang w:val="en-AU"/>
        </w:rPr>
        <w:t xml:space="preserve"> ‘</w:t>
      </w:r>
      <w:r w:rsidRPr="002059EF">
        <w:rPr>
          <w:rFonts w:cs="Arial"/>
          <w:sz w:val="18"/>
          <w:szCs w:val="18"/>
        </w:rPr>
        <w:t>Telstra Pays $2.5 Million Penalty for Customer Privacy and Public Safety Failures</w:t>
      </w:r>
      <w:r w:rsidRPr="002059EF">
        <w:rPr>
          <w:rFonts w:cs="Arial"/>
          <w:sz w:val="18"/>
          <w:szCs w:val="18"/>
          <w:lang w:val="en-AU"/>
        </w:rPr>
        <w:t xml:space="preserve">’, </w:t>
      </w:r>
      <w:r w:rsidRPr="002059EF">
        <w:rPr>
          <w:rFonts w:cs="Arial"/>
          <w:i/>
          <w:sz w:val="18"/>
          <w:szCs w:val="18"/>
          <w:lang w:val="en-AU"/>
        </w:rPr>
        <w:t>Australian Communications and Media Authority</w:t>
      </w:r>
      <w:r w:rsidRPr="002059EF">
        <w:rPr>
          <w:rFonts w:cs="Arial"/>
          <w:iCs/>
          <w:sz w:val="18"/>
          <w:szCs w:val="18"/>
          <w:lang w:val="en-AU"/>
        </w:rPr>
        <w:t xml:space="preserve"> (Article, 16 December 2021)</w:t>
      </w:r>
      <w:r w:rsidRPr="002059EF">
        <w:rPr>
          <w:rFonts w:cs="Arial"/>
          <w:sz w:val="18"/>
          <w:szCs w:val="18"/>
          <w:lang w:val="en-AU"/>
        </w:rPr>
        <w:t xml:space="preserve"> &lt;https://www.acma.gov.au/articles/2021-12/telstra-pays-25-million-penalty-customer-privacy-and-public-safety-failures&gt;.</w:t>
      </w:r>
    </w:p>
  </w:footnote>
  <w:footnote w:id="224">
    <w:p w14:paraId="4812A43D" w14:textId="780989D4" w:rsidR="00712508" w:rsidRPr="002059EF" w:rsidRDefault="00712508" w:rsidP="006E6A74">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Pr>
          <w:rFonts w:cs="Arial"/>
          <w:sz w:val="18"/>
          <w:szCs w:val="18"/>
        </w:rPr>
        <w:t>See ACMA</w:t>
      </w:r>
      <w:r w:rsidRPr="002059EF">
        <w:rPr>
          <w:rFonts w:cs="Arial"/>
          <w:sz w:val="18"/>
          <w:szCs w:val="18"/>
        </w:rPr>
        <w:t xml:space="preserve"> </w:t>
      </w:r>
      <w:r>
        <w:rPr>
          <w:rFonts w:cs="Arial"/>
          <w:sz w:val="18"/>
          <w:szCs w:val="18"/>
        </w:rPr>
        <w:t>(</w:t>
      </w:r>
      <w:r w:rsidRPr="002059EF">
        <w:rPr>
          <w:rFonts w:cs="Arial"/>
          <w:sz w:val="18"/>
          <w:szCs w:val="18"/>
        </w:rPr>
        <w:t xml:space="preserve">n </w:t>
      </w:r>
      <w:r>
        <w:rPr>
          <w:rFonts w:cs="Arial"/>
          <w:sz w:val="18"/>
          <w:szCs w:val="18"/>
        </w:rPr>
        <w:fldChar w:fldCharType="begin"/>
      </w:r>
      <w:r>
        <w:rPr>
          <w:rFonts w:cs="Arial"/>
          <w:sz w:val="18"/>
          <w:szCs w:val="18"/>
        </w:rPr>
        <w:instrText xml:space="preserve"> NOTEREF _Ref161680057 \h </w:instrText>
      </w:r>
      <w:r>
        <w:rPr>
          <w:rFonts w:cs="Arial"/>
          <w:sz w:val="18"/>
          <w:szCs w:val="18"/>
        </w:rPr>
      </w:r>
      <w:r>
        <w:rPr>
          <w:rFonts w:cs="Arial"/>
          <w:sz w:val="18"/>
          <w:szCs w:val="18"/>
        </w:rPr>
        <w:fldChar w:fldCharType="separate"/>
      </w:r>
      <w:r w:rsidR="00B02191">
        <w:rPr>
          <w:rFonts w:cs="Arial"/>
          <w:sz w:val="18"/>
          <w:szCs w:val="18"/>
        </w:rPr>
        <w:t>218</w:t>
      </w:r>
      <w:r>
        <w:rPr>
          <w:rFonts w:cs="Arial"/>
          <w:sz w:val="18"/>
          <w:szCs w:val="18"/>
        </w:rPr>
        <w:fldChar w:fldCharType="end"/>
      </w:r>
      <w:r>
        <w:rPr>
          <w:rFonts w:cs="Arial"/>
          <w:sz w:val="18"/>
          <w:szCs w:val="18"/>
        </w:rPr>
        <w:t>).</w:t>
      </w:r>
      <w:r w:rsidRPr="002059EF">
        <w:rPr>
          <w:rFonts w:cs="Arial"/>
          <w:sz w:val="18"/>
          <w:szCs w:val="18"/>
        </w:rPr>
        <w:t xml:space="preserve"> </w:t>
      </w:r>
    </w:p>
    <w:p w14:paraId="7CD6C220" w14:textId="5C2B68A9" w:rsidR="00712508" w:rsidRPr="002059EF" w:rsidRDefault="00712508" w:rsidP="004D13CB">
      <w:pPr>
        <w:pStyle w:val="FootnoteText"/>
        <w:rPr>
          <w:rFonts w:cs="Arial"/>
          <w:sz w:val="18"/>
          <w:szCs w:val="18"/>
        </w:rPr>
      </w:pPr>
    </w:p>
  </w:footnote>
  <w:footnote w:id="225">
    <w:p w14:paraId="4C9CDE41" w14:textId="7EBFACC3"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According to the ACMA’s online list of investigations into telecommunications providers, the infringement notice was given for failure to provide compliance statements to CommCom pursuant to TCP Code Chapter 9. We were unable to find any further information on this enforcement action. As infringement notices cannot be given for code of practice breaches alone, this infringement notice is most likely related to a breach of a previous direction to comply with these TCP provisions.</w:t>
      </w:r>
    </w:p>
  </w:footnote>
  <w:footnote w:id="226">
    <w:p w14:paraId="4FBF94D3" w14:textId="64146823"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Lebara is also in the group of companies acquired during the period (it was acquired by Vodafone in September 2016: see </w:t>
      </w:r>
      <w:r w:rsidRPr="002059EF">
        <w:rPr>
          <w:rFonts w:eastAsia="Arial" w:cs="Arial"/>
          <w:color w:val="000000" w:themeColor="text1"/>
          <w:sz w:val="18"/>
          <w:szCs w:val="18"/>
        </w:rPr>
        <w:t xml:space="preserve">‘Our History’, </w:t>
      </w:r>
      <w:r w:rsidRPr="002059EF">
        <w:rPr>
          <w:rFonts w:eastAsia="Arial" w:cs="Arial"/>
          <w:i/>
          <w:iCs/>
          <w:color w:val="000000" w:themeColor="text1"/>
          <w:sz w:val="18"/>
          <w:szCs w:val="18"/>
        </w:rPr>
        <w:t>iiNet</w:t>
      </w:r>
      <w:r w:rsidRPr="002059EF">
        <w:rPr>
          <w:rFonts w:eastAsia="Arial" w:cs="Arial"/>
          <w:color w:val="000000" w:themeColor="text1"/>
          <w:sz w:val="18"/>
          <w:szCs w:val="18"/>
        </w:rPr>
        <w:t xml:space="preserve"> (Web Page) &lt;https://www.iinet.net.au/about-us/history&gt;) but enforcement actions taken against it occurred before the acquisition by Vodafone and after the merger of Vodafone and TPG.</w:t>
      </w:r>
    </w:p>
  </w:footnote>
  <w:footnote w:id="227">
    <w:p w14:paraId="71813C63" w14:textId="197FD2EC" w:rsidR="00712508" w:rsidRPr="002059EF" w:rsidRDefault="00712508" w:rsidP="0071353D">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eastAsia="Arial" w:cs="Arial"/>
          <w:color w:val="000000" w:themeColor="text1"/>
          <w:sz w:val="18"/>
          <w:szCs w:val="18"/>
        </w:rPr>
        <w:t xml:space="preserve">See, eg, ‘Telco Giant Formed After Soul Merges with TPG’, </w:t>
      </w:r>
      <w:r w:rsidRPr="002059EF">
        <w:rPr>
          <w:rFonts w:eastAsia="Arial" w:cs="Arial"/>
          <w:color w:val="000000" w:themeColor="text1"/>
          <w:sz w:val="18"/>
          <w:szCs w:val="18"/>
        </w:rPr>
        <w:t>iTNews (8 February 2008) &lt;https://www.itnews.com.au/news/telco-giant-formed-after-soul-merges-with-tpg-102956&gt;.</w:t>
      </w:r>
    </w:p>
  </w:footnote>
  <w:footnote w:id="228">
    <w:p w14:paraId="1ED56042" w14:textId="39006513" w:rsidR="00712508" w:rsidRPr="002059EF" w:rsidRDefault="00712508" w:rsidP="00436C4C">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eastAsia="Arial" w:cs="Arial"/>
          <w:color w:val="000000" w:themeColor="text1"/>
          <w:sz w:val="18"/>
          <w:szCs w:val="18"/>
        </w:rPr>
        <w:t>TPG, ‘TPG Telecom Announces Acquisition of AAPT’ (Media Release, 9 December 2013) &lt;https://www.tpg.com.au/about/pdfs/TPG_Telecom_Announces_Acquisition_of_AAPT.PDF&gt;.</w:t>
      </w:r>
    </w:p>
  </w:footnote>
  <w:footnote w:id="229">
    <w:p w14:paraId="6251DE61" w14:textId="6B0AB81F" w:rsidR="00712508" w:rsidRPr="002059EF" w:rsidRDefault="00712508" w:rsidP="00874E97">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eastAsia="Arial" w:cs="Arial"/>
          <w:sz w:val="18"/>
          <w:szCs w:val="18"/>
        </w:rPr>
        <w:t xml:space="preserve">ACMA, </w:t>
      </w:r>
      <w:r w:rsidRPr="002059EF">
        <w:rPr>
          <w:rFonts w:eastAsia="Arial" w:cs="Arial"/>
          <w:i/>
          <w:iCs/>
          <w:sz w:val="18"/>
          <w:szCs w:val="18"/>
        </w:rPr>
        <w:t>Communications Report 2015-16</w:t>
      </w:r>
      <w:r w:rsidRPr="002059EF">
        <w:rPr>
          <w:rFonts w:eastAsia="Arial" w:cs="Arial"/>
          <w:sz w:val="18"/>
          <w:szCs w:val="18"/>
        </w:rPr>
        <w:t xml:space="preserve"> 35.</w:t>
      </w:r>
    </w:p>
  </w:footnote>
  <w:footnote w:id="230">
    <w:p w14:paraId="290FDE16" w14:textId="30B86549"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eastAsia="Arial" w:cs="Arial"/>
          <w:sz w:val="18"/>
          <w:szCs w:val="18"/>
        </w:rPr>
        <w:t xml:space="preserve">ACMA, </w:t>
      </w:r>
      <w:r w:rsidRPr="002059EF">
        <w:rPr>
          <w:rFonts w:eastAsia="Arial" w:cs="Arial"/>
          <w:i/>
          <w:iCs/>
          <w:sz w:val="18"/>
          <w:szCs w:val="18"/>
        </w:rPr>
        <w:t>Communications Report 2010-11</w:t>
      </w:r>
      <w:r w:rsidRPr="002059EF">
        <w:rPr>
          <w:rFonts w:eastAsia="Arial" w:cs="Arial"/>
          <w:sz w:val="18"/>
          <w:szCs w:val="18"/>
        </w:rPr>
        <w:t xml:space="preserve"> 97.</w:t>
      </w:r>
    </w:p>
  </w:footnote>
  <w:footnote w:id="231">
    <w:p w14:paraId="73E14EC7" w14:textId="219C6CDC"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eastAsia="Arial" w:cs="Arial"/>
          <w:sz w:val="18"/>
          <w:szCs w:val="18"/>
        </w:rPr>
        <w:t xml:space="preserve">ACMA, </w:t>
      </w:r>
      <w:r w:rsidRPr="002059EF">
        <w:rPr>
          <w:rFonts w:eastAsia="Arial" w:cs="Arial"/>
          <w:i/>
          <w:iCs/>
          <w:sz w:val="18"/>
          <w:szCs w:val="18"/>
        </w:rPr>
        <w:t>Communications Report 2010-11</w:t>
      </w:r>
      <w:r w:rsidRPr="002059EF">
        <w:rPr>
          <w:rFonts w:eastAsia="Arial" w:cs="Arial"/>
          <w:sz w:val="18"/>
          <w:szCs w:val="18"/>
        </w:rPr>
        <w:t xml:space="preserve"> 97.</w:t>
      </w:r>
    </w:p>
  </w:footnote>
  <w:footnote w:id="232">
    <w:p w14:paraId="169E203D" w14:textId="354F0D01"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eastAsia="Arial" w:cs="Arial"/>
          <w:sz w:val="18"/>
          <w:szCs w:val="18"/>
        </w:rPr>
        <w:t xml:space="preserve">iiNet, </w:t>
      </w:r>
      <w:r w:rsidRPr="002059EF">
        <w:rPr>
          <w:rFonts w:eastAsia="Arial" w:cs="Arial"/>
          <w:i/>
          <w:iCs/>
          <w:sz w:val="18"/>
          <w:szCs w:val="18"/>
        </w:rPr>
        <w:t>Our History</w:t>
      </w:r>
      <w:r w:rsidRPr="002059EF">
        <w:rPr>
          <w:rFonts w:eastAsia="Arial" w:cs="Arial"/>
          <w:sz w:val="18"/>
          <w:szCs w:val="18"/>
        </w:rPr>
        <w:t xml:space="preserve"> &lt;https://www.iinet.net.au/about-us/history&gt;.</w:t>
      </w:r>
    </w:p>
  </w:footnote>
  <w:footnote w:id="233">
    <w:p w14:paraId="0F8416C1" w14:textId="5F32635D"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eastAsia="Arial" w:cs="Arial"/>
          <w:color w:val="000000" w:themeColor="text1"/>
          <w:sz w:val="18"/>
          <w:szCs w:val="18"/>
        </w:rPr>
        <w:t xml:space="preserve">‘Our History’, </w:t>
      </w:r>
      <w:r w:rsidRPr="002059EF">
        <w:rPr>
          <w:rFonts w:eastAsia="Arial" w:cs="Arial"/>
          <w:i/>
          <w:color w:val="000000" w:themeColor="text1"/>
          <w:sz w:val="18"/>
          <w:szCs w:val="18"/>
        </w:rPr>
        <w:t>iiNet</w:t>
      </w:r>
      <w:r w:rsidRPr="002059EF">
        <w:rPr>
          <w:rFonts w:eastAsia="Arial" w:cs="Arial"/>
          <w:color w:val="000000" w:themeColor="text1"/>
          <w:sz w:val="18"/>
          <w:szCs w:val="18"/>
        </w:rPr>
        <w:t xml:space="preserve"> (Web Page) &lt;https://www.iinet.net.au/about-us/history&gt;.</w:t>
      </w:r>
    </w:p>
  </w:footnote>
  <w:footnote w:id="234">
    <w:p w14:paraId="04290E0A" w14:textId="1458A2C5"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Pr>
          <w:rFonts w:eastAsia="Arial" w:cs="Arial"/>
          <w:color w:val="000000" w:themeColor="text1"/>
          <w:sz w:val="18"/>
          <w:szCs w:val="18"/>
        </w:rPr>
        <w:t>Ibid</w:t>
      </w:r>
      <w:r w:rsidRPr="002059EF">
        <w:rPr>
          <w:rFonts w:eastAsia="Arial" w:cs="Arial"/>
          <w:color w:val="000000" w:themeColor="text1"/>
          <w:sz w:val="18"/>
          <w:szCs w:val="18"/>
        </w:rPr>
        <w:t>.</w:t>
      </w:r>
    </w:p>
  </w:footnote>
  <w:footnote w:id="235">
    <w:p w14:paraId="232E05A4" w14:textId="51B6C63D"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eastAsia="Arial" w:cs="Arial"/>
          <w:color w:val="000000" w:themeColor="text1"/>
          <w:sz w:val="18"/>
          <w:szCs w:val="18"/>
        </w:rPr>
        <w:t xml:space="preserve">About Westnet’, </w:t>
      </w:r>
      <w:r w:rsidRPr="002059EF">
        <w:rPr>
          <w:rFonts w:eastAsia="Arial" w:cs="Arial"/>
          <w:i/>
          <w:color w:val="000000" w:themeColor="text1"/>
          <w:sz w:val="18"/>
          <w:szCs w:val="18"/>
        </w:rPr>
        <w:t>Westnet</w:t>
      </w:r>
      <w:r w:rsidRPr="002059EF">
        <w:rPr>
          <w:rFonts w:eastAsia="Arial" w:cs="Arial"/>
          <w:color w:val="000000" w:themeColor="text1"/>
          <w:sz w:val="18"/>
          <w:szCs w:val="18"/>
        </w:rPr>
        <w:t xml:space="preserve"> (Web Page) &lt;https://www.westnet.com.au/about/&gt;.</w:t>
      </w:r>
    </w:p>
  </w:footnote>
  <w:footnote w:id="236">
    <w:p w14:paraId="41DD701D" w14:textId="33BE9B16"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cs="Arial"/>
          <w:sz w:val="18"/>
          <w:szCs w:val="18"/>
          <w:lang w:eastAsia="en-AU"/>
        </w:rPr>
        <w:t>This requirement came into effect from March 2013. It was in Chapter 9 of the 2012 version of the TCP Code which became Chapter 10 in the 2019 version.</w:t>
      </w:r>
    </w:p>
  </w:footnote>
  <w:footnote w:id="237">
    <w:p w14:paraId="078CAFE7" w14:textId="6FC4AF39"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cs="Arial"/>
          <w:sz w:val="18"/>
          <w:szCs w:val="18"/>
          <w:lang w:eastAsia="en-AU"/>
        </w:rPr>
        <w:t>This is required by Tel Act sch 2, cl 10 and Industry Code (C555) Integrated Public Number Database.</w:t>
      </w:r>
    </w:p>
  </w:footnote>
  <w:footnote w:id="238">
    <w:p w14:paraId="7C58B45E" w14:textId="3BF40E6A"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cs="Arial"/>
          <w:sz w:val="18"/>
          <w:szCs w:val="18"/>
          <w:lang w:eastAsia="en-AU"/>
        </w:rPr>
        <w:t>See cls 4.2.1, 4.2.11 and 4.2.25.</w:t>
      </w:r>
    </w:p>
  </w:footnote>
  <w:footnote w:id="239">
    <w:p w14:paraId="0370B54E" w14:textId="2CF3FBD3"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cs="Arial"/>
          <w:sz w:val="18"/>
          <w:szCs w:val="18"/>
          <w:lang w:eastAsia="en-AU"/>
        </w:rPr>
        <w:t>See s 128(1) of the Tel Act and the Telecommunications (Consumer Complaints Handling) Industry Standard 2018. Before the standard was introduced, complaints handling rules were found in Chapter 9 (until 2012) and then Chapter 8 (until 2019) of the TCP Code.</w:t>
      </w:r>
    </w:p>
  </w:footnote>
  <w:footnote w:id="240">
    <w:p w14:paraId="09101BA9" w14:textId="6717F548"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cs="Arial"/>
          <w:sz w:val="18"/>
          <w:szCs w:val="18"/>
          <w:lang w:eastAsia="en-AU"/>
        </w:rPr>
        <w:t>These provisions are found in cls 4.1 to 4.4 of the current 2019 version of the TCP Code. In previous versions, at least cls 4.1 and 4.2 dealt with advertising and the provision of information.</w:t>
      </w:r>
    </w:p>
  </w:footnote>
  <w:footnote w:id="241">
    <w:p w14:paraId="2147098E" w14:textId="407B720C"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cs="Arial"/>
          <w:sz w:val="18"/>
          <w:szCs w:val="18"/>
          <w:lang w:eastAsia="en-AU"/>
        </w:rPr>
        <w:t>See ss 128 and 132 of the TCPSS Act. Note that under cl 1 of Schedule 2 of the Tel Act, compliance with the requirements of the TCPSS Act is a service provider rule.</w:t>
      </w:r>
    </w:p>
  </w:footnote>
  <w:footnote w:id="242">
    <w:p w14:paraId="5143DD1F" w14:textId="3C5A98E1"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See, eg, Australian Communications and Media Authority, </w:t>
      </w:r>
      <w:r w:rsidRPr="002059EF">
        <w:rPr>
          <w:rFonts w:cs="Arial"/>
          <w:i/>
          <w:sz w:val="18"/>
          <w:szCs w:val="18"/>
          <w:lang w:val="en-AU"/>
        </w:rPr>
        <w:t xml:space="preserve">Annual Report 2013-2014 </w:t>
      </w:r>
      <w:r w:rsidRPr="002059EF">
        <w:rPr>
          <w:rFonts w:cs="Arial"/>
          <w:iCs/>
          <w:sz w:val="18"/>
          <w:szCs w:val="18"/>
          <w:lang w:val="en-AU"/>
        </w:rPr>
        <w:t xml:space="preserve">(Report, 30 September 2014) 80, </w:t>
      </w:r>
      <w:r w:rsidRPr="002059EF">
        <w:rPr>
          <w:rFonts w:cs="Arial"/>
          <w:sz w:val="18"/>
          <w:szCs w:val="18"/>
          <w:lang w:val="en-AU"/>
        </w:rPr>
        <w:t>Table 26.</w:t>
      </w:r>
    </w:p>
  </w:footnote>
  <w:footnote w:id="243">
    <w:p w14:paraId="32E831AB" w14:textId="3FBDFC75"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Style w:val="normaltextrun"/>
          <w:rFonts w:eastAsia="Arial" w:cs="Arial"/>
          <w:sz w:val="18"/>
          <w:szCs w:val="18"/>
        </w:rPr>
        <w:t>At</w:t>
      </w:r>
      <w:r w:rsidRPr="002059EF">
        <w:rPr>
          <w:rFonts w:cs="Arial"/>
          <w:sz w:val="18"/>
          <w:szCs w:val="18"/>
        </w:rPr>
        <w:t xml:space="preserve"> the time of writing the TCP Code has not yet been amended to remove and/or reflect any consequential changes to the chapter dealing with financial hardship rules required because of the ACMA’s decision to adopt the Telecommunications (Financial Hardship) Industry Standard 2024. This is likely to change on 29 March 2024, when the standard commences.</w:t>
      </w:r>
    </w:p>
  </w:footnote>
  <w:footnote w:id="244">
    <w:p w14:paraId="1A857D2C" w14:textId="6D43F028"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cs="Arial"/>
          <w:sz w:val="18"/>
          <w:szCs w:val="18"/>
          <w:lang w:eastAsia="en-AU"/>
        </w:rPr>
        <w:t>See ss 128 and 132 of the TCPSS Act. Note that under cl 1 of Schedule 2 of the Tel Act, compliance with the requirements of the TCPSS Act is a service provider rule.</w:t>
      </w:r>
    </w:p>
  </w:footnote>
  <w:footnote w:id="245">
    <w:p w14:paraId="68616AFE" w14:textId="410944FC"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For example, clauses 4.2.1 and 4.2.25 of the IPND Code; </w:t>
      </w:r>
      <w:r w:rsidRPr="002059EF">
        <w:rPr>
          <w:rStyle w:val="normaltextrun"/>
          <w:rFonts w:eastAsia="Arial" w:cs="Arial"/>
          <w:sz w:val="18"/>
          <w:szCs w:val="18"/>
        </w:rPr>
        <w:t>Tel Act sch 2 cl 10(2).</w:t>
      </w:r>
    </w:p>
  </w:footnote>
  <w:footnote w:id="246">
    <w:p w14:paraId="6FC7A9B7" w14:textId="218F486D"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Style w:val="normaltextrun"/>
          <w:rFonts w:eastAsia="Arial" w:cs="Arial"/>
          <w:sz w:val="18"/>
          <w:szCs w:val="18"/>
        </w:rPr>
        <w:t>Tel Act Schedule 2 para 19(2).</w:t>
      </w:r>
    </w:p>
  </w:footnote>
  <w:footnote w:id="247">
    <w:p w14:paraId="6F471303" w14:textId="1C614453"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n </w:t>
      </w:r>
      <w:r>
        <w:rPr>
          <w:rFonts w:cs="Arial"/>
          <w:sz w:val="18"/>
          <w:szCs w:val="18"/>
        </w:rPr>
        <w:fldChar w:fldCharType="begin"/>
      </w:r>
      <w:r>
        <w:rPr>
          <w:rFonts w:cs="Arial"/>
          <w:sz w:val="18"/>
          <w:szCs w:val="18"/>
        </w:rPr>
        <w:instrText xml:space="preserve"> NOTEREF _Ref161680270 \h </w:instrText>
      </w:r>
      <w:r>
        <w:rPr>
          <w:rFonts w:cs="Arial"/>
          <w:sz w:val="18"/>
          <w:szCs w:val="18"/>
        </w:rPr>
      </w:r>
      <w:r>
        <w:rPr>
          <w:rFonts w:cs="Arial"/>
          <w:sz w:val="18"/>
          <w:szCs w:val="18"/>
        </w:rPr>
        <w:fldChar w:fldCharType="separate"/>
      </w:r>
      <w:r w:rsidR="00B02191">
        <w:rPr>
          <w:rFonts w:cs="Arial"/>
          <w:sz w:val="18"/>
          <w:szCs w:val="18"/>
        </w:rPr>
        <w:t>242</w:t>
      </w:r>
      <w:r>
        <w:rPr>
          <w:rFonts w:cs="Arial"/>
          <w:sz w:val="18"/>
          <w:szCs w:val="18"/>
        </w:rPr>
        <w:fldChar w:fldCharType="end"/>
      </w:r>
      <w:r w:rsidRPr="002059EF">
        <w:rPr>
          <w:rFonts w:cs="Arial"/>
          <w:sz w:val="18"/>
          <w:szCs w:val="18"/>
        </w:rPr>
        <w:t>.</w:t>
      </w:r>
    </w:p>
  </w:footnote>
  <w:footnote w:id="248">
    <w:p w14:paraId="19E83D10" w14:textId="711C8FD1"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Communications Alliance, </w:t>
      </w:r>
      <w:r w:rsidRPr="002059EF">
        <w:rPr>
          <w:rFonts w:cs="Arial"/>
          <w:i/>
          <w:iCs/>
          <w:sz w:val="18"/>
          <w:szCs w:val="18"/>
        </w:rPr>
        <w:t>Integrated Public Number Database (IPND) Industry Code</w:t>
      </w:r>
      <w:r w:rsidRPr="002059EF">
        <w:rPr>
          <w:rFonts w:cs="Arial"/>
          <w:sz w:val="18"/>
          <w:szCs w:val="18"/>
        </w:rPr>
        <w:t xml:space="preserve"> (at March 2020) cls </w:t>
      </w:r>
      <w:r w:rsidRPr="002059EF">
        <w:rPr>
          <w:rStyle w:val="normaltextrun"/>
          <w:rFonts w:cs="Arial"/>
          <w:sz w:val="18"/>
          <w:szCs w:val="18"/>
        </w:rPr>
        <w:t>4.2.1, 4.2.11, 4.2.16, 4.2.25, 5.1.11.</w:t>
      </w:r>
    </w:p>
  </w:footnote>
  <w:footnote w:id="249">
    <w:p w14:paraId="6D443993" w14:textId="1DDA0A0A"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Communications Alliance, </w:t>
      </w:r>
      <w:r w:rsidRPr="002059EF">
        <w:rPr>
          <w:rFonts w:cs="Arial"/>
          <w:i/>
          <w:iCs/>
          <w:sz w:val="18"/>
          <w:szCs w:val="18"/>
        </w:rPr>
        <w:t>Local Number Portability</w:t>
      </w:r>
      <w:r w:rsidRPr="002059EF">
        <w:rPr>
          <w:rFonts w:cs="Arial"/>
          <w:i/>
          <w:sz w:val="18"/>
          <w:szCs w:val="18"/>
        </w:rPr>
        <w:t xml:space="preserve"> </w:t>
      </w:r>
      <w:r w:rsidRPr="002059EF">
        <w:rPr>
          <w:rFonts w:cs="Arial"/>
          <w:i/>
          <w:iCs/>
          <w:sz w:val="18"/>
          <w:szCs w:val="18"/>
        </w:rPr>
        <w:t>Code</w:t>
      </w:r>
      <w:r w:rsidRPr="002059EF">
        <w:rPr>
          <w:rFonts w:cs="Arial"/>
          <w:sz w:val="18"/>
          <w:szCs w:val="18"/>
        </w:rPr>
        <w:t xml:space="preserve"> (at May 2023) cls</w:t>
      </w:r>
      <w:r w:rsidRPr="002059EF">
        <w:rPr>
          <w:rStyle w:val="normaltextrun"/>
          <w:rFonts w:cs="Arial"/>
          <w:sz w:val="18"/>
          <w:szCs w:val="18"/>
        </w:rPr>
        <w:t xml:space="preserve"> 4.3.9, 4.4.6, 7.1.4, 7.1.7.</w:t>
      </w:r>
    </w:p>
  </w:footnote>
  <w:footnote w:id="250">
    <w:p w14:paraId="07DD9DB0" w14:textId="20093B83"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Style w:val="normaltextrun"/>
          <w:rFonts w:eastAsia="Arial" w:cs="Arial"/>
          <w:sz w:val="18"/>
          <w:szCs w:val="18"/>
        </w:rPr>
        <w:t>Tel Act sch 2 cl 10(2).</w:t>
      </w:r>
    </w:p>
  </w:footnote>
  <w:footnote w:id="251">
    <w:p w14:paraId="50EF6FC0" w14:textId="0C4E6BC3"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Style w:val="normaltextrun"/>
          <w:rFonts w:eastAsia="Arial" w:cs="Arial"/>
          <w:sz w:val="18"/>
          <w:szCs w:val="18"/>
        </w:rPr>
        <w:t>TCPSS Act ss 128 and 132.</w:t>
      </w:r>
    </w:p>
  </w:footnote>
  <w:footnote w:id="252">
    <w:p w14:paraId="1826D19C" w14:textId="405F9EDE" w:rsidR="00712508" w:rsidRPr="002059EF" w:rsidRDefault="00712508" w:rsidP="000A74D0">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The ten other service providers were: </w:t>
      </w:r>
      <w:r w:rsidRPr="002059EF">
        <w:rPr>
          <w:rFonts w:cs="Arial"/>
          <w:sz w:val="18"/>
          <w:szCs w:val="18"/>
        </w:rPr>
        <w:t>iTalkBB, Australian Private Networks (trading as active8me), Netfast, Business Service Brokers (trading as TeleChoice), Simply NBN, David John Esmonde, Flip TV, Exceed Connect, MyNetFone, and Mate Communicate.</w:t>
      </w:r>
    </w:p>
  </w:footnote>
  <w:footnote w:id="253">
    <w:p w14:paraId="5384D874" w14:textId="432004F9"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Fonts w:eastAsia="Arial" w:cs="Arial"/>
          <w:sz w:val="18"/>
          <w:szCs w:val="18"/>
        </w:rPr>
        <w:t>572G Tel Act; Telecommunications (Infringement Notice Penalties) Determination 2012.</w:t>
      </w:r>
    </w:p>
  </w:footnote>
  <w:footnote w:id="254">
    <w:p w14:paraId="6AA9DE1E" w14:textId="331EAE0C"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On the regulatory policy of not imposing undue financial and administrative burdens on industry participants, see Chapter 3, section A.</w:t>
      </w:r>
    </w:p>
  </w:footnote>
  <w:footnote w:id="255">
    <w:p w14:paraId="14408543" w14:textId="7938BFAE"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Style w:val="eop"/>
          <w:rFonts w:eastAsia="Arial" w:cs="Arial"/>
          <w:i/>
          <w:iCs/>
          <w:color w:val="000000" w:themeColor="text1"/>
          <w:sz w:val="18"/>
          <w:szCs w:val="18"/>
        </w:rPr>
        <w:t>Australian Communications and Media Authority v Bytecard Pty Ltd</w:t>
      </w:r>
      <w:r w:rsidRPr="002059EF">
        <w:rPr>
          <w:rStyle w:val="eop"/>
          <w:rFonts w:eastAsia="Arial" w:cs="Arial"/>
          <w:color w:val="000000" w:themeColor="text1"/>
          <w:sz w:val="18"/>
          <w:szCs w:val="18"/>
        </w:rPr>
        <w:t xml:space="preserve"> [2013] FCA 38.</w:t>
      </w:r>
    </w:p>
  </w:footnote>
  <w:footnote w:id="256">
    <w:p w14:paraId="26887DF4" w14:textId="7BA95749"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Ibid. See para 72.</w:t>
      </w:r>
    </w:p>
  </w:footnote>
  <w:footnote w:id="257">
    <w:p w14:paraId="5191D9CE" w14:textId="76DDE232"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See ‘Investigations into Telco Providers 2010-2016’ (&lt;https://www.acma.gov.au/investigations-telco-providers-2010-2016&gt;) for the page on the current the ACMA website and ‘</w:t>
      </w:r>
      <w:r w:rsidRPr="002059EF">
        <w:rPr>
          <w:rFonts w:cs="Arial"/>
          <w:sz w:val="18"/>
          <w:szCs w:val="18"/>
        </w:rPr>
        <w:t>Telecomms investigation reports’ (&lt;https://web.archive.org/web/20160229032612/http:/acma.gov.au/theACMA/ACMAi/Investigation-reports/Telco-investigations/acma-telecommunications-investigation-reports) for the page archived by the WayBack Machine on 29 February 2016.  Both pages were accessed on 15 February 2024.</w:t>
      </w:r>
    </w:p>
  </w:footnote>
  <w:footnote w:id="258">
    <w:p w14:paraId="730CC003" w14:textId="700BF84F" w:rsidR="00712508" w:rsidRPr="002059EF" w:rsidRDefault="00712508" w:rsidP="007D5D25">
      <w:pPr>
        <w:pStyle w:val="FootnoteText"/>
        <w:jc w:val="left"/>
        <w:rPr>
          <w:rFonts w:cs="Arial"/>
          <w:sz w:val="18"/>
          <w:szCs w:val="18"/>
        </w:rPr>
      </w:pPr>
      <w:r w:rsidRPr="002059EF">
        <w:rPr>
          <w:rStyle w:val="FootnoteReference"/>
          <w:rFonts w:cs="Arial"/>
          <w:sz w:val="18"/>
          <w:szCs w:val="18"/>
        </w:rPr>
        <w:footnoteRef/>
      </w:r>
      <w:r w:rsidRPr="002059EF">
        <w:rPr>
          <w:rFonts w:cs="Arial"/>
          <w:sz w:val="18"/>
          <w:szCs w:val="18"/>
        </w:rPr>
        <w:t xml:space="preserve"> See the ACMA, </w:t>
      </w:r>
      <w:r w:rsidRPr="002059EF">
        <w:rPr>
          <w:rFonts w:cs="Arial"/>
          <w:i/>
          <w:iCs/>
          <w:sz w:val="18"/>
          <w:szCs w:val="18"/>
        </w:rPr>
        <w:t>Regulatory Guide No. 6: Publication of Investigations and Enforcement Actions</w:t>
      </w:r>
      <w:r w:rsidRPr="002059EF">
        <w:rPr>
          <w:rFonts w:cs="Arial"/>
          <w:sz w:val="18"/>
          <w:szCs w:val="18"/>
        </w:rPr>
        <w:t xml:space="preserve"> (Updated February 2023) &lt;https://www.acma.gov.au/publications/2019-12/guide/regulatory-guide-no-6-publication-investigations-and-enforcement-actions&gt;. See also &lt;https://www.acma.gov.au/investigations-telco-providers&gt;. For example, entries of prior approval of temporary beaches of the statutory media control rules in the </w:t>
      </w:r>
      <w:r w:rsidRPr="002059EF">
        <w:rPr>
          <w:rFonts w:cs="Arial"/>
          <w:i/>
          <w:iCs/>
          <w:sz w:val="18"/>
          <w:szCs w:val="18"/>
        </w:rPr>
        <w:t>Broadcasting Services Act 1992</w:t>
      </w:r>
      <w:r w:rsidRPr="002059EF">
        <w:rPr>
          <w:rFonts w:cs="Arial"/>
          <w:sz w:val="18"/>
          <w:szCs w:val="18"/>
        </w:rPr>
        <w:t xml:space="preserve"> (Cth) must be entered into the register that the ACMA is required to maintain under s 75 of that Act, but in order to protect commercially sensitive information, under s 75(2) the ACMA is instructed not to enter an approval give under s 67 until the transaction or agreement has taken place or been entered into.</w:t>
      </w:r>
    </w:p>
  </w:footnote>
  <w:footnote w:id="259">
    <w:p w14:paraId="675CD296" w14:textId="2D26E0FD"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Style w:val="normaltextrun"/>
          <w:rFonts w:cs="Arial"/>
          <w:color w:val="242424"/>
          <w:sz w:val="18"/>
          <w:szCs w:val="18"/>
        </w:rPr>
        <w:t xml:space="preserve">See ‘Investigations </w:t>
      </w:r>
      <w:r>
        <w:rPr>
          <w:rStyle w:val="normaltextrun"/>
          <w:rFonts w:cs="Arial"/>
          <w:color w:val="242424"/>
          <w:sz w:val="18"/>
          <w:szCs w:val="18"/>
        </w:rPr>
        <w:t>I</w:t>
      </w:r>
      <w:r w:rsidRPr="002059EF">
        <w:rPr>
          <w:rStyle w:val="normaltextrun"/>
          <w:rFonts w:cs="Arial"/>
          <w:color w:val="242424"/>
          <w:sz w:val="18"/>
          <w:szCs w:val="18"/>
        </w:rPr>
        <w:t>nto Telco Providers’ &lt;</w:t>
      </w:r>
      <w:r w:rsidRPr="002059EF">
        <w:rPr>
          <w:rFonts w:cs="Arial"/>
          <w:sz w:val="18"/>
          <w:szCs w:val="18"/>
        </w:rPr>
        <w:t>https://www.acma.gov.au/investigations-telco-providers</w:t>
      </w:r>
      <w:r w:rsidRPr="002059EF">
        <w:rPr>
          <w:rStyle w:val="normaltextrun"/>
          <w:rFonts w:cs="Arial"/>
          <w:color w:val="242424"/>
          <w:sz w:val="18"/>
          <w:szCs w:val="18"/>
        </w:rPr>
        <w:t>&gt;. Note that this page now contains additional information published in 2023 and 2024.</w:t>
      </w:r>
    </w:p>
  </w:footnote>
  <w:footnote w:id="260">
    <w:p w14:paraId="24817886" w14:textId="605817F4"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w:t>
      </w:r>
      <w:r w:rsidRPr="002059EF">
        <w:rPr>
          <w:rStyle w:val="normaltextrun"/>
          <w:rFonts w:cs="Arial"/>
          <w:color w:val="242424"/>
          <w:sz w:val="18"/>
          <w:szCs w:val="18"/>
        </w:rPr>
        <w:t>‘</w:t>
      </w:r>
      <w:r w:rsidRPr="00F7211C">
        <w:rPr>
          <w:rStyle w:val="normaltextrun"/>
          <w:rFonts w:cs="Arial"/>
          <w:color w:val="242424"/>
          <w:sz w:val="18"/>
          <w:szCs w:val="18"/>
        </w:rPr>
        <w:t xml:space="preserve">Investigations </w:t>
      </w:r>
      <w:r>
        <w:rPr>
          <w:rStyle w:val="normaltextrun"/>
          <w:rFonts w:cs="Arial"/>
          <w:color w:val="242424"/>
          <w:sz w:val="18"/>
          <w:szCs w:val="18"/>
        </w:rPr>
        <w:t>I</w:t>
      </w:r>
      <w:r w:rsidRPr="00F7211C">
        <w:rPr>
          <w:rStyle w:val="normaltextrun"/>
          <w:rFonts w:cs="Arial"/>
          <w:color w:val="242424"/>
          <w:sz w:val="18"/>
          <w:szCs w:val="18"/>
        </w:rPr>
        <w:t xml:space="preserve">nto </w:t>
      </w:r>
      <w:r>
        <w:rPr>
          <w:rStyle w:val="normaltextrun"/>
          <w:rFonts w:cs="Arial"/>
          <w:color w:val="242424"/>
          <w:sz w:val="18"/>
          <w:szCs w:val="18"/>
        </w:rPr>
        <w:t>T</w:t>
      </w:r>
      <w:r w:rsidRPr="00F7211C">
        <w:rPr>
          <w:rStyle w:val="normaltextrun"/>
          <w:rFonts w:cs="Arial"/>
          <w:color w:val="242424"/>
          <w:sz w:val="18"/>
          <w:szCs w:val="18"/>
        </w:rPr>
        <w:t xml:space="preserve">elco </w:t>
      </w:r>
      <w:r>
        <w:rPr>
          <w:rStyle w:val="normaltextrun"/>
          <w:rFonts w:cs="Arial"/>
          <w:color w:val="242424"/>
          <w:sz w:val="18"/>
          <w:szCs w:val="18"/>
        </w:rPr>
        <w:t>P</w:t>
      </w:r>
      <w:r w:rsidRPr="00F7211C">
        <w:rPr>
          <w:rStyle w:val="normaltextrun"/>
          <w:rFonts w:cs="Arial"/>
          <w:color w:val="242424"/>
          <w:sz w:val="18"/>
          <w:szCs w:val="18"/>
        </w:rPr>
        <w:t>roviders 2010-2016</w:t>
      </w:r>
      <w:r>
        <w:rPr>
          <w:rStyle w:val="normaltextrun"/>
          <w:rFonts w:cs="Arial"/>
          <w:color w:val="242424"/>
          <w:sz w:val="18"/>
          <w:szCs w:val="18"/>
        </w:rPr>
        <w:t xml:space="preserve">’ </w:t>
      </w:r>
      <w:r w:rsidRPr="002059EF">
        <w:rPr>
          <w:rStyle w:val="normaltextrun"/>
          <w:rFonts w:cs="Arial"/>
          <w:color w:val="242424"/>
          <w:sz w:val="18"/>
          <w:szCs w:val="18"/>
        </w:rPr>
        <w:t>&lt;</w:t>
      </w:r>
      <w:r w:rsidRPr="006A6D19">
        <w:rPr>
          <w:rFonts w:cs="Arial"/>
          <w:sz w:val="18"/>
          <w:szCs w:val="18"/>
        </w:rPr>
        <w:t>https://www.acma.gov.au/investigations-telco-providers-2010-2016</w:t>
      </w:r>
      <w:r w:rsidRPr="002059EF">
        <w:rPr>
          <w:rFonts w:cs="Arial"/>
          <w:sz w:val="18"/>
          <w:szCs w:val="18"/>
        </w:rPr>
        <w:t>&gt;</w:t>
      </w:r>
      <w:r w:rsidRPr="002059EF">
        <w:rPr>
          <w:rStyle w:val="normaltextrun"/>
          <w:rFonts w:cs="Arial"/>
          <w:color w:val="242424"/>
          <w:sz w:val="18"/>
          <w:szCs w:val="18"/>
        </w:rPr>
        <w:t>.</w:t>
      </w:r>
    </w:p>
  </w:footnote>
  <w:footnote w:id="261">
    <w:p w14:paraId="377E2F80"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Annual Report 2009-10</w:t>
      </w:r>
      <w:r w:rsidRPr="002059EF">
        <w:rPr>
          <w:rFonts w:cs="Arial"/>
          <w:sz w:val="18"/>
          <w:szCs w:val="18"/>
          <w:lang w:val="en-AU"/>
        </w:rPr>
        <w:t xml:space="preserve"> (Report, 30 September 2010) 19. </w:t>
      </w:r>
    </w:p>
  </w:footnote>
  <w:footnote w:id="262">
    <w:p w14:paraId="7EF1103F"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86. </w:t>
      </w:r>
    </w:p>
  </w:footnote>
  <w:footnote w:id="263">
    <w:p w14:paraId="01093D6C"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112. </w:t>
      </w:r>
    </w:p>
  </w:footnote>
  <w:footnote w:id="264">
    <w:p w14:paraId="6BCD5778" w14:textId="7CC80709"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Ibid 125.</w:t>
      </w:r>
    </w:p>
  </w:footnote>
  <w:footnote w:id="265">
    <w:p w14:paraId="3CD30021" w14:textId="40BF1154"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Australian Communications and Media Authority, </w:t>
      </w:r>
      <w:r w:rsidRPr="002059EF">
        <w:rPr>
          <w:rFonts w:cs="Arial"/>
          <w:i/>
          <w:iCs/>
          <w:sz w:val="18"/>
          <w:szCs w:val="18"/>
        </w:rPr>
        <w:t>Annual Report 2010-11</w:t>
      </w:r>
      <w:r w:rsidRPr="002059EF">
        <w:rPr>
          <w:rFonts w:cs="Arial"/>
          <w:sz w:val="18"/>
          <w:szCs w:val="18"/>
        </w:rPr>
        <w:t xml:space="preserve"> (Report, 30 September 2011) 12.</w:t>
      </w:r>
    </w:p>
  </w:footnote>
  <w:footnote w:id="266">
    <w:p w14:paraId="27A9EBA9" w14:textId="6114406E"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Ibid 20.</w:t>
      </w:r>
    </w:p>
  </w:footnote>
  <w:footnote w:id="267">
    <w:p w14:paraId="41A44E5E" w14:textId="7193434A"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Ibid 21.</w:t>
      </w:r>
    </w:p>
  </w:footnote>
  <w:footnote w:id="268">
    <w:p w14:paraId="4D2044E4"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r w:rsidRPr="002059EF" w:rsidDel="00607BC5">
        <w:rPr>
          <w:rFonts w:cs="Arial"/>
          <w:sz w:val="18"/>
          <w:szCs w:val="18"/>
          <w:lang w:val="en-AU"/>
        </w:rPr>
        <w:t xml:space="preserve"> </w:t>
      </w:r>
      <w:r w:rsidRPr="002059EF">
        <w:rPr>
          <w:rFonts w:cs="Arial"/>
          <w:sz w:val="18"/>
          <w:szCs w:val="18"/>
          <w:lang w:val="en-AU"/>
        </w:rPr>
        <w:t xml:space="preserve">93. </w:t>
      </w:r>
    </w:p>
  </w:footnote>
  <w:footnote w:id="269">
    <w:p w14:paraId="69FFC0C2"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r w:rsidRPr="002059EF" w:rsidDel="00607BC5">
        <w:rPr>
          <w:rFonts w:cs="Arial"/>
          <w:sz w:val="18"/>
          <w:szCs w:val="18"/>
          <w:lang w:val="en-AU"/>
        </w:rPr>
        <w:t xml:space="preserve"> </w:t>
      </w:r>
      <w:r w:rsidRPr="002059EF">
        <w:rPr>
          <w:rFonts w:cs="Arial"/>
          <w:sz w:val="18"/>
          <w:szCs w:val="18"/>
          <w:lang w:val="en-AU"/>
        </w:rPr>
        <w:t>93.</w:t>
      </w:r>
    </w:p>
  </w:footnote>
  <w:footnote w:id="270">
    <w:p w14:paraId="1392BBD4"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r w:rsidRPr="002059EF" w:rsidDel="00607BC5">
        <w:rPr>
          <w:rFonts w:cs="Arial"/>
          <w:sz w:val="18"/>
          <w:szCs w:val="18"/>
          <w:lang w:val="en-AU"/>
        </w:rPr>
        <w:t xml:space="preserve"> </w:t>
      </w:r>
      <w:r w:rsidRPr="002059EF">
        <w:rPr>
          <w:rFonts w:cs="Arial"/>
          <w:sz w:val="18"/>
          <w:szCs w:val="18"/>
          <w:lang w:val="en-AU"/>
        </w:rPr>
        <w:t>93.</w:t>
      </w:r>
    </w:p>
  </w:footnote>
  <w:footnote w:id="271">
    <w:p w14:paraId="7F3C7653"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p>
  </w:footnote>
  <w:footnote w:id="272">
    <w:p w14:paraId="4D9444D7"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p>
  </w:footnote>
  <w:footnote w:id="273">
    <w:p w14:paraId="4C21BB28"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r w:rsidRPr="002059EF" w:rsidDel="00607BC5">
        <w:rPr>
          <w:rFonts w:cs="Arial"/>
          <w:sz w:val="18"/>
          <w:szCs w:val="18"/>
          <w:lang w:val="en-AU"/>
        </w:rPr>
        <w:t xml:space="preserve"> </w:t>
      </w:r>
      <w:r w:rsidRPr="002059EF">
        <w:rPr>
          <w:rFonts w:cs="Arial"/>
          <w:sz w:val="18"/>
          <w:szCs w:val="18"/>
          <w:lang w:val="en-AU"/>
        </w:rPr>
        <w:t xml:space="preserve">94. </w:t>
      </w:r>
    </w:p>
  </w:footnote>
  <w:footnote w:id="274">
    <w:p w14:paraId="76A8B86E" w14:textId="2361A4C3"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Ibid 96.</w:t>
      </w:r>
    </w:p>
  </w:footnote>
  <w:footnote w:id="275">
    <w:p w14:paraId="6D6F11A0"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w:t>
      </w:r>
      <w:r w:rsidRPr="002059EF" w:rsidDel="00627529">
        <w:rPr>
          <w:rFonts w:cs="Arial"/>
          <w:sz w:val="18"/>
          <w:szCs w:val="18"/>
          <w:lang w:val="en-AU"/>
        </w:rPr>
        <w:t xml:space="preserve"> </w:t>
      </w:r>
      <w:r w:rsidRPr="002059EF">
        <w:rPr>
          <w:rFonts w:cs="Arial"/>
          <w:sz w:val="18"/>
          <w:szCs w:val="18"/>
          <w:lang w:val="en-AU"/>
        </w:rPr>
        <w:t>119.</w:t>
      </w:r>
    </w:p>
  </w:footnote>
  <w:footnote w:id="276">
    <w:p w14:paraId="15787117" w14:textId="7ADB066C" w:rsidR="00712508" w:rsidRPr="002059EF" w:rsidRDefault="00712508">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Australian Communications and Media Authority, </w:t>
      </w:r>
      <w:r w:rsidRPr="002059EF">
        <w:rPr>
          <w:rFonts w:cs="Arial"/>
          <w:i/>
          <w:iCs/>
          <w:sz w:val="18"/>
          <w:szCs w:val="18"/>
        </w:rPr>
        <w:t>Annual Report 2011-12</w:t>
      </w:r>
      <w:r w:rsidRPr="002059EF">
        <w:rPr>
          <w:rFonts w:cs="Arial"/>
          <w:sz w:val="18"/>
          <w:szCs w:val="18"/>
        </w:rPr>
        <w:t xml:space="preserve"> (Report, 27 September 2012) 88</w:t>
      </w:r>
    </w:p>
  </w:footnote>
  <w:footnote w:id="277">
    <w:p w14:paraId="0B522223" w14:textId="10DEB09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90. </w:t>
      </w:r>
    </w:p>
  </w:footnote>
  <w:footnote w:id="278">
    <w:p w14:paraId="68F44B84"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w:t>
      </w:r>
    </w:p>
  </w:footnote>
  <w:footnote w:id="279">
    <w:p w14:paraId="7F01E6A2"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91. </w:t>
      </w:r>
    </w:p>
  </w:footnote>
  <w:footnote w:id="280">
    <w:p w14:paraId="06F9D356" w14:textId="047F4B6D"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w:t>
      </w:r>
      <w:r w:rsidRPr="002059EF">
        <w:rPr>
          <w:rFonts w:cs="Arial"/>
          <w:i/>
          <w:iCs/>
          <w:sz w:val="18"/>
          <w:szCs w:val="18"/>
          <w:lang w:val="en-AU"/>
        </w:rPr>
        <w:t>Annual Report 2013-14</w:t>
      </w:r>
      <w:r w:rsidRPr="002059EF">
        <w:rPr>
          <w:rFonts w:cs="Arial"/>
          <w:sz w:val="18"/>
          <w:szCs w:val="18"/>
          <w:lang w:val="en-AU"/>
        </w:rPr>
        <w:t xml:space="preserve"> (Report, 30 September 2013) 80. </w:t>
      </w:r>
    </w:p>
  </w:footnote>
  <w:footnote w:id="281">
    <w:p w14:paraId="392D2EBC"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80–1. </w:t>
      </w:r>
    </w:p>
  </w:footnote>
  <w:footnote w:id="282">
    <w:p w14:paraId="1566A762" w14:textId="4E760E0F"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and Office of the Children’s eSafety Commissioner, </w:t>
      </w:r>
      <w:r w:rsidRPr="002059EF">
        <w:rPr>
          <w:rFonts w:cs="Arial"/>
          <w:i/>
          <w:iCs/>
          <w:sz w:val="18"/>
          <w:szCs w:val="18"/>
          <w:lang w:val="en-AU"/>
        </w:rPr>
        <w:t xml:space="preserve">Annual Reports 2019-2020 </w:t>
      </w:r>
      <w:r w:rsidRPr="002059EF">
        <w:rPr>
          <w:rFonts w:cs="Arial"/>
          <w:sz w:val="18"/>
          <w:szCs w:val="18"/>
          <w:lang w:val="en-AU"/>
        </w:rPr>
        <w:t xml:space="preserve">(Report, 19 September 2020) 74. </w:t>
      </w:r>
    </w:p>
  </w:footnote>
  <w:footnote w:id="283">
    <w:p w14:paraId="1E302036"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and Office of the eSafety Commissioner, </w:t>
      </w:r>
      <w:r w:rsidRPr="002059EF">
        <w:rPr>
          <w:rFonts w:cs="Arial"/>
          <w:i/>
          <w:iCs/>
          <w:sz w:val="18"/>
          <w:szCs w:val="18"/>
          <w:lang w:val="en-AU"/>
        </w:rPr>
        <w:t xml:space="preserve">Annual Reports 2017-18 </w:t>
      </w:r>
      <w:r w:rsidRPr="002059EF">
        <w:rPr>
          <w:rFonts w:cs="Arial"/>
          <w:sz w:val="18"/>
          <w:szCs w:val="18"/>
          <w:lang w:val="en-AU"/>
        </w:rPr>
        <w:t xml:space="preserve">(Report, 18 September 2018) 75. </w:t>
      </w:r>
    </w:p>
  </w:footnote>
  <w:footnote w:id="284">
    <w:p w14:paraId="787814AC" w14:textId="0E5E447D" w:rsidR="00712508" w:rsidRDefault="00712508">
      <w:pPr>
        <w:pStyle w:val="FootnoteText"/>
      </w:pPr>
      <w:r>
        <w:rPr>
          <w:rStyle w:val="FootnoteReference"/>
        </w:rPr>
        <w:footnoteRef/>
      </w:r>
      <w:r>
        <w:t xml:space="preserve"> </w:t>
      </w:r>
      <w:r w:rsidRPr="002059EF">
        <w:rPr>
          <w:rFonts w:cs="Arial"/>
          <w:sz w:val="18"/>
          <w:szCs w:val="18"/>
        </w:rPr>
        <w:t xml:space="preserve">Australian Communications and Media Authority and Office of the eSafety Commissioner, </w:t>
      </w:r>
      <w:r w:rsidRPr="002059EF">
        <w:rPr>
          <w:rFonts w:cs="Arial"/>
          <w:i/>
          <w:iCs/>
          <w:sz w:val="18"/>
          <w:szCs w:val="18"/>
        </w:rPr>
        <w:t xml:space="preserve">Annual Reports 2018-19 </w:t>
      </w:r>
      <w:r w:rsidRPr="002059EF">
        <w:rPr>
          <w:rFonts w:cs="Arial"/>
          <w:sz w:val="18"/>
          <w:szCs w:val="18"/>
        </w:rPr>
        <w:t>(Report, 4 September 2019) 34</w:t>
      </w:r>
      <w:r>
        <w:rPr>
          <w:rFonts w:cs="Arial"/>
          <w:sz w:val="18"/>
          <w:szCs w:val="18"/>
        </w:rPr>
        <w:t>.</w:t>
      </w:r>
    </w:p>
  </w:footnote>
  <w:footnote w:id="285">
    <w:p w14:paraId="20BCF310" w14:textId="0183F33E"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ACMA Annual Report 2019-20 (n </w:t>
      </w:r>
      <w:r>
        <w:rPr>
          <w:rFonts w:cs="Arial"/>
          <w:sz w:val="18"/>
          <w:szCs w:val="18"/>
          <w:lang w:val="en-AU"/>
        </w:rPr>
        <w:fldChar w:fldCharType="begin"/>
      </w:r>
      <w:r>
        <w:rPr>
          <w:rFonts w:cs="Arial"/>
          <w:sz w:val="18"/>
          <w:szCs w:val="18"/>
          <w:lang w:val="en-AU"/>
        </w:rPr>
        <w:instrText xml:space="preserve"> NOTEREF _Ref161680534 \h </w:instrText>
      </w:r>
      <w:r>
        <w:rPr>
          <w:rFonts w:cs="Arial"/>
          <w:sz w:val="18"/>
          <w:szCs w:val="18"/>
          <w:lang w:val="en-AU"/>
        </w:rPr>
      </w:r>
      <w:r>
        <w:rPr>
          <w:rFonts w:cs="Arial"/>
          <w:sz w:val="18"/>
          <w:szCs w:val="18"/>
          <w:lang w:val="en-AU"/>
        </w:rPr>
        <w:fldChar w:fldCharType="separate"/>
      </w:r>
      <w:r w:rsidR="00B02191">
        <w:rPr>
          <w:rFonts w:cs="Arial"/>
          <w:sz w:val="18"/>
          <w:szCs w:val="18"/>
          <w:lang w:val="en-AU"/>
        </w:rPr>
        <w:t>281</w:t>
      </w:r>
      <w:r>
        <w:rPr>
          <w:rFonts w:cs="Arial"/>
          <w:sz w:val="18"/>
          <w:szCs w:val="18"/>
          <w:lang w:val="en-AU"/>
        </w:rPr>
        <w:fldChar w:fldCharType="end"/>
      </w:r>
      <w:r w:rsidRPr="002059EF">
        <w:rPr>
          <w:rFonts w:cs="Arial"/>
          <w:sz w:val="18"/>
          <w:szCs w:val="18"/>
          <w:lang w:val="en-AU"/>
        </w:rPr>
        <w:t>) 38.</w:t>
      </w:r>
    </w:p>
  </w:footnote>
  <w:footnote w:id="286">
    <w:p w14:paraId="0BC57054"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w:t>
      </w:r>
    </w:p>
  </w:footnote>
  <w:footnote w:id="287">
    <w:p w14:paraId="3072ECE1"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39. </w:t>
      </w:r>
    </w:p>
  </w:footnote>
  <w:footnote w:id="288">
    <w:p w14:paraId="43F64D94"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68. </w:t>
      </w:r>
    </w:p>
  </w:footnote>
  <w:footnote w:id="289">
    <w:p w14:paraId="5B0AF870"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and eSafety Commissioner, </w:t>
      </w:r>
      <w:r w:rsidRPr="002059EF">
        <w:rPr>
          <w:rFonts w:cs="Arial"/>
          <w:i/>
          <w:iCs/>
          <w:sz w:val="18"/>
          <w:szCs w:val="18"/>
          <w:lang w:val="en-AU"/>
        </w:rPr>
        <w:t>Annual Report 2020-21</w:t>
      </w:r>
      <w:r w:rsidRPr="002059EF">
        <w:rPr>
          <w:rFonts w:cs="Arial"/>
          <w:sz w:val="18"/>
          <w:szCs w:val="18"/>
          <w:lang w:val="en-AU"/>
        </w:rPr>
        <w:t xml:space="preserve"> (Report, 17 September 2021) 26. </w:t>
      </w:r>
    </w:p>
  </w:footnote>
  <w:footnote w:id="290">
    <w:p w14:paraId="4EE9BA14"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49. </w:t>
      </w:r>
    </w:p>
  </w:footnote>
  <w:footnote w:id="291">
    <w:p w14:paraId="77945F7D"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w:t>
      </w:r>
    </w:p>
  </w:footnote>
  <w:footnote w:id="292">
    <w:p w14:paraId="12203087"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56.</w:t>
      </w:r>
    </w:p>
  </w:footnote>
  <w:footnote w:id="293">
    <w:p w14:paraId="77F27718"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Ibid 64. </w:t>
      </w:r>
    </w:p>
  </w:footnote>
  <w:footnote w:id="294">
    <w:p w14:paraId="2BCFBB92" w14:textId="77777777" w:rsidR="00712508" w:rsidRPr="002059EF" w:rsidRDefault="00712508" w:rsidP="003122A0">
      <w:pPr>
        <w:pStyle w:val="NoSpacing"/>
        <w:jc w:val="both"/>
        <w:rPr>
          <w:rFonts w:cs="Arial"/>
          <w:sz w:val="18"/>
          <w:szCs w:val="18"/>
          <w:lang w:val="en-AU"/>
        </w:rPr>
      </w:pPr>
      <w:r w:rsidRPr="002059EF">
        <w:rPr>
          <w:rStyle w:val="FootnoteReference"/>
          <w:rFonts w:cs="Arial"/>
          <w:sz w:val="18"/>
          <w:szCs w:val="18"/>
          <w:lang w:val="en-AU"/>
        </w:rPr>
        <w:footnoteRef/>
      </w:r>
      <w:r w:rsidRPr="002059EF">
        <w:rPr>
          <w:rFonts w:cs="Arial"/>
          <w:sz w:val="18"/>
          <w:szCs w:val="18"/>
          <w:lang w:val="en-AU"/>
        </w:rPr>
        <w:t xml:space="preserve"> Australian Communications and Media Authority and eSafety Commissioner, </w:t>
      </w:r>
      <w:r w:rsidRPr="002059EF">
        <w:rPr>
          <w:rFonts w:cs="Arial"/>
          <w:i/>
          <w:iCs/>
          <w:sz w:val="18"/>
          <w:szCs w:val="18"/>
          <w:lang w:val="en-AU"/>
        </w:rPr>
        <w:t>Annual Report 2021-22</w:t>
      </w:r>
      <w:r w:rsidRPr="002059EF">
        <w:rPr>
          <w:rFonts w:cs="Arial"/>
          <w:sz w:val="18"/>
          <w:szCs w:val="18"/>
          <w:lang w:val="en-AU"/>
        </w:rPr>
        <w:t xml:space="preserve"> (Report, 19 September 2022) 38. </w:t>
      </w:r>
    </w:p>
  </w:footnote>
  <w:footnote w:id="295">
    <w:p w14:paraId="317F0AFE" w14:textId="77777777" w:rsidR="00712508" w:rsidRPr="002059EF" w:rsidRDefault="00712508" w:rsidP="00705DD9">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Australian Communications and Media Authority and eSafety Commissioner, </w:t>
      </w:r>
      <w:r w:rsidRPr="002059EF">
        <w:rPr>
          <w:rFonts w:cs="Arial"/>
          <w:i/>
          <w:iCs/>
          <w:sz w:val="18"/>
          <w:szCs w:val="18"/>
        </w:rPr>
        <w:t>Annual Report 2022-23</w:t>
      </w:r>
      <w:r w:rsidRPr="002059EF">
        <w:rPr>
          <w:rFonts w:cs="Arial"/>
          <w:sz w:val="18"/>
          <w:szCs w:val="18"/>
        </w:rPr>
        <w:t xml:space="preserve"> (Report, 27 September 2023) 8. Information, research and other reports on this topic over the period 2018-2023, including three annual ‘state of play reports’, is available at https://www.acma.gov.au/financial-hardship-telco-sector-keeping-customer-connected. </w:t>
      </w:r>
    </w:p>
  </w:footnote>
  <w:footnote w:id="296">
    <w:p w14:paraId="71D56CF1" w14:textId="77777777" w:rsidR="00712508" w:rsidRPr="002059EF" w:rsidRDefault="00712508" w:rsidP="00705DD9">
      <w:pPr>
        <w:pStyle w:val="FootnoteText"/>
        <w:rPr>
          <w:rFonts w:cs="Arial"/>
          <w:sz w:val="18"/>
          <w:szCs w:val="18"/>
        </w:rPr>
      </w:pPr>
      <w:r w:rsidRPr="002059EF">
        <w:rPr>
          <w:rStyle w:val="FootnoteReference"/>
          <w:rFonts w:cs="Arial"/>
          <w:sz w:val="18"/>
          <w:szCs w:val="18"/>
        </w:rPr>
        <w:footnoteRef/>
      </w:r>
      <w:r w:rsidRPr="002059EF">
        <w:rPr>
          <w:rFonts w:cs="Arial"/>
          <w:sz w:val="18"/>
          <w:szCs w:val="18"/>
        </w:rPr>
        <w:t xml:space="preserve"> Australian Communications and Media Authority, </w:t>
      </w:r>
      <w:r w:rsidRPr="002059EF">
        <w:rPr>
          <w:rFonts w:cs="Arial"/>
          <w:i/>
          <w:sz w:val="18"/>
          <w:szCs w:val="18"/>
        </w:rPr>
        <w:t>Financial Hardship in the Telco Sector Keeping the Customer Connected</w:t>
      </w:r>
      <w:r w:rsidRPr="002059EF">
        <w:rPr>
          <w:rFonts w:cs="Arial"/>
          <w:sz w:val="18"/>
          <w:szCs w:val="18"/>
        </w:rPr>
        <w:t xml:space="preserve"> (Report, May 2023) 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272F2"/>
    <w:multiLevelType w:val="hybridMultilevel"/>
    <w:tmpl w:val="F0302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F0C39"/>
    <w:multiLevelType w:val="hybridMultilevel"/>
    <w:tmpl w:val="B554EF74"/>
    <w:lvl w:ilvl="0" w:tplc="4F76CB32">
      <w:start w:val="1"/>
      <w:numFmt w:val="bullet"/>
      <w:lvlText w:val="-"/>
      <w:lvlJc w:val="left"/>
      <w:pPr>
        <w:ind w:left="1090" w:hanging="360"/>
      </w:pPr>
      <w:rPr>
        <w:rFonts w:ascii="Calibri" w:eastAsiaTheme="minorHAnsi" w:hAnsi="Calibri" w:cs="Calibri" w:hint="default"/>
      </w:rPr>
    </w:lvl>
    <w:lvl w:ilvl="1" w:tplc="0C090003" w:tentative="1">
      <w:start w:val="1"/>
      <w:numFmt w:val="bullet"/>
      <w:lvlText w:val="o"/>
      <w:lvlJc w:val="left"/>
      <w:pPr>
        <w:ind w:left="1810" w:hanging="360"/>
      </w:pPr>
      <w:rPr>
        <w:rFonts w:ascii="Courier New" w:hAnsi="Courier New" w:cs="Courier New" w:hint="default"/>
      </w:rPr>
    </w:lvl>
    <w:lvl w:ilvl="2" w:tplc="0C090005" w:tentative="1">
      <w:start w:val="1"/>
      <w:numFmt w:val="bullet"/>
      <w:lvlText w:val=""/>
      <w:lvlJc w:val="left"/>
      <w:pPr>
        <w:ind w:left="2530" w:hanging="360"/>
      </w:pPr>
      <w:rPr>
        <w:rFonts w:ascii="Wingdings" w:hAnsi="Wingdings" w:hint="default"/>
      </w:rPr>
    </w:lvl>
    <w:lvl w:ilvl="3" w:tplc="0C090001" w:tentative="1">
      <w:start w:val="1"/>
      <w:numFmt w:val="bullet"/>
      <w:lvlText w:val=""/>
      <w:lvlJc w:val="left"/>
      <w:pPr>
        <w:ind w:left="3250" w:hanging="360"/>
      </w:pPr>
      <w:rPr>
        <w:rFonts w:ascii="Symbol" w:hAnsi="Symbol" w:hint="default"/>
      </w:rPr>
    </w:lvl>
    <w:lvl w:ilvl="4" w:tplc="0C090003" w:tentative="1">
      <w:start w:val="1"/>
      <w:numFmt w:val="bullet"/>
      <w:lvlText w:val="o"/>
      <w:lvlJc w:val="left"/>
      <w:pPr>
        <w:ind w:left="3970" w:hanging="360"/>
      </w:pPr>
      <w:rPr>
        <w:rFonts w:ascii="Courier New" w:hAnsi="Courier New" w:cs="Courier New" w:hint="default"/>
      </w:rPr>
    </w:lvl>
    <w:lvl w:ilvl="5" w:tplc="0C090005" w:tentative="1">
      <w:start w:val="1"/>
      <w:numFmt w:val="bullet"/>
      <w:lvlText w:val=""/>
      <w:lvlJc w:val="left"/>
      <w:pPr>
        <w:ind w:left="4690" w:hanging="360"/>
      </w:pPr>
      <w:rPr>
        <w:rFonts w:ascii="Wingdings" w:hAnsi="Wingdings" w:hint="default"/>
      </w:rPr>
    </w:lvl>
    <w:lvl w:ilvl="6" w:tplc="0C090001" w:tentative="1">
      <w:start w:val="1"/>
      <w:numFmt w:val="bullet"/>
      <w:lvlText w:val=""/>
      <w:lvlJc w:val="left"/>
      <w:pPr>
        <w:ind w:left="5410" w:hanging="360"/>
      </w:pPr>
      <w:rPr>
        <w:rFonts w:ascii="Symbol" w:hAnsi="Symbol" w:hint="default"/>
      </w:rPr>
    </w:lvl>
    <w:lvl w:ilvl="7" w:tplc="0C090003" w:tentative="1">
      <w:start w:val="1"/>
      <w:numFmt w:val="bullet"/>
      <w:lvlText w:val="o"/>
      <w:lvlJc w:val="left"/>
      <w:pPr>
        <w:ind w:left="6130" w:hanging="360"/>
      </w:pPr>
      <w:rPr>
        <w:rFonts w:ascii="Courier New" w:hAnsi="Courier New" w:cs="Courier New" w:hint="default"/>
      </w:rPr>
    </w:lvl>
    <w:lvl w:ilvl="8" w:tplc="0C090005" w:tentative="1">
      <w:start w:val="1"/>
      <w:numFmt w:val="bullet"/>
      <w:lvlText w:val=""/>
      <w:lvlJc w:val="left"/>
      <w:pPr>
        <w:ind w:left="6850" w:hanging="360"/>
      </w:pPr>
      <w:rPr>
        <w:rFonts w:ascii="Wingdings" w:hAnsi="Wingdings" w:hint="default"/>
      </w:rPr>
    </w:lvl>
  </w:abstractNum>
  <w:abstractNum w:abstractNumId="2" w15:restartNumberingAfterBreak="0">
    <w:nsid w:val="0598383C"/>
    <w:multiLevelType w:val="hybridMultilevel"/>
    <w:tmpl w:val="44223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395B76"/>
    <w:multiLevelType w:val="hybridMultilevel"/>
    <w:tmpl w:val="54D24D1A"/>
    <w:lvl w:ilvl="0" w:tplc="FFFFFFFF">
      <w:start w:val="2012"/>
      <w:numFmt w:val="bullet"/>
      <w:lvlText w:val=""/>
      <w:lvlJc w:val="left"/>
      <w:pPr>
        <w:ind w:left="720" w:hanging="360"/>
      </w:pPr>
      <w:rPr>
        <w:rFonts w:ascii="Symbol" w:hAnsi="Symbol" w:hint="default"/>
      </w:rPr>
    </w:lvl>
    <w:lvl w:ilvl="1" w:tplc="4F76CB32">
      <w:start w:val="1"/>
      <w:numFmt w:val="bullet"/>
      <w:lvlText w:val="-"/>
      <w:lvlJc w:val="left"/>
      <w:pPr>
        <w:ind w:left="1440" w:hanging="360"/>
      </w:pPr>
      <w:rPr>
        <w:rFonts w:ascii="Calibri" w:eastAsiaTheme="minorHAns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6D30920"/>
    <w:multiLevelType w:val="hybridMultilevel"/>
    <w:tmpl w:val="75A49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2120AF"/>
    <w:multiLevelType w:val="hybridMultilevel"/>
    <w:tmpl w:val="28328068"/>
    <w:lvl w:ilvl="0" w:tplc="0CB4D98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420898"/>
    <w:multiLevelType w:val="hybridMultilevel"/>
    <w:tmpl w:val="D1902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C3CEE"/>
    <w:multiLevelType w:val="hybridMultilevel"/>
    <w:tmpl w:val="58869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465AB3"/>
    <w:multiLevelType w:val="multilevel"/>
    <w:tmpl w:val="A490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947B5F"/>
    <w:multiLevelType w:val="hybridMultilevel"/>
    <w:tmpl w:val="75D6FA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B56746"/>
    <w:multiLevelType w:val="hybridMultilevel"/>
    <w:tmpl w:val="6598E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FA23AF"/>
    <w:multiLevelType w:val="hybridMultilevel"/>
    <w:tmpl w:val="31DA0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8F15DF"/>
    <w:multiLevelType w:val="hybridMultilevel"/>
    <w:tmpl w:val="A5482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081A17"/>
    <w:multiLevelType w:val="multilevel"/>
    <w:tmpl w:val="23746D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0F2542"/>
    <w:multiLevelType w:val="hybridMultilevel"/>
    <w:tmpl w:val="1A12A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256F63"/>
    <w:multiLevelType w:val="hybridMultilevel"/>
    <w:tmpl w:val="77963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0C5622"/>
    <w:multiLevelType w:val="hybridMultilevel"/>
    <w:tmpl w:val="62FCD436"/>
    <w:lvl w:ilvl="0" w:tplc="FB28E2B8">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1B3D2526"/>
    <w:multiLevelType w:val="multilevel"/>
    <w:tmpl w:val="9FEA4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E142A1"/>
    <w:multiLevelType w:val="hybridMultilevel"/>
    <w:tmpl w:val="C4EE5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EEEC583"/>
    <w:multiLevelType w:val="hybridMultilevel"/>
    <w:tmpl w:val="18F851D8"/>
    <w:lvl w:ilvl="0" w:tplc="2BDE4CE8">
      <w:start w:val="1"/>
      <w:numFmt w:val="bullet"/>
      <w:lvlText w:val=""/>
      <w:lvlJc w:val="left"/>
      <w:pPr>
        <w:ind w:left="720" w:hanging="360"/>
      </w:pPr>
      <w:rPr>
        <w:rFonts w:ascii="Symbol" w:hAnsi="Symbol" w:hint="default"/>
      </w:rPr>
    </w:lvl>
    <w:lvl w:ilvl="1" w:tplc="F064E0AC">
      <w:start w:val="1"/>
      <w:numFmt w:val="bullet"/>
      <w:lvlText w:val="o"/>
      <w:lvlJc w:val="left"/>
      <w:pPr>
        <w:ind w:left="1440" w:hanging="360"/>
      </w:pPr>
      <w:rPr>
        <w:rFonts w:ascii="Courier New" w:hAnsi="Courier New" w:hint="default"/>
      </w:rPr>
    </w:lvl>
    <w:lvl w:ilvl="2" w:tplc="D5DCE764">
      <w:start w:val="1"/>
      <w:numFmt w:val="bullet"/>
      <w:lvlText w:val=""/>
      <w:lvlJc w:val="left"/>
      <w:pPr>
        <w:ind w:left="2160" w:hanging="360"/>
      </w:pPr>
      <w:rPr>
        <w:rFonts w:ascii="Wingdings" w:hAnsi="Wingdings" w:hint="default"/>
      </w:rPr>
    </w:lvl>
    <w:lvl w:ilvl="3" w:tplc="907ECAF6">
      <w:start w:val="1"/>
      <w:numFmt w:val="bullet"/>
      <w:lvlText w:val=""/>
      <w:lvlJc w:val="left"/>
      <w:pPr>
        <w:ind w:left="2880" w:hanging="360"/>
      </w:pPr>
      <w:rPr>
        <w:rFonts w:ascii="Symbol" w:hAnsi="Symbol" w:hint="default"/>
      </w:rPr>
    </w:lvl>
    <w:lvl w:ilvl="4" w:tplc="E2CAFD6E">
      <w:start w:val="1"/>
      <w:numFmt w:val="bullet"/>
      <w:lvlText w:val="o"/>
      <w:lvlJc w:val="left"/>
      <w:pPr>
        <w:ind w:left="3600" w:hanging="360"/>
      </w:pPr>
      <w:rPr>
        <w:rFonts w:ascii="Courier New" w:hAnsi="Courier New" w:hint="default"/>
      </w:rPr>
    </w:lvl>
    <w:lvl w:ilvl="5" w:tplc="EB629FE2">
      <w:start w:val="1"/>
      <w:numFmt w:val="bullet"/>
      <w:lvlText w:val=""/>
      <w:lvlJc w:val="left"/>
      <w:pPr>
        <w:ind w:left="4320" w:hanging="360"/>
      </w:pPr>
      <w:rPr>
        <w:rFonts w:ascii="Wingdings" w:hAnsi="Wingdings" w:hint="default"/>
      </w:rPr>
    </w:lvl>
    <w:lvl w:ilvl="6" w:tplc="18BA0AE0">
      <w:start w:val="1"/>
      <w:numFmt w:val="bullet"/>
      <w:lvlText w:val=""/>
      <w:lvlJc w:val="left"/>
      <w:pPr>
        <w:ind w:left="5040" w:hanging="360"/>
      </w:pPr>
      <w:rPr>
        <w:rFonts w:ascii="Symbol" w:hAnsi="Symbol" w:hint="default"/>
      </w:rPr>
    </w:lvl>
    <w:lvl w:ilvl="7" w:tplc="94B0AC00">
      <w:start w:val="1"/>
      <w:numFmt w:val="bullet"/>
      <w:lvlText w:val="o"/>
      <w:lvlJc w:val="left"/>
      <w:pPr>
        <w:ind w:left="5760" w:hanging="360"/>
      </w:pPr>
      <w:rPr>
        <w:rFonts w:ascii="Courier New" w:hAnsi="Courier New" w:hint="default"/>
      </w:rPr>
    </w:lvl>
    <w:lvl w:ilvl="8" w:tplc="14FC6B68">
      <w:start w:val="1"/>
      <w:numFmt w:val="bullet"/>
      <w:lvlText w:val=""/>
      <w:lvlJc w:val="left"/>
      <w:pPr>
        <w:ind w:left="6480" w:hanging="360"/>
      </w:pPr>
      <w:rPr>
        <w:rFonts w:ascii="Wingdings" w:hAnsi="Wingdings" w:hint="default"/>
      </w:rPr>
    </w:lvl>
  </w:abstractNum>
  <w:abstractNum w:abstractNumId="20" w15:restartNumberingAfterBreak="0">
    <w:nsid w:val="1F394AED"/>
    <w:multiLevelType w:val="hybridMultilevel"/>
    <w:tmpl w:val="911091FC"/>
    <w:lvl w:ilvl="0" w:tplc="D9E6EA46">
      <w:start w:val="1"/>
      <w:numFmt w:val="bullet"/>
      <w:lvlText w:val=""/>
      <w:lvlJc w:val="left"/>
      <w:pPr>
        <w:ind w:left="720" w:hanging="360"/>
      </w:pPr>
      <w:rPr>
        <w:rFonts w:ascii="Symbol" w:hAnsi="Symbol" w:hint="default"/>
      </w:rPr>
    </w:lvl>
    <w:lvl w:ilvl="1" w:tplc="02724928">
      <w:start w:val="1"/>
      <w:numFmt w:val="bullet"/>
      <w:lvlText w:val="o"/>
      <w:lvlJc w:val="left"/>
      <w:pPr>
        <w:ind w:left="1440" w:hanging="360"/>
      </w:pPr>
      <w:rPr>
        <w:rFonts w:ascii="Courier New" w:hAnsi="Courier New" w:hint="default"/>
      </w:rPr>
    </w:lvl>
    <w:lvl w:ilvl="2" w:tplc="ECD8B3C8">
      <w:start w:val="1"/>
      <w:numFmt w:val="bullet"/>
      <w:lvlText w:val=""/>
      <w:lvlJc w:val="left"/>
      <w:pPr>
        <w:ind w:left="2160" w:hanging="360"/>
      </w:pPr>
      <w:rPr>
        <w:rFonts w:ascii="Wingdings" w:hAnsi="Wingdings" w:hint="default"/>
      </w:rPr>
    </w:lvl>
    <w:lvl w:ilvl="3" w:tplc="B4768EDA">
      <w:start w:val="1"/>
      <w:numFmt w:val="bullet"/>
      <w:lvlText w:val=""/>
      <w:lvlJc w:val="left"/>
      <w:pPr>
        <w:ind w:left="2880" w:hanging="360"/>
      </w:pPr>
      <w:rPr>
        <w:rFonts w:ascii="Symbol" w:hAnsi="Symbol" w:hint="default"/>
      </w:rPr>
    </w:lvl>
    <w:lvl w:ilvl="4" w:tplc="CB949AD4">
      <w:start w:val="1"/>
      <w:numFmt w:val="bullet"/>
      <w:lvlText w:val="o"/>
      <w:lvlJc w:val="left"/>
      <w:pPr>
        <w:ind w:left="3600" w:hanging="360"/>
      </w:pPr>
      <w:rPr>
        <w:rFonts w:ascii="Courier New" w:hAnsi="Courier New" w:hint="default"/>
      </w:rPr>
    </w:lvl>
    <w:lvl w:ilvl="5" w:tplc="30605AD0">
      <w:start w:val="1"/>
      <w:numFmt w:val="bullet"/>
      <w:lvlText w:val=""/>
      <w:lvlJc w:val="left"/>
      <w:pPr>
        <w:ind w:left="4320" w:hanging="360"/>
      </w:pPr>
      <w:rPr>
        <w:rFonts w:ascii="Wingdings" w:hAnsi="Wingdings" w:hint="default"/>
      </w:rPr>
    </w:lvl>
    <w:lvl w:ilvl="6" w:tplc="3484046A">
      <w:start w:val="1"/>
      <w:numFmt w:val="bullet"/>
      <w:lvlText w:val=""/>
      <w:lvlJc w:val="left"/>
      <w:pPr>
        <w:ind w:left="5040" w:hanging="360"/>
      </w:pPr>
      <w:rPr>
        <w:rFonts w:ascii="Symbol" w:hAnsi="Symbol" w:hint="default"/>
      </w:rPr>
    </w:lvl>
    <w:lvl w:ilvl="7" w:tplc="B53C39AC">
      <w:start w:val="1"/>
      <w:numFmt w:val="bullet"/>
      <w:lvlText w:val="o"/>
      <w:lvlJc w:val="left"/>
      <w:pPr>
        <w:ind w:left="5760" w:hanging="360"/>
      </w:pPr>
      <w:rPr>
        <w:rFonts w:ascii="Courier New" w:hAnsi="Courier New" w:hint="default"/>
      </w:rPr>
    </w:lvl>
    <w:lvl w:ilvl="8" w:tplc="090C7B20">
      <w:start w:val="1"/>
      <w:numFmt w:val="bullet"/>
      <w:lvlText w:val=""/>
      <w:lvlJc w:val="left"/>
      <w:pPr>
        <w:ind w:left="6480" w:hanging="360"/>
      </w:pPr>
      <w:rPr>
        <w:rFonts w:ascii="Wingdings" w:hAnsi="Wingdings" w:hint="default"/>
      </w:rPr>
    </w:lvl>
  </w:abstractNum>
  <w:abstractNum w:abstractNumId="21" w15:restartNumberingAfterBreak="0">
    <w:nsid w:val="27954301"/>
    <w:multiLevelType w:val="hybridMultilevel"/>
    <w:tmpl w:val="7B34E018"/>
    <w:lvl w:ilvl="0" w:tplc="FFFFFFFF">
      <w:start w:val="1"/>
      <w:numFmt w:val="bullet"/>
      <w:pStyle w:val="Bullets"/>
      <w:lvlText w:val=""/>
      <w:lvlJc w:val="left"/>
      <w:pPr>
        <w:ind w:left="1068"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A52347A"/>
    <w:multiLevelType w:val="hybridMultilevel"/>
    <w:tmpl w:val="72D6F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C5C6CFB"/>
    <w:multiLevelType w:val="hybridMultilevel"/>
    <w:tmpl w:val="FFFFFFFF"/>
    <w:lvl w:ilvl="0" w:tplc="74BCB442">
      <w:start w:val="1"/>
      <w:numFmt w:val="bullet"/>
      <w:lvlText w:val=""/>
      <w:lvlJc w:val="left"/>
      <w:pPr>
        <w:ind w:left="720" w:hanging="360"/>
      </w:pPr>
      <w:rPr>
        <w:rFonts w:ascii="Symbol" w:hAnsi="Symbol" w:hint="default"/>
      </w:rPr>
    </w:lvl>
    <w:lvl w:ilvl="1" w:tplc="F8162BE8">
      <w:start w:val="1"/>
      <w:numFmt w:val="bullet"/>
      <w:lvlText w:val="o"/>
      <w:lvlJc w:val="left"/>
      <w:pPr>
        <w:ind w:left="1440" w:hanging="360"/>
      </w:pPr>
      <w:rPr>
        <w:rFonts w:ascii="Courier New" w:hAnsi="Courier New" w:hint="default"/>
      </w:rPr>
    </w:lvl>
    <w:lvl w:ilvl="2" w:tplc="A9C811C0">
      <w:start w:val="1"/>
      <w:numFmt w:val="bullet"/>
      <w:lvlText w:val=""/>
      <w:lvlJc w:val="left"/>
      <w:pPr>
        <w:ind w:left="2160" w:hanging="360"/>
      </w:pPr>
      <w:rPr>
        <w:rFonts w:ascii="Wingdings" w:hAnsi="Wingdings" w:hint="default"/>
      </w:rPr>
    </w:lvl>
    <w:lvl w:ilvl="3" w:tplc="48A43670">
      <w:start w:val="1"/>
      <w:numFmt w:val="bullet"/>
      <w:lvlText w:val=""/>
      <w:lvlJc w:val="left"/>
      <w:pPr>
        <w:ind w:left="2880" w:hanging="360"/>
      </w:pPr>
      <w:rPr>
        <w:rFonts w:ascii="Symbol" w:hAnsi="Symbol" w:hint="default"/>
      </w:rPr>
    </w:lvl>
    <w:lvl w:ilvl="4" w:tplc="AF480D02">
      <w:start w:val="1"/>
      <w:numFmt w:val="bullet"/>
      <w:lvlText w:val="o"/>
      <w:lvlJc w:val="left"/>
      <w:pPr>
        <w:ind w:left="3600" w:hanging="360"/>
      </w:pPr>
      <w:rPr>
        <w:rFonts w:ascii="Courier New" w:hAnsi="Courier New" w:hint="default"/>
      </w:rPr>
    </w:lvl>
    <w:lvl w:ilvl="5" w:tplc="5DD2A282">
      <w:start w:val="1"/>
      <w:numFmt w:val="bullet"/>
      <w:lvlText w:val=""/>
      <w:lvlJc w:val="left"/>
      <w:pPr>
        <w:ind w:left="4320" w:hanging="360"/>
      </w:pPr>
      <w:rPr>
        <w:rFonts w:ascii="Wingdings" w:hAnsi="Wingdings" w:hint="default"/>
      </w:rPr>
    </w:lvl>
    <w:lvl w:ilvl="6" w:tplc="0518C4AE">
      <w:start w:val="1"/>
      <w:numFmt w:val="bullet"/>
      <w:lvlText w:val=""/>
      <w:lvlJc w:val="left"/>
      <w:pPr>
        <w:ind w:left="5040" w:hanging="360"/>
      </w:pPr>
      <w:rPr>
        <w:rFonts w:ascii="Symbol" w:hAnsi="Symbol" w:hint="default"/>
      </w:rPr>
    </w:lvl>
    <w:lvl w:ilvl="7" w:tplc="C3F04994">
      <w:start w:val="1"/>
      <w:numFmt w:val="bullet"/>
      <w:lvlText w:val="o"/>
      <w:lvlJc w:val="left"/>
      <w:pPr>
        <w:ind w:left="5760" w:hanging="360"/>
      </w:pPr>
      <w:rPr>
        <w:rFonts w:ascii="Courier New" w:hAnsi="Courier New" w:hint="default"/>
      </w:rPr>
    </w:lvl>
    <w:lvl w:ilvl="8" w:tplc="07466ABE">
      <w:start w:val="1"/>
      <w:numFmt w:val="bullet"/>
      <w:lvlText w:val=""/>
      <w:lvlJc w:val="left"/>
      <w:pPr>
        <w:ind w:left="6480" w:hanging="360"/>
      </w:pPr>
      <w:rPr>
        <w:rFonts w:ascii="Wingdings" w:hAnsi="Wingdings" w:hint="default"/>
      </w:rPr>
    </w:lvl>
  </w:abstractNum>
  <w:abstractNum w:abstractNumId="24" w15:restartNumberingAfterBreak="0">
    <w:nsid w:val="30F2782B"/>
    <w:multiLevelType w:val="hybridMultilevel"/>
    <w:tmpl w:val="996C4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2B33A3A"/>
    <w:multiLevelType w:val="hybridMultilevel"/>
    <w:tmpl w:val="EABA844E"/>
    <w:lvl w:ilvl="0" w:tplc="FFFFFFFF">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34D508D9"/>
    <w:multiLevelType w:val="hybridMultilevel"/>
    <w:tmpl w:val="16B0DF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6115A19"/>
    <w:multiLevelType w:val="hybridMultilevel"/>
    <w:tmpl w:val="94EE1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853267F"/>
    <w:multiLevelType w:val="hybridMultilevel"/>
    <w:tmpl w:val="7EF4C986"/>
    <w:lvl w:ilvl="0" w:tplc="B622AB1C">
      <w:start w:val="1"/>
      <w:numFmt w:val="decimal"/>
      <w:lvlText w:val="%1."/>
      <w:lvlJc w:val="left"/>
      <w:pPr>
        <w:ind w:left="720" w:hanging="360"/>
      </w:pPr>
    </w:lvl>
    <w:lvl w:ilvl="1" w:tplc="EC0C270E">
      <w:start w:val="1"/>
      <w:numFmt w:val="lowerLetter"/>
      <w:lvlText w:val="%2."/>
      <w:lvlJc w:val="left"/>
      <w:pPr>
        <w:ind w:left="1440" w:hanging="360"/>
      </w:pPr>
    </w:lvl>
    <w:lvl w:ilvl="2" w:tplc="B55C0616">
      <w:start w:val="1"/>
      <w:numFmt w:val="lowerRoman"/>
      <w:lvlText w:val="%3."/>
      <w:lvlJc w:val="right"/>
      <w:pPr>
        <w:ind w:left="2160" w:hanging="180"/>
      </w:pPr>
    </w:lvl>
    <w:lvl w:ilvl="3" w:tplc="B87C190A">
      <w:start w:val="1"/>
      <w:numFmt w:val="decimal"/>
      <w:lvlText w:val="%4."/>
      <w:lvlJc w:val="left"/>
      <w:pPr>
        <w:ind w:left="2880" w:hanging="360"/>
      </w:pPr>
    </w:lvl>
    <w:lvl w:ilvl="4" w:tplc="03A642BC">
      <w:start w:val="1"/>
      <w:numFmt w:val="lowerLetter"/>
      <w:lvlText w:val="%5."/>
      <w:lvlJc w:val="left"/>
      <w:pPr>
        <w:ind w:left="3600" w:hanging="360"/>
      </w:pPr>
    </w:lvl>
    <w:lvl w:ilvl="5" w:tplc="B33E096E">
      <w:start w:val="1"/>
      <w:numFmt w:val="lowerRoman"/>
      <w:lvlText w:val="%6."/>
      <w:lvlJc w:val="right"/>
      <w:pPr>
        <w:ind w:left="4320" w:hanging="180"/>
      </w:pPr>
    </w:lvl>
    <w:lvl w:ilvl="6" w:tplc="09C4E62E">
      <w:start w:val="1"/>
      <w:numFmt w:val="decimal"/>
      <w:lvlText w:val="%7."/>
      <w:lvlJc w:val="left"/>
      <w:pPr>
        <w:ind w:left="5040" w:hanging="360"/>
      </w:pPr>
    </w:lvl>
    <w:lvl w:ilvl="7" w:tplc="33E2EF50">
      <w:start w:val="1"/>
      <w:numFmt w:val="lowerLetter"/>
      <w:lvlText w:val="%8."/>
      <w:lvlJc w:val="left"/>
      <w:pPr>
        <w:ind w:left="5760" w:hanging="360"/>
      </w:pPr>
    </w:lvl>
    <w:lvl w:ilvl="8" w:tplc="7B6AFA36">
      <w:start w:val="1"/>
      <w:numFmt w:val="lowerRoman"/>
      <w:lvlText w:val="%9."/>
      <w:lvlJc w:val="right"/>
      <w:pPr>
        <w:ind w:left="6480" w:hanging="180"/>
      </w:pPr>
    </w:lvl>
  </w:abstractNum>
  <w:abstractNum w:abstractNumId="29" w15:restartNumberingAfterBreak="0">
    <w:nsid w:val="3C780030"/>
    <w:multiLevelType w:val="hybridMultilevel"/>
    <w:tmpl w:val="D528F9D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0" w15:restartNumberingAfterBreak="0">
    <w:nsid w:val="3FC11EBE"/>
    <w:multiLevelType w:val="hybridMultilevel"/>
    <w:tmpl w:val="14DEC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1BD357D"/>
    <w:multiLevelType w:val="hybridMultilevel"/>
    <w:tmpl w:val="63063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7B7047D"/>
    <w:multiLevelType w:val="hybridMultilevel"/>
    <w:tmpl w:val="DB723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670CB5"/>
    <w:multiLevelType w:val="hybridMultilevel"/>
    <w:tmpl w:val="274AB22C"/>
    <w:lvl w:ilvl="0" w:tplc="BDF288E8">
      <w:start w:val="1"/>
      <w:numFmt w:val="bullet"/>
      <w:lvlText w:val=""/>
      <w:lvlJc w:val="left"/>
      <w:pPr>
        <w:ind w:left="720" w:hanging="360"/>
      </w:pPr>
      <w:rPr>
        <w:rFonts w:ascii="Symbol" w:hAnsi="Symbol" w:hint="default"/>
      </w:rPr>
    </w:lvl>
    <w:lvl w:ilvl="1" w:tplc="9012A45A">
      <w:start w:val="1"/>
      <w:numFmt w:val="bullet"/>
      <w:lvlText w:val="o"/>
      <w:lvlJc w:val="left"/>
      <w:pPr>
        <w:ind w:left="1440" w:hanging="360"/>
      </w:pPr>
      <w:rPr>
        <w:rFonts w:ascii="Courier New" w:hAnsi="Courier New" w:hint="default"/>
      </w:rPr>
    </w:lvl>
    <w:lvl w:ilvl="2" w:tplc="B596B0BC">
      <w:start w:val="1"/>
      <w:numFmt w:val="bullet"/>
      <w:lvlText w:val=""/>
      <w:lvlJc w:val="left"/>
      <w:pPr>
        <w:ind w:left="2160" w:hanging="360"/>
      </w:pPr>
      <w:rPr>
        <w:rFonts w:ascii="Wingdings" w:hAnsi="Wingdings" w:hint="default"/>
      </w:rPr>
    </w:lvl>
    <w:lvl w:ilvl="3" w:tplc="C3C4D170">
      <w:start w:val="1"/>
      <w:numFmt w:val="bullet"/>
      <w:lvlText w:val=""/>
      <w:lvlJc w:val="left"/>
      <w:pPr>
        <w:ind w:left="2880" w:hanging="360"/>
      </w:pPr>
      <w:rPr>
        <w:rFonts w:ascii="Symbol" w:hAnsi="Symbol" w:hint="default"/>
      </w:rPr>
    </w:lvl>
    <w:lvl w:ilvl="4" w:tplc="7578FFE2">
      <w:start w:val="1"/>
      <w:numFmt w:val="bullet"/>
      <w:lvlText w:val="o"/>
      <w:lvlJc w:val="left"/>
      <w:pPr>
        <w:ind w:left="3600" w:hanging="360"/>
      </w:pPr>
      <w:rPr>
        <w:rFonts w:ascii="Courier New" w:hAnsi="Courier New" w:hint="default"/>
      </w:rPr>
    </w:lvl>
    <w:lvl w:ilvl="5" w:tplc="4036D65E">
      <w:start w:val="1"/>
      <w:numFmt w:val="bullet"/>
      <w:lvlText w:val=""/>
      <w:lvlJc w:val="left"/>
      <w:pPr>
        <w:ind w:left="4320" w:hanging="360"/>
      </w:pPr>
      <w:rPr>
        <w:rFonts w:ascii="Wingdings" w:hAnsi="Wingdings" w:hint="default"/>
      </w:rPr>
    </w:lvl>
    <w:lvl w:ilvl="6" w:tplc="5C9E8776">
      <w:start w:val="1"/>
      <w:numFmt w:val="bullet"/>
      <w:lvlText w:val=""/>
      <w:lvlJc w:val="left"/>
      <w:pPr>
        <w:ind w:left="5040" w:hanging="360"/>
      </w:pPr>
      <w:rPr>
        <w:rFonts w:ascii="Symbol" w:hAnsi="Symbol" w:hint="default"/>
      </w:rPr>
    </w:lvl>
    <w:lvl w:ilvl="7" w:tplc="2E2EF02C">
      <w:start w:val="1"/>
      <w:numFmt w:val="bullet"/>
      <w:lvlText w:val="o"/>
      <w:lvlJc w:val="left"/>
      <w:pPr>
        <w:ind w:left="5760" w:hanging="360"/>
      </w:pPr>
      <w:rPr>
        <w:rFonts w:ascii="Courier New" w:hAnsi="Courier New" w:hint="default"/>
      </w:rPr>
    </w:lvl>
    <w:lvl w:ilvl="8" w:tplc="9244DAFE">
      <w:start w:val="1"/>
      <w:numFmt w:val="bullet"/>
      <w:lvlText w:val=""/>
      <w:lvlJc w:val="left"/>
      <w:pPr>
        <w:ind w:left="6480" w:hanging="360"/>
      </w:pPr>
      <w:rPr>
        <w:rFonts w:ascii="Wingdings" w:hAnsi="Wingdings" w:hint="default"/>
      </w:rPr>
    </w:lvl>
  </w:abstractNum>
  <w:abstractNum w:abstractNumId="34" w15:restartNumberingAfterBreak="0">
    <w:nsid w:val="4D410371"/>
    <w:multiLevelType w:val="hybridMultilevel"/>
    <w:tmpl w:val="40126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DD24431"/>
    <w:multiLevelType w:val="hybridMultilevel"/>
    <w:tmpl w:val="B17EA7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0D461B7"/>
    <w:multiLevelType w:val="hybridMultilevel"/>
    <w:tmpl w:val="7F7E843C"/>
    <w:lvl w:ilvl="0" w:tplc="706A0C8A">
      <w:start w:val="1"/>
      <w:numFmt w:val="bullet"/>
      <w:lvlText w:val="·"/>
      <w:lvlJc w:val="left"/>
      <w:pPr>
        <w:ind w:left="720" w:hanging="360"/>
      </w:pPr>
      <w:rPr>
        <w:rFonts w:ascii="Symbol" w:hAnsi="Symbol" w:hint="default"/>
      </w:rPr>
    </w:lvl>
    <w:lvl w:ilvl="1" w:tplc="8E92FF52">
      <w:start w:val="1"/>
      <w:numFmt w:val="bullet"/>
      <w:lvlText w:val="o"/>
      <w:lvlJc w:val="left"/>
      <w:pPr>
        <w:ind w:left="1440" w:hanging="360"/>
      </w:pPr>
      <w:rPr>
        <w:rFonts w:ascii="Courier New" w:hAnsi="Courier New" w:hint="default"/>
      </w:rPr>
    </w:lvl>
    <w:lvl w:ilvl="2" w:tplc="9C6AF544">
      <w:start w:val="1"/>
      <w:numFmt w:val="bullet"/>
      <w:lvlText w:val=""/>
      <w:lvlJc w:val="left"/>
      <w:pPr>
        <w:ind w:left="2160" w:hanging="360"/>
      </w:pPr>
      <w:rPr>
        <w:rFonts w:ascii="Wingdings" w:hAnsi="Wingdings" w:hint="default"/>
      </w:rPr>
    </w:lvl>
    <w:lvl w:ilvl="3" w:tplc="F0DEF9D0">
      <w:start w:val="1"/>
      <w:numFmt w:val="bullet"/>
      <w:lvlText w:val=""/>
      <w:lvlJc w:val="left"/>
      <w:pPr>
        <w:ind w:left="2880" w:hanging="360"/>
      </w:pPr>
      <w:rPr>
        <w:rFonts w:ascii="Symbol" w:hAnsi="Symbol" w:hint="default"/>
      </w:rPr>
    </w:lvl>
    <w:lvl w:ilvl="4" w:tplc="51409CC4">
      <w:start w:val="1"/>
      <w:numFmt w:val="bullet"/>
      <w:lvlText w:val="o"/>
      <w:lvlJc w:val="left"/>
      <w:pPr>
        <w:ind w:left="3600" w:hanging="360"/>
      </w:pPr>
      <w:rPr>
        <w:rFonts w:ascii="Courier New" w:hAnsi="Courier New" w:hint="default"/>
      </w:rPr>
    </w:lvl>
    <w:lvl w:ilvl="5" w:tplc="7F30F2B0">
      <w:start w:val="1"/>
      <w:numFmt w:val="bullet"/>
      <w:lvlText w:val=""/>
      <w:lvlJc w:val="left"/>
      <w:pPr>
        <w:ind w:left="4320" w:hanging="360"/>
      </w:pPr>
      <w:rPr>
        <w:rFonts w:ascii="Wingdings" w:hAnsi="Wingdings" w:hint="default"/>
      </w:rPr>
    </w:lvl>
    <w:lvl w:ilvl="6" w:tplc="090EBD62">
      <w:start w:val="1"/>
      <w:numFmt w:val="bullet"/>
      <w:lvlText w:val=""/>
      <w:lvlJc w:val="left"/>
      <w:pPr>
        <w:ind w:left="5040" w:hanging="360"/>
      </w:pPr>
      <w:rPr>
        <w:rFonts w:ascii="Symbol" w:hAnsi="Symbol" w:hint="default"/>
      </w:rPr>
    </w:lvl>
    <w:lvl w:ilvl="7" w:tplc="DFA69592">
      <w:start w:val="1"/>
      <w:numFmt w:val="bullet"/>
      <w:lvlText w:val="o"/>
      <w:lvlJc w:val="left"/>
      <w:pPr>
        <w:ind w:left="5760" w:hanging="360"/>
      </w:pPr>
      <w:rPr>
        <w:rFonts w:ascii="Courier New" w:hAnsi="Courier New" w:hint="default"/>
      </w:rPr>
    </w:lvl>
    <w:lvl w:ilvl="8" w:tplc="A41897D6">
      <w:start w:val="1"/>
      <w:numFmt w:val="bullet"/>
      <w:lvlText w:val=""/>
      <w:lvlJc w:val="left"/>
      <w:pPr>
        <w:ind w:left="6480" w:hanging="360"/>
      </w:pPr>
      <w:rPr>
        <w:rFonts w:ascii="Wingdings" w:hAnsi="Wingdings" w:hint="default"/>
      </w:rPr>
    </w:lvl>
  </w:abstractNum>
  <w:abstractNum w:abstractNumId="37" w15:restartNumberingAfterBreak="0">
    <w:nsid w:val="516027E7"/>
    <w:multiLevelType w:val="hybridMultilevel"/>
    <w:tmpl w:val="19982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2CD54A6"/>
    <w:multiLevelType w:val="multilevel"/>
    <w:tmpl w:val="737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4B0A96"/>
    <w:multiLevelType w:val="multilevel"/>
    <w:tmpl w:val="8A44B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5217D7"/>
    <w:multiLevelType w:val="hybridMultilevel"/>
    <w:tmpl w:val="9DFE9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5A619BE"/>
    <w:multiLevelType w:val="hybridMultilevel"/>
    <w:tmpl w:val="6D061E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5C94104"/>
    <w:multiLevelType w:val="hybridMultilevel"/>
    <w:tmpl w:val="D72AF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68A3CDD"/>
    <w:multiLevelType w:val="hybridMultilevel"/>
    <w:tmpl w:val="6C4C4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6942EE2"/>
    <w:multiLevelType w:val="hybridMultilevel"/>
    <w:tmpl w:val="4F20E91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5" w15:restartNumberingAfterBreak="0">
    <w:nsid w:val="570066ED"/>
    <w:multiLevelType w:val="hybridMultilevel"/>
    <w:tmpl w:val="36A6F4BC"/>
    <w:lvl w:ilvl="0" w:tplc="4F421A8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8CA1223"/>
    <w:multiLevelType w:val="hybridMultilevel"/>
    <w:tmpl w:val="0A64E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AB765BA"/>
    <w:multiLevelType w:val="hybridMultilevel"/>
    <w:tmpl w:val="D1D47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DC51B94"/>
    <w:multiLevelType w:val="hybridMultilevel"/>
    <w:tmpl w:val="7BBC7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1C4304"/>
    <w:multiLevelType w:val="hybridMultilevel"/>
    <w:tmpl w:val="D0E2F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1F6734"/>
    <w:multiLevelType w:val="hybridMultilevel"/>
    <w:tmpl w:val="3A9E3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D7DA6F7"/>
    <w:multiLevelType w:val="hybridMultilevel"/>
    <w:tmpl w:val="FC502C5C"/>
    <w:lvl w:ilvl="0" w:tplc="3B5A7392">
      <w:start w:val="1"/>
      <w:numFmt w:val="bullet"/>
      <w:lvlText w:val="·"/>
      <w:lvlJc w:val="left"/>
      <w:pPr>
        <w:ind w:left="720" w:hanging="360"/>
      </w:pPr>
      <w:rPr>
        <w:rFonts w:ascii="Symbol" w:hAnsi="Symbol" w:hint="default"/>
      </w:rPr>
    </w:lvl>
    <w:lvl w:ilvl="1" w:tplc="48E4C9A2">
      <w:start w:val="1"/>
      <w:numFmt w:val="bullet"/>
      <w:lvlText w:val="o"/>
      <w:lvlJc w:val="left"/>
      <w:pPr>
        <w:ind w:left="1440" w:hanging="360"/>
      </w:pPr>
      <w:rPr>
        <w:rFonts w:ascii="Courier New" w:hAnsi="Courier New" w:hint="default"/>
      </w:rPr>
    </w:lvl>
    <w:lvl w:ilvl="2" w:tplc="C78C009A">
      <w:start w:val="1"/>
      <w:numFmt w:val="bullet"/>
      <w:lvlText w:val=""/>
      <w:lvlJc w:val="left"/>
      <w:pPr>
        <w:ind w:left="2160" w:hanging="360"/>
      </w:pPr>
      <w:rPr>
        <w:rFonts w:ascii="Wingdings" w:hAnsi="Wingdings" w:hint="default"/>
      </w:rPr>
    </w:lvl>
    <w:lvl w:ilvl="3" w:tplc="93E66B30">
      <w:start w:val="1"/>
      <w:numFmt w:val="bullet"/>
      <w:lvlText w:val=""/>
      <w:lvlJc w:val="left"/>
      <w:pPr>
        <w:ind w:left="2880" w:hanging="360"/>
      </w:pPr>
      <w:rPr>
        <w:rFonts w:ascii="Symbol" w:hAnsi="Symbol" w:hint="default"/>
      </w:rPr>
    </w:lvl>
    <w:lvl w:ilvl="4" w:tplc="99946FEA">
      <w:start w:val="1"/>
      <w:numFmt w:val="bullet"/>
      <w:lvlText w:val="o"/>
      <w:lvlJc w:val="left"/>
      <w:pPr>
        <w:ind w:left="3600" w:hanging="360"/>
      </w:pPr>
      <w:rPr>
        <w:rFonts w:ascii="Courier New" w:hAnsi="Courier New" w:hint="default"/>
      </w:rPr>
    </w:lvl>
    <w:lvl w:ilvl="5" w:tplc="003078CA">
      <w:start w:val="1"/>
      <w:numFmt w:val="bullet"/>
      <w:lvlText w:val=""/>
      <w:lvlJc w:val="left"/>
      <w:pPr>
        <w:ind w:left="4320" w:hanging="360"/>
      </w:pPr>
      <w:rPr>
        <w:rFonts w:ascii="Wingdings" w:hAnsi="Wingdings" w:hint="default"/>
      </w:rPr>
    </w:lvl>
    <w:lvl w:ilvl="6" w:tplc="6966F546">
      <w:start w:val="1"/>
      <w:numFmt w:val="bullet"/>
      <w:lvlText w:val=""/>
      <w:lvlJc w:val="left"/>
      <w:pPr>
        <w:ind w:left="5040" w:hanging="360"/>
      </w:pPr>
      <w:rPr>
        <w:rFonts w:ascii="Symbol" w:hAnsi="Symbol" w:hint="default"/>
      </w:rPr>
    </w:lvl>
    <w:lvl w:ilvl="7" w:tplc="2D0A2344">
      <w:start w:val="1"/>
      <w:numFmt w:val="bullet"/>
      <w:lvlText w:val="o"/>
      <w:lvlJc w:val="left"/>
      <w:pPr>
        <w:ind w:left="5760" w:hanging="360"/>
      </w:pPr>
      <w:rPr>
        <w:rFonts w:ascii="Courier New" w:hAnsi="Courier New" w:hint="default"/>
      </w:rPr>
    </w:lvl>
    <w:lvl w:ilvl="8" w:tplc="2B1E7282">
      <w:start w:val="1"/>
      <w:numFmt w:val="bullet"/>
      <w:lvlText w:val=""/>
      <w:lvlJc w:val="left"/>
      <w:pPr>
        <w:ind w:left="6480" w:hanging="360"/>
      </w:pPr>
      <w:rPr>
        <w:rFonts w:ascii="Wingdings" w:hAnsi="Wingdings" w:hint="default"/>
      </w:rPr>
    </w:lvl>
  </w:abstractNum>
  <w:abstractNum w:abstractNumId="52" w15:restartNumberingAfterBreak="0">
    <w:nsid w:val="70C82CD6"/>
    <w:multiLevelType w:val="hybridMultilevel"/>
    <w:tmpl w:val="70EC7562"/>
    <w:lvl w:ilvl="0" w:tplc="CA6E7C2C">
      <w:start w:val="1"/>
      <w:numFmt w:val="bullet"/>
      <w:lvlText w:val=""/>
      <w:lvlJc w:val="left"/>
      <w:pPr>
        <w:ind w:left="720" w:hanging="360"/>
      </w:pPr>
      <w:rPr>
        <w:rFonts w:ascii="Symbol" w:hAnsi="Symbol" w:hint="default"/>
      </w:rPr>
    </w:lvl>
    <w:lvl w:ilvl="1" w:tplc="18A84886">
      <w:start w:val="1"/>
      <w:numFmt w:val="bullet"/>
      <w:lvlText w:val="o"/>
      <w:lvlJc w:val="left"/>
      <w:pPr>
        <w:ind w:left="1440" w:hanging="360"/>
      </w:pPr>
      <w:rPr>
        <w:rFonts w:ascii="Courier New" w:hAnsi="Courier New" w:hint="default"/>
      </w:rPr>
    </w:lvl>
    <w:lvl w:ilvl="2" w:tplc="AA087E68">
      <w:start w:val="1"/>
      <w:numFmt w:val="bullet"/>
      <w:lvlText w:val=""/>
      <w:lvlJc w:val="left"/>
      <w:pPr>
        <w:ind w:left="2160" w:hanging="360"/>
      </w:pPr>
      <w:rPr>
        <w:rFonts w:ascii="Wingdings" w:hAnsi="Wingdings" w:hint="default"/>
      </w:rPr>
    </w:lvl>
    <w:lvl w:ilvl="3" w:tplc="D4D6C718">
      <w:start w:val="1"/>
      <w:numFmt w:val="bullet"/>
      <w:lvlText w:val=""/>
      <w:lvlJc w:val="left"/>
      <w:pPr>
        <w:ind w:left="2880" w:hanging="360"/>
      </w:pPr>
      <w:rPr>
        <w:rFonts w:ascii="Symbol" w:hAnsi="Symbol" w:hint="default"/>
      </w:rPr>
    </w:lvl>
    <w:lvl w:ilvl="4" w:tplc="74C29416">
      <w:start w:val="1"/>
      <w:numFmt w:val="bullet"/>
      <w:lvlText w:val="o"/>
      <w:lvlJc w:val="left"/>
      <w:pPr>
        <w:ind w:left="3600" w:hanging="360"/>
      </w:pPr>
      <w:rPr>
        <w:rFonts w:ascii="Courier New" w:hAnsi="Courier New" w:hint="default"/>
      </w:rPr>
    </w:lvl>
    <w:lvl w:ilvl="5" w:tplc="93D86F10">
      <w:start w:val="1"/>
      <w:numFmt w:val="bullet"/>
      <w:lvlText w:val=""/>
      <w:lvlJc w:val="left"/>
      <w:pPr>
        <w:ind w:left="4320" w:hanging="360"/>
      </w:pPr>
      <w:rPr>
        <w:rFonts w:ascii="Wingdings" w:hAnsi="Wingdings" w:hint="default"/>
      </w:rPr>
    </w:lvl>
    <w:lvl w:ilvl="6" w:tplc="17E8A614">
      <w:start w:val="1"/>
      <w:numFmt w:val="bullet"/>
      <w:lvlText w:val=""/>
      <w:lvlJc w:val="left"/>
      <w:pPr>
        <w:ind w:left="5040" w:hanging="360"/>
      </w:pPr>
      <w:rPr>
        <w:rFonts w:ascii="Symbol" w:hAnsi="Symbol" w:hint="default"/>
      </w:rPr>
    </w:lvl>
    <w:lvl w:ilvl="7" w:tplc="C6808FBE">
      <w:start w:val="1"/>
      <w:numFmt w:val="bullet"/>
      <w:lvlText w:val="o"/>
      <w:lvlJc w:val="left"/>
      <w:pPr>
        <w:ind w:left="5760" w:hanging="360"/>
      </w:pPr>
      <w:rPr>
        <w:rFonts w:ascii="Courier New" w:hAnsi="Courier New" w:hint="default"/>
      </w:rPr>
    </w:lvl>
    <w:lvl w:ilvl="8" w:tplc="E5FCACD2">
      <w:start w:val="1"/>
      <w:numFmt w:val="bullet"/>
      <w:lvlText w:val=""/>
      <w:lvlJc w:val="left"/>
      <w:pPr>
        <w:ind w:left="6480" w:hanging="360"/>
      </w:pPr>
      <w:rPr>
        <w:rFonts w:ascii="Wingdings" w:hAnsi="Wingdings" w:hint="default"/>
      </w:rPr>
    </w:lvl>
  </w:abstractNum>
  <w:abstractNum w:abstractNumId="53" w15:restartNumberingAfterBreak="0">
    <w:nsid w:val="7537000F"/>
    <w:multiLevelType w:val="hybridMultilevel"/>
    <w:tmpl w:val="DD5A5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59C39E9"/>
    <w:multiLevelType w:val="hybridMultilevel"/>
    <w:tmpl w:val="D27806F0"/>
    <w:lvl w:ilvl="0" w:tplc="0CB4D98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6D46C80"/>
    <w:multiLevelType w:val="hybridMultilevel"/>
    <w:tmpl w:val="58B2F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8482CE8"/>
    <w:multiLevelType w:val="hybridMultilevel"/>
    <w:tmpl w:val="6F1010DE"/>
    <w:lvl w:ilvl="0" w:tplc="FFFFFFFF">
      <w:start w:val="2012"/>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8CA11DE"/>
    <w:multiLevelType w:val="hybridMultilevel"/>
    <w:tmpl w:val="DB88915C"/>
    <w:lvl w:ilvl="0" w:tplc="EE2CA004">
      <w:start w:val="1"/>
      <w:numFmt w:val="bullet"/>
      <w:lvlText w:val=""/>
      <w:lvlJc w:val="left"/>
      <w:pPr>
        <w:ind w:left="720" w:hanging="360"/>
      </w:pPr>
      <w:rPr>
        <w:rFonts w:ascii="Symbol" w:hAnsi="Symbol" w:hint="default"/>
      </w:rPr>
    </w:lvl>
    <w:lvl w:ilvl="1" w:tplc="3CBEB1FC">
      <w:start w:val="1"/>
      <w:numFmt w:val="bullet"/>
      <w:lvlText w:val="o"/>
      <w:lvlJc w:val="left"/>
      <w:pPr>
        <w:ind w:left="1440" w:hanging="360"/>
      </w:pPr>
      <w:rPr>
        <w:rFonts w:ascii="Courier New" w:hAnsi="Courier New" w:hint="default"/>
      </w:rPr>
    </w:lvl>
    <w:lvl w:ilvl="2" w:tplc="96D02C06">
      <w:start w:val="1"/>
      <w:numFmt w:val="bullet"/>
      <w:lvlText w:val=""/>
      <w:lvlJc w:val="left"/>
      <w:pPr>
        <w:ind w:left="2160" w:hanging="360"/>
      </w:pPr>
      <w:rPr>
        <w:rFonts w:ascii="Wingdings" w:hAnsi="Wingdings" w:hint="default"/>
      </w:rPr>
    </w:lvl>
    <w:lvl w:ilvl="3" w:tplc="4E880B5E">
      <w:start w:val="1"/>
      <w:numFmt w:val="bullet"/>
      <w:lvlText w:val=""/>
      <w:lvlJc w:val="left"/>
      <w:pPr>
        <w:ind w:left="2880" w:hanging="360"/>
      </w:pPr>
      <w:rPr>
        <w:rFonts w:ascii="Symbol" w:hAnsi="Symbol" w:hint="default"/>
      </w:rPr>
    </w:lvl>
    <w:lvl w:ilvl="4" w:tplc="7B8C4B26">
      <w:start w:val="1"/>
      <w:numFmt w:val="bullet"/>
      <w:lvlText w:val="o"/>
      <w:lvlJc w:val="left"/>
      <w:pPr>
        <w:ind w:left="3600" w:hanging="360"/>
      </w:pPr>
      <w:rPr>
        <w:rFonts w:ascii="Courier New" w:hAnsi="Courier New" w:hint="default"/>
      </w:rPr>
    </w:lvl>
    <w:lvl w:ilvl="5" w:tplc="680040AC">
      <w:start w:val="1"/>
      <w:numFmt w:val="bullet"/>
      <w:lvlText w:val=""/>
      <w:lvlJc w:val="left"/>
      <w:pPr>
        <w:ind w:left="4320" w:hanging="360"/>
      </w:pPr>
      <w:rPr>
        <w:rFonts w:ascii="Wingdings" w:hAnsi="Wingdings" w:hint="default"/>
      </w:rPr>
    </w:lvl>
    <w:lvl w:ilvl="6" w:tplc="6C542BBC">
      <w:start w:val="1"/>
      <w:numFmt w:val="bullet"/>
      <w:lvlText w:val=""/>
      <w:lvlJc w:val="left"/>
      <w:pPr>
        <w:ind w:left="5040" w:hanging="360"/>
      </w:pPr>
      <w:rPr>
        <w:rFonts w:ascii="Symbol" w:hAnsi="Symbol" w:hint="default"/>
      </w:rPr>
    </w:lvl>
    <w:lvl w:ilvl="7" w:tplc="28F21524">
      <w:start w:val="1"/>
      <w:numFmt w:val="bullet"/>
      <w:lvlText w:val="o"/>
      <w:lvlJc w:val="left"/>
      <w:pPr>
        <w:ind w:left="5760" w:hanging="360"/>
      </w:pPr>
      <w:rPr>
        <w:rFonts w:ascii="Courier New" w:hAnsi="Courier New" w:hint="default"/>
      </w:rPr>
    </w:lvl>
    <w:lvl w:ilvl="8" w:tplc="4B16F42E">
      <w:start w:val="1"/>
      <w:numFmt w:val="bullet"/>
      <w:lvlText w:val=""/>
      <w:lvlJc w:val="left"/>
      <w:pPr>
        <w:ind w:left="6480" w:hanging="360"/>
      </w:pPr>
      <w:rPr>
        <w:rFonts w:ascii="Wingdings" w:hAnsi="Wingdings" w:hint="default"/>
      </w:rPr>
    </w:lvl>
  </w:abstractNum>
  <w:abstractNum w:abstractNumId="58" w15:restartNumberingAfterBreak="0">
    <w:nsid w:val="79050D9C"/>
    <w:multiLevelType w:val="hybridMultilevel"/>
    <w:tmpl w:val="B9A47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A6C5255"/>
    <w:multiLevelType w:val="hybridMultilevel"/>
    <w:tmpl w:val="0E5C51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B0C59F6"/>
    <w:multiLevelType w:val="hybridMultilevel"/>
    <w:tmpl w:val="141E3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BC961F3"/>
    <w:multiLevelType w:val="hybridMultilevel"/>
    <w:tmpl w:val="0FFA70A6"/>
    <w:lvl w:ilvl="0" w:tplc="F7C87344">
      <w:start w:val="1"/>
      <w:numFmt w:val="bullet"/>
      <w:lvlText w:val="·"/>
      <w:lvlJc w:val="left"/>
      <w:pPr>
        <w:ind w:left="720" w:hanging="360"/>
      </w:pPr>
      <w:rPr>
        <w:rFonts w:ascii="Symbol" w:hAnsi="Symbol" w:hint="default"/>
      </w:rPr>
    </w:lvl>
    <w:lvl w:ilvl="1" w:tplc="6F545124">
      <w:start w:val="1"/>
      <w:numFmt w:val="bullet"/>
      <w:lvlText w:val="o"/>
      <w:lvlJc w:val="left"/>
      <w:pPr>
        <w:ind w:left="1440" w:hanging="360"/>
      </w:pPr>
      <w:rPr>
        <w:rFonts w:ascii="Courier New" w:hAnsi="Courier New" w:hint="default"/>
      </w:rPr>
    </w:lvl>
    <w:lvl w:ilvl="2" w:tplc="478C46FE">
      <w:start w:val="1"/>
      <w:numFmt w:val="bullet"/>
      <w:lvlText w:val=""/>
      <w:lvlJc w:val="left"/>
      <w:pPr>
        <w:ind w:left="2160" w:hanging="360"/>
      </w:pPr>
      <w:rPr>
        <w:rFonts w:ascii="Wingdings" w:hAnsi="Wingdings" w:hint="default"/>
      </w:rPr>
    </w:lvl>
    <w:lvl w:ilvl="3" w:tplc="D14A908A">
      <w:start w:val="1"/>
      <w:numFmt w:val="bullet"/>
      <w:lvlText w:val=""/>
      <w:lvlJc w:val="left"/>
      <w:pPr>
        <w:ind w:left="2880" w:hanging="360"/>
      </w:pPr>
      <w:rPr>
        <w:rFonts w:ascii="Symbol" w:hAnsi="Symbol" w:hint="default"/>
      </w:rPr>
    </w:lvl>
    <w:lvl w:ilvl="4" w:tplc="A7D892CE">
      <w:start w:val="1"/>
      <w:numFmt w:val="bullet"/>
      <w:lvlText w:val="o"/>
      <w:lvlJc w:val="left"/>
      <w:pPr>
        <w:ind w:left="3600" w:hanging="360"/>
      </w:pPr>
      <w:rPr>
        <w:rFonts w:ascii="Courier New" w:hAnsi="Courier New" w:hint="default"/>
      </w:rPr>
    </w:lvl>
    <w:lvl w:ilvl="5" w:tplc="68B6A9CC">
      <w:start w:val="1"/>
      <w:numFmt w:val="bullet"/>
      <w:lvlText w:val=""/>
      <w:lvlJc w:val="left"/>
      <w:pPr>
        <w:ind w:left="4320" w:hanging="360"/>
      </w:pPr>
      <w:rPr>
        <w:rFonts w:ascii="Wingdings" w:hAnsi="Wingdings" w:hint="default"/>
      </w:rPr>
    </w:lvl>
    <w:lvl w:ilvl="6" w:tplc="7A3AA1D2">
      <w:start w:val="1"/>
      <w:numFmt w:val="bullet"/>
      <w:lvlText w:val=""/>
      <w:lvlJc w:val="left"/>
      <w:pPr>
        <w:ind w:left="5040" w:hanging="360"/>
      </w:pPr>
      <w:rPr>
        <w:rFonts w:ascii="Symbol" w:hAnsi="Symbol" w:hint="default"/>
      </w:rPr>
    </w:lvl>
    <w:lvl w:ilvl="7" w:tplc="968C04E2">
      <w:start w:val="1"/>
      <w:numFmt w:val="bullet"/>
      <w:lvlText w:val="o"/>
      <w:lvlJc w:val="left"/>
      <w:pPr>
        <w:ind w:left="5760" w:hanging="360"/>
      </w:pPr>
      <w:rPr>
        <w:rFonts w:ascii="Courier New" w:hAnsi="Courier New" w:hint="default"/>
      </w:rPr>
    </w:lvl>
    <w:lvl w:ilvl="8" w:tplc="BC3A9882">
      <w:start w:val="1"/>
      <w:numFmt w:val="bullet"/>
      <w:lvlText w:val=""/>
      <w:lvlJc w:val="left"/>
      <w:pPr>
        <w:ind w:left="6480" w:hanging="360"/>
      </w:pPr>
      <w:rPr>
        <w:rFonts w:ascii="Wingdings" w:hAnsi="Wingdings" w:hint="default"/>
      </w:rPr>
    </w:lvl>
  </w:abstractNum>
  <w:abstractNum w:abstractNumId="62" w15:restartNumberingAfterBreak="0">
    <w:nsid w:val="7DD70203"/>
    <w:multiLevelType w:val="hybridMultilevel"/>
    <w:tmpl w:val="ADB0A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E1C4A6A"/>
    <w:multiLevelType w:val="hybridMultilevel"/>
    <w:tmpl w:val="2A545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E7CF1CF"/>
    <w:multiLevelType w:val="hybridMultilevel"/>
    <w:tmpl w:val="FFFFFFFF"/>
    <w:lvl w:ilvl="0" w:tplc="F29E4B28">
      <w:start w:val="1"/>
      <w:numFmt w:val="bullet"/>
      <w:lvlText w:val=""/>
      <w:lvlJc w:val="left"/>
      <w:pPr>
        <w:ind w:left="720" w:hanging="360"/>
      </w:pPr>
      <w:rPr>
        <w:rFonts w:ascii="Symbol" w:hAnsi="Symbol" w:hint="default"/>
      </w:rPr>
    </w:lvl>
    <w:lvl w:ilvl="1" w:tplc="A4A4B236">
      <w:start w:val="1"/>
      <w:numFmt w:val="bullet"/>
      <w:lvlText w:val="o"/>
      <w:lvlJc w:val="left"/>
      <w:pPr>
        <w:ind w:left="1440" w:hanging="360"/>
      </w:pPr>
      <w:rPr>
        <w:rFonts w:ascii="Courier New" w:hAnsi="Courier New" w:hint="default"/>
      </w:rPr>
    </w:lvl>
    <w:lvl w:ilvl="2" w:tplc="6E0EA968">
      <w:start w:val="1"/>
      <w:numFmt w:val="bullet"/>
      <w:lvlText w:val=""/>
      <w:lvlJc w:val="left"/>
      <w:pPr>
        <w:ind w:left="2160" w:hanging="360"/>
      </w:pPr>
      <w:rPr>
        <w:rFonts w:ascii="Wingdings" w:hAnsi="Wingdings" w:hint="default"/>
      </w:rPr>
    </w:lvl>
    <w:lvl w:ilvl="3" w:tplc="A0AC8860">
      <w:start w:val="1"/>
      <w:numFmt w:val="bullet"/>
      <w:lvlText w:val=""/>
      <w:lvlJc w:val="left"/>
      <w:pPr>
        <w:ind w:left="2880" w:hanging="360"/>
      </w:pPr>
      <w:rPr>
        <w:rFonts w:ascii="Symbol" w:hAnsi="Symbol" w:hint="default"/>
      </w:rPr>
    </w:lvl>
    <w:lvl w:ilvl="4" w:tplc="6DFE173A">
      <w:start w:val="1"/>
      <w:numFmt w:val="bullet"/>
      <w:lvlText w:val="o"/>
      <w:lvlJc w:val="left"/>
      <w:pPr>
        <w:ind w:left="3600" w:hanging="360"/>
      </w:pPr>
      <w:rPr>
        <w:rFonts w:ascii="Courier New" w:hAnsi="Courier New" w:hint="default"/>
      </w:rPr>
    </w:lvl>
    <w:lvl w:ilvl="5" w:tplc="94146CCE">
      <w:start w:val="1"/>
      <w:numFmt w:val="bullet"/>
      <w:lvlText w:val=""/>
      <w:lvlJc w:val="left"/>
      <w:pPr>
        <w:ind w:left="4320" w:hanging="360"/>
      </w:pPr>
      <w:rPr>
        <w:rFonts w:ascii="Wingdings" w:hAnsi="Wingdings" w:hint="default"/>
      </w:rPr>
    </w:lvl>
    <w:lvl w:ilvl="6" w:tplc="8530F280">
      <w:start w:val="1"/>
      <w:numFmt w:val="bullet"/>
      <w:lvlText w:val=""/>
      <w:lvlJc w:val="left"/>
      <w:pPr>
        <w:ind w:left="5040" w:hanging="360"/>
      </w:pPr>
      <w:rPr>
        <w:rFonts w:ascii="Symbol" w:hAnsi="Symbol" w:hint="default"/>
      </w:rPr>
    </w:lvl>
    <w:lvl w:ilvl="7" w:tplc="C98454A4">
      <w:start w:val="1"/>
      <w:numFmt w:val="bullet"/>
      <w:lvlText w:val="o"/>
      <w:lvlJc w:val="left"/>
      <w:pPr>
        <w:ind w:left="5760" w:hanging="360"/>
      </w:pPr>
      <w:rPr>
        <w:rFonts w:ascii="Courier New" w:hAnsi="Courier New" w:hint="default"/>
      </w:rPr>
    </w:lvl>
    <w:lvl w:ilvl="8" w:tplc="A93CE464">
      <w:start w:val="1"/>
      <w:numFmt w:val="bullet"/>
      <w:lvlText w:val=""/>
      <w:lvlJc w:val="left"/>
      <w:pPr>
        <w:ind w:left="6480" w:hanging="360"/>
      </w:pPr>
      <w:rPr>
        <w:rFonts w:ascii="Wingdings" w:hAnsi="Wingdings" w:hint="default"/>
      </w:rPr>
    </w:lvl>
  </w:abstractNum>
  <w:abstractNum w:abstractNumId="65" w15:restartNumberingAfterBreak="0">
    <w:nsid w:val="7F4C4D90"/>
    <w:multiLevelType w:val="hybridMultilevel"/>
    <w:tmpl w:val="BED0A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6"/>
  </w:num>
  <w:num w:numId="2">
    <w:abstractNumId w:val="61"/>
  </w:num>
  <w:num w:numId="3">
    <w:abstractNumId w:val="51"/>
  </w:num>
  <w:num w:numId="4">
    <w:abstractNumId w:val="28"/>
  </w:num>
  <w:num w:numId="5">
    <w:abstractNumId w:val="52"/>
  </w:num>
  <w:num w:numId="6">
    <w:abstractNumId w:val="19"/>
  </w:num>
  <w:num w:numId="7">
    <w:abstractNumId w:val="20"/>
  </w:num>
  <w:num w:numId="8">
    <w:abstractNumId w:val="57"/>
  </w:num>
  <w:num w:numId="9">
    <w:abstractNumId w:val="23"/>
  </w:num>
  <w:num w:numId="10">
    <w:abstractNumId w:val="64"/>
  </w:num>
  <w:num w:numId="11">
    <w:abstractNumId w:val="33"/>
  </w:num>
  <w:num w:numId="12">
    <w:abstractNumId w:val="59"/>
  </w:num>
  <w:num w:numId="13">
    <w:abstractNumId w:val="12"/>
  </w:num>
  <w:num w:numId="14">
    <w:abstractNumId w:val="31"/>
  </w:num>
  <w:num w:numId="15">
    <w:abstractNumId w:val="34"/>
  </w:num>
  <w:num w:numId="16">
    <w:abstractNumId w:val="47"/>
  </w:num>
  <w:num w:numId="17">
    <w:abstractNumId w:val="26"/>
  </w:num>
  <w:num w:numId="18">
    <w:abstractNumId w:val="44"/>
  </w:num>
  <w:num w:numId="19">
    <w:abstractNumId w:val="15"/>
  </w:num>
  <w:num w:numId="20">
    <w:abstractNumId w:val="53"/>
  </w:num>
  <w:num w:numId="21">
    <w:abstractNumId w:val="9"/>
  </w:num>
  <w:num w:numId="22">
    <w:abstractNumId w:val="2"/>
  </w:num>
  <w:num w:numId="23">
    <w:abstractNumId w:val="45"/>
  </w:num>
  <w:num w:numId="24">
    <w:abstractNumId w:val="24"/>
  </w:num>
  <w:num w:numId="25">
    <w:abstractNumId w:val="30"/>
  </w:num>
  <w:num w:numId="26">
    <w:abstractNumId w:val="62"/>
  </w:num>
  <w:num w:numId="27">
    <w:abstractNumId w:val="54"/>
  </w:num>
  <w:num w:numId="28">
    <w:abstractNumId w:val="63"/>
  </w:num>
  <w:num w:numId="29">
    <w:abstractNumId w:val="16"/>
  </w:num>
  <w:num w:numId="30">
    <w:abstractNumId w:val="5"/>
  </w:num>
  <w:num w:numId="31">
    <w:abstractNumId w:val="29"/>
  </w:num>
  <w:num w:numId="32">
    <w:abstractNumId w:val="65"/>
  </w:num>
  <w:num w:numId="33">
    <w:abstractNumId w:val="60"/>
  </w:num>
  <w:num w:numId="34">
    <w:abstractNumId w:val="43"/>
  </w:num>
  <w:num w:numId="35">
    <w:abstractNumId w:val="18"/>
  </w:num>
  <w:num w:numId="36">
    <w:abstractNumId w:val="4"/>
  </w:num>
  <w:num w:numId="37">
    <w:abstractNumId w:val="27"/>
  </w:num>
  <w:num w:numId="38">
    <w:abstractNumId w:val="11"/>
  </w:num>
  <w:num w:numId="39">
    <w:abstractNumId w:val="42"/>
  </w:num>
  <w:num w:numId="40">
    <w:abstractNumId w:val="40"/>
  </w:num>
  <w:num w:numId="41">
    <w:abstractNumId w:val="38"/>
  </w:num>
  <w:num w:numId="42">
    <w:abstractNumId w:val="39"/>
  </w:num>
  <w:num w:numId="43">
    <w:abstractNumId w:val="13"/>
  </w:num>
  <w:num w:numId="44">
    <w:abstractNumId w:val="8"/>
  </w:num>
  <w:num w:numId="45">
    <w:abstractNumId w:val="17"/>
  </w:num>
  <w:num w:numId="46">
    <w:abstractNumId w:val="35"/>
  </w:num>
  <w:num w:numId="47">
    <w:abstractNumId w:val="22"/>
  </w:num>
  <w:num w:numId="48">
    <w:abstractNumId w:val="50"/>
  </w:num>
  <w:num w:numId="49">
    <w:abstractNumId w:val="37"/>
  </w:num>
  <w:num w:numId="50">
    <w:abstractNumId w:val="10"/>
  </w:num>
  <w:num w:numId="51">
    <w:abstractNumId w:val="56"/>
  </w:num>
  <w:num w:numId="52">
    <w:abstractNumId w:val="48"/>
  </w:num>
  <w:num w:numId="53">
    <w:abstractNumId w:val="0"/>
  </w:num>
  <w:num w:numId="54">
    <w:abstractNumId w:val="1"/>
  </w:num>
  <w:num w:numId="55">
    <w:abstractNumId w:val="21"/>
  </w:num>
  <w:num w:numId="56">
    <w:abstractNumId w:val="25"/>
  </w:num>
  <w:num w:numId="57">
    <w:abstractNumId w:val="55"/>
  </w:num>
  <w:num w:numId="58">
    <w:abstractNumId w:val="41"/>
  </w:num>
  <w:num w:numId="59">
    <w:abstractNumId w:val="58"/>
  </w:num>
  <w:num w:numId="60">
    <w:abstractNumId w:val="14"/>
  </w:num>
  <w:num w:numId="61">
    <w:abstractNumId w:val="3"/>
  </w:num>
  <w:num w:numId="62">
    <w:abstractNumId w:val="32"/>
  </w:num>
  <w:num w:numId="63">
    <w:abstractNumId w:val="49"/>
  </w:num>
  <w:num w:numId="64">
    <w:abstractNumId w:val="7"/>
  </w:num>
  <w:num w:numId="65">
    <w:abstractNumId w:val="46"/>
  </w:num>
  <w:num w:numId="66">
    <w:abstractNumId w:val="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9A8"/>
    <w:rsid w:val="00000077"/>
    <w:rsid w:val="00000082"/>
    <w:rsid w:val="0000093E"/>
    <w:rsid w:val="0000098F"/>
    <w:rsid w:val="000009B4"/>
    <w:rsid w:val="00000DD5"/>
    <w:rsid w:val="00000E8A"/>
    <w:rsid w:val="000015BB"/>
    <w:rsid w:val="00001816"/>
    <w:rsid w:val="00001858"/>
    <w:rsid w:val="0000197D"/>
    <w:rsid w:val="00001CE3"/>
    <w:rsid w:val="00001E23"/>
    <w:rsid w:val="0000252A"/>
    <w:rsid w:val="00002657"/>
    <w:rsid w:val="00003229"/>
    <w:rsid w:val="0000324D"/>
    <w:rsid w:val="0000332F"/>
    <w:rsid w:val="000033C8"/>
    <w:rsid w:val="000036F3"/>
    <w:rsid w:val="00003C3E"/>
    <w:rsid w:val="00003EEB"/>
    <w:rsid w:val="00003FE4"/>
    <w:rsid w:val="000040A6"/>
    <w:rsid w:val="000040B5"/>
    <w:rsid w:val="0000470F"/>
    <w:rsid w:val="000047A2"/>
    <w:rsid w:val="00004814"/>
    <w:rsid w:val="00004848"/>
    <w:rsid w:val="0000484F"/>
    <w:rsid w:val="000049E1"/>
    <w:rsid w:val="00004A9F"/>
    <w:rsid w:val="00004AF6"/>
    <w:rsid w:val="00004E40"/>
    <w:rsid w:val="000054FB"/>
    <w:rsid w:val="0000586E"/>
    <w:rsid w:val="00005A96"/>
    <w:rsid w:val="00005B62"/>
    <w:rsid w:val="00005BA8"/>
    <w:rsid w:val="00005D70"/>
    <w:rsid w:val="00005DB8"/>
    <w:rsid w:val="00005E32"/>
    <w:rsid w:val="0000603A"/>
    <w:rsid w:val="00006304"/>
    <w:rsid w:val="00006433"/>
    <w:rsid w:val="00006584"/>
    <w:rsid w:val="000065E7"/>
    <w:rsid w:val="00006651"/>
    <w:rsid w:val="00006941"/>
    <w:rsid w:val="000073A4"/>
    <w:rsid w:val="00007564"/>
    <w:rsid w:val="00007613"/>
    <w:rsid w:val="000077C1"/>
    <w:rsid w:val="0000780B"/>
    <w:rsid w:val="000078D1"/>
    <w:rsid w:val="00007EC9"/>
    <w:rsid w:val="00007F1F"/>
    <w:rsid w:val="00010061"/>
    <w:rsid w:val="00010215"/>
    <w:rsid w:val="00010399"/>
    <w:rsid w:val="00010416"/>
    <w:rsid w:val="00011170"/>
    <w:rsid w:val="00011788"/>
    <w:rsid w:val="00011896"/>
    <w:rsid w:val="00011929"/>
    <w:rsid w:val="00011AE3"/>
    <w:rsid w:val="00011B11"/>
    <w:rsid w:val="00011CFC"/>
    <w:rsid w:val="00011EAA"/>
    <w:rsid w:val="00011F9D"/>
    <w:rsid w:val="0001200D"/>
    <w:rsid w:val="00012369"/>
    <w:rsid w:val="00012647"/>
    <w:rsid w:val="00012A69"/>
    <w:rsid w:val="00012C50"/>
    <w:rsid w:val="00013270"/>
    <w:rsid w:val="0001385D"/>
    <w:rsid w:val="00013A4D"/>
    <w:rsid w:val="000142AD"/>
    <w:rsid w:val="000146A6"/>
    <w:rsid w:val="00014750"/>
    <w:rsid w:val="000154DA"/>
    <w:rsid w:val="00015622"/>
    <w:rsid w:val="00015A7F"/>
    <w:rsid w:val="00015B26"/>
    <w:rsid w:val="00015D50"/>
    <w:rsid w:val="00015E62"/>
    <w:rsid w:val="00015F8F"/>
    <w:rsid w:val="0001630C"/>
    <w:rsid w:val="000164AA"/>
    <w:rsid w:val="00016507"/>
    <w:rsid w:val="00016556"/>
    <w:rsid w:val="00016609"/>
    <w:rsid w:val="000167DA"/>
    <w:rsid w:val="000168ED"/>
    <w:rsid w:val="00016BD3"/>
    <w:rsid w:val="00017095"/>
    <w:rsid w:val="000170CE"/>
    <w:rsid w:val="00017101"/>
    <w:rsid w:val="00017358"/>
    <w:rsid w:val="0001746D"/>
    <w:rsid w:val="00017503"/>
    <w:rsid w:val="00017727"/>
    <w:rsid w:val="000177FA"/>
    <w:rsid w:val="00017BD3"/>
    <w:rsid w:val="00017C76"/>
    <w:rsid w:val="00017F44"/>
    <w:rsid w:val="00020155"/>
    <w:rsid w:val="000206FE"/>
    <w:rsid w:val="00020781"/>
    <w:rsid w:val="0002079F"/>
    <w:rsid w:val="00020916"/>
    <w:rsid w:val="00020C1B"/>
    <w:rsid w:val="00020C20"/>
    <w:rsid w:val="00020C22"/>
    <w:rsid w:val="00020CB6"/>
    <w:rsid w:val="00020FA2"/>
    <w:rsid w:val="00021013"/>
    <w:rsid w:val="000210D4"/>
    <w:rsid w:val="000213A7"/>
    <w:rsid w:val="00021525"/>
    <w:rsid w:val="0002169D"/>
    <w:rsid w:val="00021C9B"/>
    <w:rsid w:val="00022174"/>
    <w:rsid w:val="000221F8"/>
    <w:rsid w:val="00022596"/>
    <w:rsid w:val="000226BB"/>
    <w:rsid w:val="0002279C"/>
    <w:rsid w:val="00022985"/>
    <w:rsid w:val="00022CAF"/>
    <w:rsid w:val="00023097"/>
    <w:rsid w:val="000231D0"/>
    <w:rsid w:val="000234A0"/>
    <w:rsid w:val="000234C8"/>
    <w:rsid w:val="00023A9C"/>
    <w:rsid w:val="00023BDD"/>
    <w:rsid w:val="00023D5E"/>
    <w:rsid w:val="00023F4B"/>
    <w:rsid w:val="00024166"/>
    <w:rsid w:val="00024791"/>
    <w:rsid w:val="00024B85"/>
    <w:rsid w:val="00024FC1"/>
    <w:rsid w:val="0002505A"/>
    <w:rsid w:val="00025137"/>
    <w:rsid w:val="0002525C"/>
    <w:rsid w:val="000255B7"/>
    <w:rsid w:val="000257FF"/>
    <w:rsid w:val="0002593B"/>
    <w:rsid w:val="000259F3"/>
    <w:rsid w:val="00025D92"/>
    <w:rsid w:val="00025DBA"/>
    <w:rsid w:val="00026366"/>
    <w:rsid w:val="000263BC"/>
    <w:rsid w:val="0002645A"/>
    <w:rsid w:val="00026536"/>
    <w:rsid w:val="00026B4E"/>
    <w:rsid w:val="00026C4D"/>
    <w:rsid w:val="00026D56"/>
    <w:rsid w:val="00026E4C"/>
    <w:rsid w:val="0002739A"/>
    <w:rsid w:val="000274C5"/>
    <w:rsid w:val="000275F2"/>
    <w:rsid w:val="0002766B"/>
    <w:rsid w:val="00027B6A"/>
    <w:rsid w:val="00027F44"/>
    <w:rsid w:val="0003079F"/>
    <w:rsid w:val="00030BBC"/>
    <w:rsid w:val="00030DEC"/>
    <w:rsid w:val="00030E12"/>
    <w:rsid w:val="00030F57"/>
    <w:rsid w:val="000315A8"/>
    <w:rsid w:val="00031806"/>
    <w:rsid w:val="00031947"/>
    <w:rsid w:val="000319DA"/>
    <w:rsid w:val="00031A57"/>
    <w:rsid w:val="00031C85"/>
    <w:rsid w:val="00031C96"/>
    <w:rsid w:val="00031D5B"/>
    <w:rsid w:val="00031EC1"/>
    <w:rsid w:val="000320F7"/>
    <w:rsid w:val="0003309F"/>
    <w:rsid w:val="000330D8"/>
    <w:rsid w:val="000331C7"/>
    <w:rsid w:val="00033260"/>
    <w:rsid w:val="00033429"/>
    <w:rsid w:val="00033934"/>
    <w:rsid w:val="0003398A"/>
    <w:rsid w:val="00033A50"/>
    <w:rsid w:val="00033B08"/>
    <w:rsid w:val="00033B73"/>
    <w:rsid w:val="00033D50"/>
    <w:rsid w:val="00033EDF"/>
    <w:rsid w:val="000346FD"/>
    <w:rsid w:val="00034B87"/>
    <w:rsid w:val="00034DCB"/>
    <w:rsid w:val="00034FF3"/>
    <w:rsid w:val="0003503F"/>
    <w:rsid w:val="000350B3"/>
    <w:rsid w:val="0003513F"/>
    <w:rsid w:val="000351F7"/>
    <w:rsid w:val="00035238"/>
    <w:rsid w:val="0003546F"/>
    <w:rsid w:val="00035508"/>
    <w:rsid w:val="0003583C"/>
    <w:rsid w:val="000361A7"/>
    <w:rsid w:val="00036655"/>
    <w:rsid w:val="0003688D"/>
    <w:rsid w:val="000368A3"/>
    <w:rsid w:val="000368C5"/>
    <w:rsid w:val="00036BC2"/>
    <w:rsid w:val="00036E3A"/>
    <w:rsid w:val="00036ED2"/>
    <w:rsid w:val="00036F74"/>
    <w:rsid w:val="00037394"/>
    <w:rsid w:val="000375A5"/>
    <w:rsid w:val="000378AE"/>
    <w:rsid w:val="00037D58"/>
    <w:rsid w:val="00040511"/>
    <w:rsid w:val="00040B00"/>
    <w:rsid w:val="00040DDC"/>
    <w:rsid w:val="000414A7"/>
    <w:rsid w:val="000415E6"/>
    <w:rsid w:val="00041B84"/>
    <w:rsid w:val="00041DFB"/>
    <w:rsid w:val="00041E19"/>
    <w:rsid w:val="000420E0"/>
    <w:rsid w:val="000420F4"/>
    <w:rsid w:val="000428F1"/>
    <w:rsid w:val="00042C67"/>
    <w:rsid w:val="00042EAD"/>
    <w:rsid w:val="0004307D"/>
    <w:rsid w:val="000430AE"/>
    <w:rsid w:val="00043627"/>
    <w:rsid w:val="000436B2"/>
    <w:rsid w:val="00043C23"/>
    <w:rsid w:val="00043E61"/>
    <w:rsid w:val="000442E3"/>
    <w:rsid w:val="000443C6"/>
    <w:rsid w:val="0004494B"/>
    <w:rsid w:val="00044C7B"/>
    <w:rsid w:val="00044CFE"/>
    <w:rsid w:val="00045198"/>
    <w:rsid w:val="000452A5"/>
    <w:rsid w:val="0004554C"/>
    <w:rsid w:val="00045602"/>
    <w:rsid w:val="00045BAC"/>
    <w:rsid w:val="00045D78"/>
    <w:rsid w:val="00045E3A"/>
    <w:rsid w:val="00046130"/>
    <w:rsid w:val="00046141"/>
    <w:rsid w:val="00046586"/>
    <w:rsid w:val="000469CA"/>
    <w:rsid w:val="00046AC0"/>
    <w:rsid w:val="00046B75"/>
    <w:rsid w:val="00046C4D"/>
    <w:rsid w:val="00046C9E"/>
    <w:rsid w:val="00046D5E"/>
    <w:rsid w:val="00046E06"/>
    <w:rsid w:val="00046EA2"/>
    <w:rsid w:val="00046F12"/>
    <w:rsid w:val="000472F7"/>
    <w:rsid w:val="0004757D"/>
    <w:rsid w:val="000479EC"/>
    <w:rsid w:val="00047A5E"/>
    <w:rsid w:val="00047B06"/>
    <w:rsid w:val="00047E4A"/>
    <w:rsid w:val="00047EB9"/>
    <w:rsid w:val="00047FB4"/>
    <w:rsid w:val="000500F5"/>
    <w:rsid w:val="0005039F"/>
    <w:rsid w:val="000505A7"/>
    <w:rsid w:val="000506EC"/>
    <w:rsid w:val="0005078D"/>
    <w:rsid w:val="000509FE"/>
    <w:rsid w:val="00050A3E"/>
    <w:rsid w:val="00050BD2"/>
    <w:rsid w:val="00050BE6"/>
    <w:rsid w:val="00050D29"/>
    <w:rsid w:val="00050EA7"/>
    <w:rsid w:val="00051150"/>
    <w:rsid w:val="000512C0"/>
    <w:rsid w:val="0005156D"/>
    <w:rsid w:val="0005167D"/>
    <w:rsid w:val="00051896"/>
    <w:rsid w:val="00051D99"/>
    <w:rsid w:val="00051F41"/>
    <w:rsid w:val="000520AF"/>
    <w:rsid w:val="000520B9"/>
    <w:rsid w:val="000523C6"/>
    <w:rsid w:val="00052478"/>
    <w:rsid w:val="000529BC"/>
    <w:rsid w:val="00052B84"/>
    <w:rsid w:val="00052C92"/>
    <w:rsid w:val="00052EB8"/>
    <w:rsid w:val="00053002"/>
    <w:rsid w:val="000530DB"/>
    <w:rsid w:val="0005324B"/>
    <w:rsid w:val="000532AD"/>
    <w:rsid w:val="00053723"/>
    <w:rsid w:val="000537AF"/>
    <w:rsid w:val="00053918"/>
    <w:rsid w:val="000539ED"/>
    <w:rsid w:val="00053CE1"/>
    <w:rsid w:val="00053FB6"/>
    <w:rsid w:val="0005408D"/>
    <w:rsid w:val="000542DD"/>
    <w:rsid w:val="00054579"/>
    <w:rsid w:val="0005498A"/>
    <w:rsid w:val="00054C48"/>
    <w:rsid w:val="00054F05"/>
    <w:rsid w:val="00055061"/>
    <w:rsid w:val="000550E4"/>
    <w:rsid w:val="0005541B"/>
    <w:rsid w:val="00055679"/>
    <w:rsid w:val="0005592C"/>
    <w:rsid w:val="00055BB7"/>
    <w:rsid w:val="00055C18"/>
    <w:rsid w:val="00055D6E"/>
    <w:rsid w:val="00055D77"/>
    <w:rsid w:val="00056108"/>
    <w:rsid w:val="00056928"/>
    <w:rsid w:val="00056A3B"/>
    <w:rsid w:val="00056EF1"/>
    <w:rsid w:val="000571C1"/>
    <w:rsid w:val="000571F1"/>
    <w:rsid w:val="00057360"/>
    <w:rsid w:val="00057695"/>
    <w:rsid w:val="000576CB"/>
    <w:rsid w:val="00057A90"/>
    <w:rsid w:val="00057B92"/>
    <w:rsid w:val="00057D7F"/>
    <w:rsid w:val="00057F2C"/>
    <w:rsid w:val="00060113"/>
    <w:rsid w:val="00060572"/>
    <w:rsid w:val="00060846"/>
    <w:rsid w:val="000608BE"/>
    <w:rsid w:val="000608EB"/>
    <w:rsid w:val="00060FBD"/>
    <w:rsid w:val="000613B5"/>
    <w:rsid w:val="00061699"/>
    <w:rsid w:val="00061A15"/>
    <w:rsid w:val="00061C07"/>
    <w:rsid w:val="00061CA1"/>
    <w:rsid w:val="00061D9B"/>
    <w:rsid w:val="00061F3B"/>
    <w:rsid w:val="00061FE3"/>
    <w:rsid w:val="00062256"/>
    <w:rsid w:val="000629DA"/>
    <w:rsid w:val="00062ACE"/>
    <w:rsid w:val="000630C0"/>
    <w:rsid w:val="00063237"/>
    <w:rsid w:val="000632DC"/>
    <w:rsid w:val="00063748"/>
    <w:rsid w:val="00063792"/>
    <w:rsid w:val="00063C9C"/>
    <w:rsid w:val="00063CEB"/>
    <w:rsid w:val="00064098"/>
    <w:rsid w:val="000641EA"/>
    <w:rsid w:val="00064290"/>
    <w:rsid w:val="0006441F"/>
    <w:rsid w:val="0006444D"/>
    <w:rsid w:val="00064683"/>
    <w:rsid w:val="00064874"/>
    <w:rsid w:val="000649C3"/>
    <w:rsid w:val="00064D3C"/>
    <w:rsid w:val="00064F42"/>
    <w:rsid w:val="000650EC"/>
    <w:rsid w:val="000652E0"/>
    <w:rsid w:val="00065485"/>
    <w:rsid w:val="00065BC5"/>
    <w:rsid w:val="000662F9"/>
    <w:rsid w:val="00066328"/>
    <w:rsid w:val="000669C9"/>
    <w:rsid w:val="00066A9A"/>
    <w:rsid w:val="00066AAB"/>
    <w:rsid w:val="00066C80"/>
    <w:rsid w:val="00066CDB"/>
    <w:rsid w:val="00066F01"/>
    <w:rsid w:val="00067272"/>
    <w:rsid w:val="0006780C"/>
    <w:rsid w:val="0006790D"/>
    <w:rsid w:val="00067AE0"/>
    <w:rsid w:val="00067D4A"/>
    <w:rsid w:val="00067D79"/>
    <w:rsid w:val="00067EAD"/>
    <w:rsid w:val="00067F99"/>
    <w:rsid w:val="00070045"/>
    <w:rsid w:val="000701B6"/>
    <w:rsid w:val="00070276"/>
    <w:rsid w:val="00070322"/>
    <w:rsid w:val="000704D2"/>
    <w:rsid w:val="000709B4"/>
    <w:rsid w:val="0007112F"/>
    <w:rsid w:val="000711CD"/>
    <w:rsid w:val="000719DD"/>
    <w:rsid w:val="00072469"/>
    <w:rsid w:val="00072616"/>
    <w:rsid w:val="000726A3"/>
    <w:rsid w:val="00072AC4"/>
    <w:rsid w:val="000730CE"/>
    <w:rsid w:val="00073239"/>
    <w:rsid w:val="000733AA"/>
    <w:rsid w:val="00073484"/>
    <w:rsid w:val="000734F4"/>
    <w:rsid w:val="0007376B"/>
    <w:rsid w:val="00073BC8"/>
    <w:rsid w:val="00073D99"/>
    <w:rsid w:val="00073F37"/>
    <w:rsid w:val="00074004"/>
    <w:rsid w:val="00074206"/>
    <w:rsid w:val="000750B4"/>
    <w:rsid w:val="0007520D"/>
    <w:rsid w:val="000759D0"/>
    <w:rsid w:val="00075BEC"/>
    <w:rsid w:val="00076170"/>
    <w:rsid w:val="0007620B"/>
    <w:rsid w:val="00076738"/>
    <w:rsid w:val="0007692D"/>
    <w:rsid w:val="00076BFE"/>
    <w:rsid w:val="000775C4"/>
    <w:rsid w:val="00077686"/>
    <w:rsid w:val="000778DE"/>
    <w:rsid w:val="00077B7F"/>
    <w:rsid w:val="00077DC4"/>
    <w:rsid w:val="00077ECD"/>
    <w:rsid w:val="00077F76"/>
    <w:rsid w:val="0007ECF6"/>
    <w:rsid w:val="0008010D"/>
    <w:rsid w:val="000803AE"/>
    <w:rsid w:val="0008091C"/>
    <w:rsid w:val="00080BF4"/>
    <w:rsid w:val="0008130F"/>
    <w:rsid w:val="00081377"/>
    <w:rsid w:val="0008144A"/>
    <w:rsid w:val="000814FC"/>
    <w:rsid w:val="00081608"/>
    <w:rsid w:val="00081985"/>
    <w:rsid w:val="00081B51"/>
    <w:rsid w:val="00081BDA"/>
    <w:rsid w:val="00081E60"/>
    <w:rsid w:val="00082195"/>
    <w:rsid w:val="00082453"/>
    <w:rsid w:val="00082516"/>
    <w:rsid w:val="000826E8"/>
    <w:rsid w:val="000828AD"/>
    <w:rsid w:val="00082908"/>
    <w:rsid w:val="000829C3"/>
    <w:rsid w:val="00082C05"/>
    <w:rsid w:val="00082D86"/>
    <w:rsid w:val="000833E9"/>
    <w:rsid w:val="00083655"/>
    <w:rsid w:val="00083662"/>
    <w:rsid w:val="00083E1D"/>
    <w:rsid w:val="0008409C"/>
    <w:rsid w:val="0008413E"/>
    <w:rsid w:val="0008457C"/>
    <w:rsid w:val="00084A05"/>
    <w:rsid w:val="00084C27"/>
    <w:rsid w:val="00084C5D"/>
    <w:rsid w:val="00084C76"/>
    <w:rsid w:val="00084D10"/>
    <w:rsid w:val="00085176"/>
    <w:rsid w:val="000851D8"/>
    <w:rsid w:val="00085410"/>
    <w:rsid w:val="00085420"/>
    <w:rsid w:val="00085790"/>
    <w:rsid w:val="00085840"/>
    <w:rsid w:val="000859D2"/>
    <w:rsid w:val="00085A44"/>
    <w:rsid w:val="00085F6A"/>
    <w:rsid w:val="00086086"/>
    <w:rsid w:val="00086155"/>
    <w:rsid w:val="0008624F"/>
    <w:rsid w:val="000864FC"/>
    <w:rsid w:val="00086BC7"/>
    <w:rsid w:val="00086CA1"/>
    <w:rsid w:val="00086CA8"/>
    <w:rsid w:val="00086E53"/>
    <w:rsid w:val="00086F30"/>
    <w:rsid w:val="000875BF"/>
    <w:rsid w:val="0008773F"/>
    <w:rsid w:val="0008791C"/>
    <w:rsid w:val="00087A14"/>
    <w:rsid w:val="00087A1C"/>
    <w:rsid w:val="00087A8F"/>
    <w:rsid w:val="00087D14"/>
    <w:rsid w:val="00087E1A"/>
    <w:rsid w:val="00087EAE"/>
    <w:rsid w:val="00087FE6"/>
    <w:rsid w:val="0009049F"/>
    <w:rsid w:val="000905B8"/>
    <w:rsid w:val="00090906"/>
    <w:rsid w:val="00090B23"/>
    <w:rsid w:val="00090BAD"/>
    <w:rsid w:val="00090E41"/>
    <w:rsid w:val="0009119B"/>
    <w:rsid w:val="000911EA"/>
    <w:rsid w:val="000913B9"/>
    <w:rsid w:val="000914AD"/>
    <w:rsid w:val="0009194E"/>
    <w:rsid w:val="00091DB6"/>
    <w:rsid w:val="000921B1"/>
    <w:rsid w:val="000923F6"/>
    <w:rsid w:val="0009288D"/>
    <w:rsid w:val="000928CF"/>
    <w:rsid w:val="000929FE"/>
    <w:rsid w:val="00092C22"/>
    <w:rsid w:val="00092E11"/>
    <w:rsid w:val="00092EEE"/>
    <w:rsid w:val="00093001"/>
    <w:rsid w:val="000933FA"/>
    <w:rsid w:val="0009359A"/>
    <w:rsid w:val="0009367B"/>
    <w:rsid w:val="00093D80"/>
    <w:rsid w:val="00093F06"/>
    <w:rsid w:val="00093FDB"/>
    <w:rsid w:val="000942DD"/>
    <w:rsid w:val="0009435E"/>
    <w:rsid w:val="000943FE"/>
    <w:rsid w:val="00094659"/>
    <w:rsid w:val="000949C1"/>
    <w:rsid w:val="000956C4"/>
    <w:rsid w:val="000959D2"/>
    <w:rsid w:val="00095B52"/>
    <w:rsid w:val="00095B73"/>
    <w:rsid w:val="00095BF6"/>
    <w:rsid w:val="00095DBC"/>
    <w:rsid w:val="00096C97"/>
    <w:rsid w:val="00096FEA"/>
    <w:rsid w:val="00096FFA"/>
    <w:rsid w:val="0009713A"/>
    <w:rsid w:val="00097476"/>
    <w:rsid w:val="0009754B"/>
    <w:rsid w:val="00097990"/>
    <w:rsid w:val="00097BCB"/>
    <w:rsid w:val="00097D0B"/>
    <w:rsid w:val="00097D45"/>
    <w:rsid w:val="000A030B"/>
    <w:rsid w:val="000A0506"/>
    <w:rsid w:val="000A0C35"/>
    <w:rsid w:val="000A0D7A"/>
    <w:rsid w:val="000A1423"/>
    <w:rsid w:val="000A14CA"/>
    <w:rsid w:val="000A1BF7"/>
    <w:rsid w:val="000A1F7B"/>
    <w:rsid w:val="000A2040"/>
    <w:rsid w:val="000A223A"/>
    <w:rsid w:val="000A24A6"/>
    <w:rsid w:val="000A268F"/>
    <w:rsid w:val="000A29E7"/>
    <w:rsid w:val="000A2AE3"/>
    <w:rsid w:val="000A2B29"/>
    <w:rsid w:val="000A2BC4"/>
    <w:rsid w:val="000A3100"/>
    <w:rsid w:val="000A321D"/>
    <w:rsid w:val="000A328F"/>
    <w:rsid w:val="000A342C"/>
    <w:rsid w:val="000A3CDF"/>
    <w:rsid w:val="000A3E80"/>
    <w:rsid w:val="000A3FA0"/>
    <w:rsid w:val="000A3FC8"/>
    <w:rsid w:val="000A40A3"/>
    <w:rsid w:val="000A441C"/>
    <w:rsid w:val="000A47AB"/>
    <w:rsid w:val="000A4921"/>
    <w:rsid w:val="000A4D05"/>
    <w:rsid w:val="000A5003"/>
    <w:rsid w:val="000A5508"/>
    <w:rsid w:val="000A5820"/>
    <w:rsid w:val="000A5BA7"/>
    <w:rsid w:val="000A5CD5"/>
    <w:rsid w:val="000A5D98"/>
    <w:rsid w:val="000A5EBC"/>
    <w:rsid w:val="000A5FB8"/>
    <w:rsid w:val="000A613D"/>
    <w:rsid w:val="000A6356"/>
    <w:rsid w:val="000A6572"/>
    <w:rsid w:val="000A6684"/>
    <w:rsid w:val="000A680E"/>
    <w:rsid w:val="000A69B9"/>
    <w:rsid w:val="000A6AE7"/>
    <w:rsid w:val="000A6FF5"/>
    <w:rsid w:val="000A705D"/>
    <w:rsid w:val="000A71FD"/>
    <w:rsid w:val="000A726C"/>
    <w:rsid w:val="000A7295"/>
    <w:rsid w:val="000A74D0"/>
    <w:rsid w:val="000A7765"/>
    <w:rsid w:val="000A77D7"/>
    <w:rsid w:val="000A7C01"/>
    <w:rsid w:val="000B0C3C"/>
    <w:rsid w:val="000B1139"/>
    <w:rsid w:val="000B11F5"/>
    <w:rsid w:val="000B16B6"/>
    <w:rsid w:val="000B1899"/>
    <w:rsid w:val="000B1C77"/>
    <w:rsid w:val="000B1CA7"/>
    <w:rsid w:val="000B1E8B"/>
    <w:rsid w:val="000B20D9"/>
    <w:rsid w:val="000B20F7"/>
    <w:rsid w:val="000B232C"/>
    <w:rsid w:val="000B2E4C"/>
    <w:rsid w:val="000B2FAD"/>
    <w:rsid w:val="000B309C"/>
    <w:rsid w:val="000B311F"/>
    <w:rsid w:val="000B3166"/>
    <w:rsid w:val="000B353D"/>
    <w:rsid w:val="000B3FA6"/>
    <w:rsid w:val="000B40C0"/>
    <w:rsid w:val="000B40D0"/>
    <w:rsid w:val="000B4369"/>
    <w:rsid w:val="000B457A"/>
    <w:rsid w:val="000B47E4"/>
    <w:rsid w:val="000B492A"/>
    <w:rsid w:val="000B4A8D"/>
    <w:rsid w:val="000B4BEB"/>
    <w:rsid w:val="000B4EDC"/>
    <w:rsid w:val="000B4FAF"/>
    <w:rsid w:val="000B50E0"/>
    <w:rsid w:val="000B539E"/>
    <w:rsid w:val="000B5447"/>
    <w:rsid w:val="000B5CE2"/>
    <w:rsid w:val="000B5DC5"/>
    <w:rsid w:val="000B5F73"/>
    <w:rsid w:val="000B6B54"/>
    <w:rsid w:val="000B6B70"/>
    <w:rsid w:val="000B716F"/>
    <w:rsid w:val="000B71B2"/>
    <w:rsid w:val="000B7477"/>
    <w:rsid w:val="000B7CFB"/>
    <w:rsid w:val="000B7EE9"/>
    <w:rsid w:val="000C0112"/>
    <w:rsid w:val="000C01E1"/>
    <w:rsid w:val="000C025C"/>
    <w:rsid w:val="000C027A"/>
    <w:rsid w:val="000C0347"/>
    <w:rsid w:val="000C035E"/>
    <w:rsid w:val="000C0549"/>
    <w:rsid w:val="000C055D"/>
    <w:rsid w:val="000C05A7"/>
    <w:rsid w:val="000C0C4C"/>
    <w:rsid w:val="000C0FEE"/>
    <w:rsid w:val="000C116F"/>
    <w:rsid w:val="000C134B"/>
    <w:rsid w:val="000C1484"/>
    <w:rsid w:val="000C165A"/>
    <w:rsid w:val="000C1709"/>
    <w:rsid w:val="000C1A40"/>
    <w:rsid w:val="000C1B95"/>
    <w:rsid w:val="000C20C0"/>
    <w:rsid w:val="000C2665"/>
    <w:rsid w:val="000C2B2C"/>
    <w:rsid w:val="000C2C4B"/>
    <w:rsid w:val="000C32F7"/>
    <w:rsid w:val="000C3466"/>
    <w:rsid w:val="000C348D"/>
    <w:rsid w:val="000C34E5"/>
    <w:rsid w:val="000C3995"/>
    <w:rsid w:val="000C39A9"/>
    <w:rsid w:val="000C3BFB"/>
    <w:rsid w:val="000C3BFC"/>
    <w:rsid w:val="000C3D2D"/>
    <w:rsid w:val="000C40C6"/>
    <w:rsid w:val="000C40C8"/>
    <w:rsid w:val="000C40D3"/>
    <w:rsid w:val="000C4124"/>
    <w:rsid w:val="000C417B"/>
    <w:rsid w:val="000C421E"/>
    <w:rsid w:val="000C44B7"/>
    <w:rsid w:val="000C485B"/>
    <w:rsid w:val="000C488D"/>
    <w:rsid w:val="000C49CE"/>
    <w:rsid w:val="000C4A98"/>
    <w:rsid w:val="000C4ED1"/>
    <w:rsid w:val="000C4F0A"/>
    <w:rsid w:val="000C531B"/>
    <w:rsid w:val="000C5567"/>
    <w:rsid w:val="000C58C4"/>
    <w:rsid w:val="000C5A3F"/>
    <w:rsid w:val="000C5C5B"/>
    <w:rsid w:val="000C65E2"/>
    <w:rsid w:val="000C6848"/>
    <w:rsid w:val="000C6A27"/>
    <w:rsid w:val="000C6A94"/>
    <w:rsid w:val="000C77A4"/>
    <w:rsid w:val="000C7DE7"/>
    <w:rsid w:val="000C7E16"/>
    <w:rsid w:val="000C7F74"/>
    <w:rsid w:val="000C7F8A"/>
    <w:rsid w:val="000D00EA"/>
    <w:rsid w:val="000D02B4"/>
    <w:rsid w:val="000D0355"/>
    <w:rsid w:val="000D0684"/>
    <w:rsid w:val="000D06B1"/>
    <w:rsid w:val="000D07D6"/>
    <w:rsid w:val="000D0E3D"/>
    <w:rsid w:val="000D0E40"/>
    <w:rsid w:val="000D1361"/>
    <w:rsid w:val="000D17F3"/>
    <w:rsid w:val="000D1852"/>
    <w:rsid w:val="000D1D0B"/>
    <w:rsid w:val="000D1EAF"/>
    <w:rsid w:val="000D1F73"/>
    <w:rsid w:val="000D211A"/>
    <w:rsid w:val="000D237E"/>
    <w:rsid w:val="000D25E6"/>
    <w:rsid w:val="000D268E"/>
    <w:rsid w:val="000D287E"/>
    <w:rsid w:val="000D28B6"/>
    <w:rsid w:val="000D2907"/>
    <w:rsid w:val="000D2A8A"/>
    <w:rsid w:val="000D2B9F"/>
    <w:rsid w:val="000D2BDA"/>
    <w:rsid w:val="000D2E32"/>
    <w:rsid w:val="000D2E49"/>
    <w:rsid w:val="000D3139"/>
    <w:rsid w:val="000D31CD"/>
    <w:rsid w:val="000D3521"/>
    <w:rsid w:val="000D3578"/>
    <w:rsid w:val="000D37F1"/>
    <w:rsid w:val="000D3DDD"/>
    <w:rsid w:val="000D40BE"/>
    <w:rsid w:val="000D4654"/>
    <w:rsid w:val="000D48D6"/>
    <w:rsid w:val="000D4C07"/>
    <w:rsid w:val="000D4C56"/>
    <w:rsid w:val="000D4CDE"/>
    <w:rsid w:val="000D4F07"/>
    <w:rsid w:val="000D52BD"/>
    <w:rsid w:val="000D53FE"/>
    <w:rsid w:val="000D5447"/>
    <w:rsid w:val="000D5877"/>
    <w:rsid w:val="000D5CF2"/>
    <w:rsid w:val="000D5EA0"/>
    <w:rsid w:val="000D62A9"/>
    <w:rsid w:val="000D63F5"/>
    <w:rsid w:val="000D6496"/>
    <w:rsid w:val="000D64B2"/>
    <w:rsid w:val="000D6835"/>
    <w:rsid w:val="000D689A"/>
    <w:rsid w:val="000D69AB"/>
    <w:rsid w:val="000D6A5A"/>
    <w:rsid w:val="000D6E1D"/>
    <w:rsid w:val="000D7038"/>
    <w:rsid w:val="000D7044"/>
    <w:rsid w:val="000D747D"/>
    <w:rsid w:val="000D775F"/>
    <w:rsid w:val="000D79E5"/>
    <w:rsid w:val="000D7DB6"/>
    <w:rsid w:val="000E0013"/>
    <w:rsid w:val="000E0403"/>
    <w:rsid w:val="000E06CC"/>
    <w:rsid w:val="000E0761"/>
    <w:rsid w:val="000E0803"/>
    <w:rsid w:val="000E0958"/>
    <w:rsid w:val="000E09FB"/>
    <w:rsid w:val="000E0C43"/>
    <w:rsid w:val="000E0C5E"/>
    <w:rsid w:val="000E0CF1"/>
    <w:rsid w:val="000E0DB2"/>
    <w:rsid w:val="000E0F58"/>
    <w:rsid w:val="000E126E"/>
    <w:rsid w:val="000E133F"/>
    <w:rsid w:val="000E152C"/>
    <w:rsid w:val="000E1881"/>
    <w:rsid w:val="000E1E53"/>
    <w:rsid w:val="000E1F0D"/>
    <w:rsid w:val="000E214F"/>
    <w:rsid w:val="000E224F"/>
    <w:rsid w:val="000E2393"/>
    <w:rsid w:val="000E23F2"/>
    <w:rsid w:val="000E2682"/>
    <w:rsid w:val="000E2B30"/>
    <w:rsid w:val="000E2B3D"/>
    <w:rsid w:val="000E30B4"/>
    <w:rsid w:val="000E37F7"/>
    <w:rsid w:val="000E3906"/>
    <w:rsid w:val="000E3B17"/>
    <w:rsid w:val="000E3DF8"/>
    <w:rsid w:val="000E41AA"/>
    <w:rsid w:val="000E43DA"/>
    <w:rsid w:val="000E45F0"/>
    <w:rsid w:val="000E460D"/>
    <w:rsid w:val="000E4799"/>
    <w:rsid w:val="000E4B4F"/>
    <w:rsid w:val="000E4CFE"/>
    <w:rsid w:val="000E4D6A"/>
    <w:rsid w:val="000E56A4"/>
    <w:rsid w:val="000E5766"/>
    <w:rsid w:val="000E5EDA"/>
    <w:rsid w:val="000E6125"/>
    <w:rsid w:val="000E65AC"/>
    <w:rsid w:val="000E6746"/>
    <w:rsid w:val="000E6932"/>
    <w:rsid w:val="000E6B3C"/>
    <w:rsid w:val="000E6C61"/>
    <w:rsid w:val="000E6E0C"/>
    <w:rsid w:val="000E6EEE"/>
    <w:rsid w:val="000E752B"/>
    <w:rsid w:val="000E759A"/>
    <w:rsid w:val="000E7A47"/>
    <w:rsid w:val="000F0102"/>
    <w:rsid w:val="000F0586"/>
    <w:rsid w:val="000F061D"/>
    <w:rsid w:val="000F063A"/>
    <w:rsid w:val="000F0655"/>
    <w:rsid w:val="000F07AA"/>
    <w:rsid w:val="000F0924"/>
    <w:rsid w:val="000F096C"/>
    <w:rsid w:val="000F0CBA"/>
    <w:rsid w:val="000F10A4"/>
    <w:rsid w:val="000F116E"/>
    <w:rsid w:val="000F13B2"/>
    <w:rsid w:val="000F140C"/>
    <w:rsid w:val="000F140F"/>
    <w:rsid w:val="000F194D"/>
    <w:rsid w:val="000F1F59"/>
    <w:rsid w:val="000F2317"/>
    <w:rsid w:val="000F23EC"/>
    <w:rsid w:val="000F2623"/>
    <w:rsid w:val="000F27D8"/>
    <w:rsid w:val="000F2C3D"/>
    <w:rsid w:val="000F30A6"/>
    <w:rsid w:val="000F356C"/>
    <w:rsid w:val="000F378C"/>
    <w:rsid w:val="000F3807"/>
    <w:rsid w:val="000F38BC"/>
    <w:rsid w:val="000F39C7"/>
    <w:rsid w:val="000F39F0"/>
    <w:rsid w:val="000F3A0E"/>
    <w:rsid w:val="000F3C5C"/>
    <w:rsid w:val="000F3DB0"/>
    <w:rsid w:val="000F4168"/>
    <w:rsid w:val="000F4198"/>
    <w:rsid w:val="000F4257"/>
    <w:rsid w:val="000F4329"/>
    <w:rsid w:val="000F43B6"/>
    <w:rsid w:val="000F4854"/>
    <w:rsid w:val="000F4C09"/>
    <w:rsid w:val="000F4CF3"/>
    <w:rsid w:val="000F4DFF"/>
    <w:rsid w:val="000F4EC4"/>
    <w:rsid w:val="000F50C6"/>
    <w:rsid w:val="000F51C4"/>
    <w:rsid w:val="000F5319"/>
    <w:rsid w:val="000F53DA"/>
    <w:rsid w:val="000F5420"/>
    <w:rsid w:val="000F542D"/>
    <w:rsid w:val="000F5825"/>
    <w:rsid w:val="000F598A"/>
    <w:rsid w:val="000F5ED2"/>
    <w:rsid w:val="000F5F8C"/>
    <w:rsid w:val="000F6018"/>
    <w:rsid w:val="000F60E8"/>
    <w:rsid w:val="000F62AC"/>
    <w:rsid w:val="000F6D37"/>
    <w:rsid w:val="000F6E6E"/>
    <w:rsid w:val="000F6F18"/>
    <w:rsid w:val="000F7187"/>
    <w:rsid w:val="000F726F"/>
    <w:rsid w:val="000F741C"/>
    <w:rsid w:val="000F74EB"/>
    <w:rsid w:val="000F7745"/>
    <w:rsid w:val="000F7873"/>
    <w:rsid w:val="000F7B43"/>
    <w:rsid w:val="00100010"/>
    <w:rsid w:val="00100802"/>
    <w:rsid w:val="00100805"/>
    <w:rsid w:val="00100B2E"/>
    <w:rsid w:val="00100C2C"/>
    <w:rsid w:val="00100DDB"/>
    <w:rsid w:val="00101689"/>
    <w:rsid w:val="001016B9"/>
    <w:rsid w:val="00101736"/>
    <w:rsid w:val="00101922"/>
    <w:rsid w:val="001019BA"/>
    <w:rsid w:val="00101B97"/>
    <w:rsid w:val="00101F09"/>
    <w:rsid w:val="001021AC"/>
    <w:rsid w:val="001022B6"/>
    <w:rsid w:val="001022F3"/>
    <w:rsid w:val="00102368"/>
    <w:rsid w:val="0010237D"/>
    <w:rsid w:val="00102A97"/>
    <w:rsid w:val="00102AA9"/>
    <w:rsid w:val="00102CEC"/>
    <w:rsid w:val="00102EB9"/>
    <w:rsid w:val="00103134"/>
    <w:rsid w:val="001034A0"/>
    <w:rsid w:val="00103976"/>
    <w:rsid w:val="00103BFC"/>
    <w:rsid w:val="00104511"/>
    <w:rsid w:val="00104E3C"/>
    <w:rsid w:val="00104F7B"/>
    <w:rsid w:val="00105132"/>
    <w:rsid w:val="0010517F"/>
    <w:rsid w:val="001051C8"/>
    <w:rsid w:val="00105353"/>
    <w:rsid w:val="0010535D"/>
    <w:rsid w:val="001055E6"/>
    <w:rsid w:val="00105689"/>
    <w:rsid w:val="0010574C"/>
    <w:rsid w:val="0010597F"/>
    <w:rsid w:val="001059B0"/>
    <w:rsid w:val="00105E94"/>
    <w:rsid w:val="001061A9"/>
    <w:rsid w:val="001063F1"/>
    <w:rsid w:val="00106668"/>
    <w:rsid w:val="001066CE"/>
    <w:rsid w:val="001066FC"/>
    <w:rsid w:val="0010673F"/>
    <w:rsid w:val="00106AB2"/>
    <w:rsid w:val="00106E15"/>
    <w:rsid w:val="00106F9C"/>
    <w:rsid w:val="00107882"/>
    <w:rsid w:val="00107940"/>
    <w:rsid w:val="00107AC6"/>
    <w:rsid w:val="00107BB8"/>
    <w:rsid w:val="00107CF1"/>
    <w:rsid w:val="00107E3F"/>
    <w:rsid w:val="00110439"/>
    <w:rsid w:val="0011044A"/>
    <w:rsid w:val="00110466"/>
    <w:rsid w:val="0011058F"/>
    <w:rsid w:val="00110776"/>
    <w:rsid w:val="00110AA7"/>
    <w:rsid w:val="00110C07"/>
    <w:rsid w:val="00110FB8"/>
    <w:rsid w:val="00111094"/>
    <w:rsid w:val="0011150E"/>
    <w:rsid w:val="001115D6"/>
    <w:rsid w:val="001117FF"/>
    <w:rsid w:val="00111982"/>
    <w:rsid w:val="00112194"/>
    <w:rsid w:val="00112328"/>
    <w:rsid w:val="0011239A"/>
    <w:rsid w:val="001123E9"/>
    <w:rsid w:val="00112B44"/>
    <w:rsid w:val="00112BBE"/>
    <w:rsid w:val="00113A2A"/>
    <w:rsid w:val="00113A38"/>
    <w:rsid w:val="00113A50"/>
    <w:rsid w:val="00113E83"/>
    <w:rsid w:val="001143D1"/>
    <w:rsid w:val="0011440B"/>
    <w:rsid w:val="001146F7"/>
    <w:rsid w:val="00114DCB"/>
    <w:rsid w:val="00114F1A"/>
    <w:rsid w:val="00114F6D"/>
    <w:rsid w:val="001150EC"/>
    <w:rsid w:val="001154E9"/>
    <w:rsid w:val="001155CF"/>
    <w:rsid w:val="001158C9"/>
    <w:rsid w:val="00115943"/>
    <w:rsid w:val="0011594C"/>
    <w:rsid w:val="00115CE6"/>
    <w:rsid w:val="00115ED8"/>
    <w:rsid w:val="0011607E"/>
    <w:rsid w:val="00116141"/>
    <w:rsid w:val="00116736"/>
    <w:rsid w:val="00116799"/>
    <w:rsid w:val="00116C94"/>
    <w:rsid w:val="00116E1E"/>
    <w:rsid w:val="00117204"/>
    <w:rsid w:val="001174F9"/>
    <w:rsid w:val="001177D5"/>
    <w:rsid w:val="00117878"/>
    <w:rsid w:val="00117957"/>
    <w:rsid w:val="00120017"/>
    <w:rsid w:val="00120114"/>
    <w:rsid w:val="0012014E"/>
    <w:rsid w:val="00120298"/>
    <w:rsid w:val="001202D5"/>
    <w:rsid w:val="001204C7"/>
    <w:rsid w:val="001209C2"/>
    <w:rsid w:val="00120F09"/>
    <w:rsid w:val="0012102D"/>
    <w:rsid w:val="001217EB"/>
    <w:rsid w:val="00121826"/>
    <w:rsid w:val="0012194E"/>
    <w:rsid w:val="00121CE9"/>
    <w:rsid w:val="00121FBC"/>
    <w:rsid w:val="00122177"/>
    <w:rsid w:val="00122549"/>
    <w:rsid w:val="0012254C"/>
    <w:rsid w:val="001226C1"/>
    <w:rsid w:val="00122914"/>
    <w:rsid w:val="00122AB1"/>
    <w:rsid w:val="00122C16"/>
    <w:rsid w:val="00122DF9"/>
    <w:rsid w:val="00122F50"/>
    <w:rsid w:val="001236B8"/>
    <w:rsid w:val="001236E7"/>
    <w:rsid w:val="00123938"/>
    <w:rsid w:val="00123A44"/>
    <w:rsid w:val="00123F17"/>
    <w:rsid w:val="0012425A"/>
    <w:rsid w:val="00124450"/>
    <w:rsid w:val="001247E6"/>
    <w:rsid w:val="0012483D"/>
    <w:rsid w:val="0012484A"/>
    <w:rsid w:val="00124B12"/>
    <w:rsid w:val="00124CB0"/>
    <w:rsid w:val="00124E36"/>
    <w:rsid w:val="00124EFA"/>
    <w:rsid w:val="00125042"/>
    <w:rsid w:val="0012510A"/>
    <w:rsid w:val="00125424"/>
    <w:rsid w:val="001257E4"/>
    <w:rsid w:val="00125811"/>
    <w:rsid w:val="0012590B"/>
    <w:rsid w:val="00125B76"/>
    <w:rsid w:val="00125CDB"/>
    <w:rsid w:val="00126476"/>
    <w:rsid w:val="001265AF"/>
    <w:rsid w:val="0012675C"/>
    <w:rsid w:val="0012679E"/>
    <w:rsid w:val="00126C3B"/>
    <w:rsid w:val="00126F2A"/>
    <w:rsid w:val="00126F9D"/>
    <w:rsid w:val="00127013"/>
    <w:rsid w:val="001271AE"/>
    <w:rsid w:val="0012743B"/>
    <w:rsid w:val="00127473"/>
    <w:rsid w:val="0012755E"/>
    <w:rsid w:val="00127694"/>
    <w:rsid w:val="001276B8"/>
    <w:rsid w:val="00127C5D"/>
    <w:rsid w:val="00127D7A"/>
    <w:rsid w:val="00127D9A"/>
    <w:rsid w:val="001300BF"/>
    <w:rsid w:val="001301C1"/>
    <w:rsid w:val="001302D8"/>
    <w:rsid w:val="00130336"/>
    <w:rsid w:val="00130534"/>
    <w:rsid w:val="001308EE"/>
    <w:rsid w:val="00130DD1"/>
    <w:rsid w:val="00130E59"/>
    <w:rsid w:val="001312F5"/>
    <w:rsid w:val="00131563"/>
    <w:rsid w:val="00131775"/>
    <w:rsid w:val="001317AD"/>
    <w:rsid w:val="00131C8B"/>
    <w:rsid w:val="00131CB6"/>
    <w:rsid w:val="00131D8B"/>
    <w:rsid w:val="00131ED9"/>
    <w:rsid w:val="001320DF"/>
    <w:rsid w:val="00132820"/>
    <w:rsid w:val="001328A5"/>
    <w:rsid w:val="00132B63"/>
    <w:rsid w:val="00132F0C"/>
    <w:rsid w:val="00132F5A"/>
    <w:rsid w:val="00133047"/>
    <w:rsid w:val="001333F0"/>
    <w:rsid w:val="001338D6"/>
    <w:rsid w:val="00133DAD"/>
    <w:rsid w:val="00133E43"/>
    <w:rsid w:val="001340D6"/>
    <w:rsid w:val="0013420D"/>
    <w:rsid w:val="00134415"/>
    <w:rsid w:val="001348C2"/>
    <w:rsid w:val="00134ADD"/>
    <w:rsid w:val="00134FAB"/>
    <w:rsid w:val="001356DF"/>
    <w:rsid w:val="00135B28"/>
    <w:rsid w:val="001361A5"/>
    <w:rsid w:val="0013638A"/>
    <w:rsid w:val="001365F1"/>
    <w:rsid w:val="0013675A"/>
    <w:rsid w:val="00136AEA"/>
    <w:rsid w:val="001371B7"/>
    <w:rsid w:val="00137294"/>
    <w:rsid w:val="00137665"/>
    <w:rsid w:val="001379D4"/>
    <w:rsid w:val="0014066D"/>
    <w:rsid w:val="001408AC"/>
    <w:rsid w:val="00140B58"/>
    <w:rsid w:val="0014113D"/>
    <w:rsid w:val="001411E0"/>
    <w:rsid w:val="001412D7"/>
    <w:rsid w:val="00141481"/>
    <w:rsid w:val="00141667"/>
    <w:rsid w:val="0014177A"/>
    <w:rsid w:val="00141AD1"/>
    <w:rsid w:val="00141BBF"/>
    <w:rsid w:val="00141F79"/>
    <w:rsid w:val="00141FB9"/>
    <w:rsid w:val="00142765"/>
    <w:rsid w:val="001429BB"/>
    <w:rsid w:val="00142BA6"/>
    <w:rsid w:val="00142D93"/>
    <w:rsid w:val="0014302B"/>
    <w:rsid w:val="001431DC"/>
    <w:rsid w:val="00143216"/>
    <w:rsid w:val="00143240"/>
    <w:rsid w:val="00143624"/>
    <w:rsid w:val="00143836"/>
    <w:rsid w:val="00143AD7"/>
    <w:rsid w:val="00143C7D"/>
    <w:rsid w:val="00143E0F"/>
    <w:rsid w:val="00143ED1"/>
    <w:rsid w:val="001442C8"/>
    <w:rsid w:val="00144570"/>
    <w:rsid w:val="00144814"/>
    <w:rsid w:val="00144827"/>
    <w:rsid w:val="001448AB"/>
    <w:rsid w:val="00144B76"/>
    <w:rsid w:val="00144BB8"/>
    <w:rsid w:val="00144C0B"/>
    <w:rsid w:val="00144CD1"/>
    <w:rsid w:val="001451B8"/>
    <w:rsid w:val="00145439"/>
    <w:rsid w:val="00145459"/>
    <w:rsid w:val="001456C8"/>
    <w:rsid w:val="0014589A"/>
    <w:rsid w:val="00145CCF"/>
    <w:rsid w:val="00145E2D"/>
    <w:rsid w:val="00145E8D"/>
    <w:rsid w:val="00146128"/>
    <w:rsid w:val="00146683"/>
    <w:rsid w:val="001466C9"/>
    <w:rsid w:val="00146841"/>
    <w:rsid w:val="001468DD"/>
    <w:rsid w:val="00146E6C"/>
    <w:rsid w:val="00146F38"/>
    <w:rsid w:val="00147183"/>
    <w:rsid w:val="001475E3"/>
    <w:rsid w:val="00147BD6"/>
    <w:rsid w:val="00147F10"/>
    <w:rsid w:val="00147F7B"/>
    <w:rsid w:val="00150040"/>
    <w:rsid w:val="00150211"/>
    <w:rsid w:val="00150228"/>
    <w:rsid w:val="0015073A"/>
    <w:rsid w:val="00150C1A"/>
    <w:rsid w:val="00150C78"/>
    <w:rsid w:val="00150F61"/>
    <w:rsid w:val="00151068"/>
    <w:rsid w:val="001510AD"/>
    <w:rsid w:val="001510EC"/>
    <w:rsid w:val="0015132E"/>
    <w:rsid w:val="001514D3"/>
    <w:rsid w:val="0015158B"/>
    <w:rsid w:val="00151668"/>
    <w:rsid w:val="00151A56"/>
    <w:rsid w:val="00151B3F"/>
    <w:rsid w:val="00151D17"/>
    <w:rsid w:val="00152046"/>
    <w:rsid w:val="0015209D"/>
    <w:rsid w:val="00152506"/>
    <w:rsid w:val="001528A1"/>
    <w:rsid w:val="001528FC"/>
    <w:rsid w:val="00152B7D"/>
    <w:rsid w:val="00153262"/>
    <w:rsid w:val="001533B0"/>
    <w:rsid w:val="00153540"/>
    <w:rsid w:val="001535F1"/>
    <w:rsid w:val="001538AA"/>
    <w:rsid w:val="0015392A"/>
    <w:rsid w:val="00153BA2"/>
    <w:rsid w:val="00153C2E"/>
    <w:rsid w:val="00153D8A"/>
    <w:rsid w:val="00154808"/>
    <w:rsid w:val="00154820"/>
    <w:rsid w:val="00155316"/>
    <w:rsid w:val="0015536A"/>
    <w:rsid w:val="0015544D"/>
    <w:rsid w:val="00155508"/>
    <w:rsid w:val="001556EF"/>
    <w:rsid w:val="00155755"/>
    <w:rsid w:val="00155765"/>
    <w:rsid w:val="00155833"/>
    <w:rsid w:val="00155977"/>
    <w:rsid w:val="00155A14"/>
    <w:rsid w:val="00155C04"/>
    <w:rsid w:val="00155CD2"/>
    <w:rsid w:val="00155CDC"/>
    <w:rsid w:val="00155DCC"/>
    <w:rsid w:val="00155FBA"/>
    <w:rsid w:val="00156013"/>
    <w:rsid w:val="00156492"/>
    <w:rsid w:val="00156688"/>
    <w:rsid w:val="001569AD"/>
    <w:rsid w:val="00156AF3"/>
    <w:rsid w:val="00156D5B"/>
    <w:rsid w:val="00156E71"/>
    <w:rsid w:val="00156F13"/>
    <w:rsid w:val="00157C96"/>
    <w:rsid w:val="00157D66"/>
    <w:rsid w:val="00157F95"/>
    <w:rsid w:val="001603D8"/>
    <w:rsid w:val="00160707"/>
    <w:rsid w:val="001607BF"/>
    <w:rsid w:val="001608D5"/>
    <w:rsid w:val="001609A7"/>
    <w:rsid w:val="00160B26"/>
    <w:rsid w:val="00160BAB"/>
    <w:rsid w:val="00160C69"/>
    <w:rsid w:val="00160E62"/>
    <w:rsid w:val="0016114F"/>
    <w:rsid w:val="0016180D"/>
    <w:rsid w:val="001618A2"/>
    <w:rsid w:val="0016218C"/>
    <w:rsid w:val="001624B7"/>
    <w:rsid w:val="0016254C"/>
    <w:rsid w:val="00162807"/>
    <w:rsid w:val="001629B0"/>
    <w:rsid w:val="00162C3C"/>
    <w:rsid w:val="00162F22"/>
    <w:rsid w:val="00162FF1"/>
    <w:rsid w:val="0016300B"/>
    <w:rsid w:val="0016304E"/>
    <w:rsid w:val="0016319D"/>
    <w:rsid w:val="00163250"/>
    <w:rsid w:val="00163255"/>
    <w:rsid w:val="001633D4"/>
    <w:rsid w:val="00163504"/>
    <w:rsid w:val="0016361F"/>
    <w:rsid w:val="00163778"/>
    <w:rsid w:val="00163801"/>
    <w:rsid w:val="00163839"/>
    <w:rsid w:val="001638B0"/>
    <w:rsid w:val="00163AB2"/>
    <w:rsid w:val="00163B1E"/>
    <w:rsid w:val="001640A8"/>
    <w:rsid w:val="0016415D"/>
    <w:rsid w:val="00164C4D"/>
    <w:rsid w:val="00164CC1"/>
    <w:rsid w:val="00164DEF"/>
    <w:rsid w:val="001650A5"/>
    <w:rsid w:val="001651E2"/>
    <w:rsid w:val="00165C47"/>
    <w:rsid w:val="00165F2A"/>
    <w:rsid w:val="001668E3"/>
    <w:rsid w:val="00166ACE"/>
    <w:rsid w:val="00166B45"/>
    <w:rsid w:val="00166C34"/>
    <w:rsid w:val="00166C7C"/>
    <w:rsid w:val="0016703F"/>
    <w:rsid w:val="00167073"/>
    <w:rsid w:val="001670E5"/>
    <w:rsid w:val="001677AA"/>
    <w:rsid w:val="00167BC8"/>
    <w:rsid w:val="00170367"/>
    <w:rsid w:val="00170685"/>
    <w:rsid w:val="001706A6"/>
    <w:rsid w:val="0017085E"/>
    <w:rsid w:val="001708BC"/>
    <w:rsid w:val="00170BB3"/>
    <w:rsid w:val="00170C36"/>
    <w:rsid w:val="0017130D"/>
    <w:rsid w:val="00171390"/>
    <w:rsid w:val="001716AF"/>
    <w:rsid w:val="00171959"/>
    <w:rsid w:val="001719A2"/>
    <w:rsid w:val="001719DC"/>
    <w:rsid w:val="00171A28"/>
    <w:rsid w:val="00171AC3"/>
    <w:rsid w:val="00171AEC"/>
    <w:rsid w:val="00171D4C"/>
    <w:rsid w:val="00171D6C"/>
    <w:rsid w:val="0017204D"/>
    <w:rsid w:val="00172223"/>
    <w:rsid w:val="001725B5"/>
    <w:rsid w:val="001726A9"/>
    <w:rsid w:val="001728C3"/>
    <w:rsid w:val="00172DF6"/>
    <w:rsid w:val="00173959"/>
    <w:rsid w:val="00173DBF"/>
    <w:rsid w:val="00173FB5"/>
    <w:rsid w:val="00174069"/>
    <w:rsid w:val="00174135"/>
    <w:rsid w:val="00174178"/>
    <w:rsid w:val="00174228"/>
    <w:rsid w:val="0017434C"/>
    <w:rsid w:val="001743EE"/>
    <w:rsid w:val="00174602"/>
    <w:rsid w:val="001746F5"/>
    <w:rsid w:val="00174961"/>
    <w:rsid w:val="00174962"/>
    <w:rsid w:val="00174DBE"/>
    <w:rsid w:val="001754B4"/>
    <w:rsid w:val="0017559D"/>
    <w:rsid w:val="001755ED"/>
    <w:rsid w:val="00175827"/>
    <w:rsid w:val="00175CC9"/>
    <w:rsid w:val="00175D04"/>
    <w:rsid w:val="001763EE"/>
    <w:rsid w:val="00176415"/>
    <w:rsid w:val="00176700"/>
    <w:rsid w:val="00176B34"/>
    <w:rsid w:val="00176CF5"/>
    <w:rsid w:val="00176E51"/>
    <w:rsid w:val="00176E6E"/>
    <w:rsid w:val="00177011"/>
    <w:rsid w:val="00177509"/>
    <w:rsid w:val="0017758D"/>
    <w:rsid w:val="00177597"/>
    <w:rsid w:val="001776F7"/>
    <w:rsid w:val="001777AA"/>
    <w:rsid w:val="0017793E"/>
    <w:rsid w:val="0017799A"/>
    <w:rsid w:val="00177B25"/>
    <w:rsid w:val="00177D3F"/>
    <w:rsid w:val="00177DB8"/>
    <w:rsid w:val="0017BFD2"/>
    <w:rsid w:val="001804A7"/>
    <w:rsid w:val="00180610"/>
    <w:rsid w:val="00180683"/>
    <w:rsid w:val="001806DA"/>
    <w:rsid w:val="00180891"/>
    <w:rsid w:val="001808E4"/>
    <w:rsid w:val="00180D05"/>
    <w:rsid w:val="00180D4D"/>
    <w:rsid w:val="00180F7C"/>
    <w:rsid w:val="00181673"/>
    <w:rsid w:val="00181BEF"/>
    <w:rsid w:val="00181C9C"/>
    <w:rsid w:val="00181E51"/>
    <w:rsid w:val="001822B1"/>
    <w:rsid w:val="0018288C"/>
    <w:rsid w:val="00182BAD"/>
    <w:rsid w:val="00182C44"/>
    <w:rsid w:val="00182DB5"/>
    <w:rsid w:val="00182E3C"/>
    <w:rsid w:val="00182E76"/>
    <w:rsid w:val="00182EE0"/>
    <w:rsid w:val="001830A4"/>
    <w:rsid w:val="00183119"/>
    <w:rsid w:val="001835E9"/>
    <w:rsid w:val="00183ABF"/>
    <w:rsid w:val="00183B45"/>
    <w:rsid w:val="00183DF2"/>
    <w:rsid w:val="001843D5"/>
    <w:rsid w:val="001846FD"/>
    <w:rsid w:val="00184926"/>
    <w:rsid w:val="00184B86"/>
    <w:rsid w:val="00185234"/>
    <w:rsid w:val="0018523F"/>
    <w:rsid w:val="001852D4"/>
    <w:rsid w:val="00185739"/>
    <w:rsid w:val="0018578C"/>
    <w:rsid w:val="001857AF"/>
    <w:rsid w:val="00185AEA"/>
    <w:rsid w:val="00185E30"/>
    <w:rsid w:val="00185ECF"/>
    <w:rsid w:val="00185F04"/>
    <w:rsid w:val="00185FF3"/>
    <w:rsid w:val="0018614D"/>
    <w:rsid w:val="00186385"/>
    <w:rsid w:val="0018662A"/>
    <w:rsid w:val="001868B8"/>
    <w:rsid w:val="00186DAF"/>
    <w:rsid w:val="00187503"/>
    <w:rsid w:val="00187600"/>
    <w:rsid w:val="00187702"/>
    <w:rsid w:val="001879C9"/>
    <w:rsid w:val="001900D1"/>
    <w:rsid w:val="0019021E"/>
    <w:rsid w:val="0019070C"/>
    <w:rsid w:val="00190922"/>
    <w:rsid w:val="00190D7E"/>
    <w:rsid w:val="00190DD8"/>
    <w:rsid w:val="00190DD9"/>
    <w:rsid w:val="001910D6"/>
    <w:rsid w:val="001916C0"/>
    <w:rsid w:val="001919AB"/>
    <w:rsid w:val="001920D2"/>
    <w:rsid w:val="0019213B"/>
    <w:rsid w:val="00192AF3"/>
    <w:rsid w:val="00192EC6"/>
    <w:rsid w:val="0019313E"/>
    <w:rsid w:val="0019342E"/>
    <w:rsid w:val="001934CD"/>
    <w:rsid w:val="0019383E"/>
    <w:rsid w:val="001939C5"/>
    <w:rsid w:val="00193CC6"/>
    <w:rsid w:val="00193DF0"/>
    <w:rsid w:val="001940F4"/>
    <w:rsid w:val="00194218"/>
    <w:rsid w:val="001942D7"/>
    <w:rsid w:val="00194486"/>
    <w:rsid w:val="00194948"/>
    <w:rsid w:val="001949B2"/>
    <w:rsid w:val="00194B63"/>
    <w:rsid w:val="00194BA5"/>
    <w:rsid w:val="00194D4A"/>
    <w:rsid w:val="00194E30"/>
    <w:rsid w:val="00195067"/>
    <w:rsid w:val="00195345"/>
    <w:rsid w:val="00195A80"/>
    <w:rsid w:val="00195B04"/>
    <w:rsid w:val="00195CF6"/>
    <w:rsid w:val="00195EDB"/>
    <w:rsid w:val="001967F7"/>
    <w:rsid w:val="00196C12"/>
    <w:rsid w:val="00196D28"/>
    <w:rsid w:val="00196E94"/>
    <w:rsid w:val="00196EB5"/>
    <w:rsid w:val="00196EF7"/>
    <w:rsid w:val="00197249"/>
    <w:rsid w:val="001972EE"/>
    <w:rsid w:val="0019777C"/>
    <w:rsid w:val="001979B3"/>
    <w:rsid w:val="00197F5B"/>
    <w:rsid w:val="001A036B"/>
    <w:rsid w:val="001A0739"/>
    <w:rsid w:val="001A0A11"/>
    <w:rsid w:val="001A0BF8"/>
    <w:rsid w:val="001A0C2B"/>
    <w:rsid w:val="001A1280"/>
    <w:rsid w:val="001A13DC"/>
    <w:rsid w:val="001A1956"/>
    <w:rsid w:val="001A1AEB"/>
    <w:rsid w:val="001A1CDF"/>
    <w:rsid w:val="001A1D5A"/>
    <w:rsid w:val="001A1FC2"/>
    <w:rsid w:val="001A1FE0"/>
    <w:rsid w:val="001A225F"/>
    <w:rsid w:val="001A288A"/>
    <w:rsid w:val="001A28D1"/>
    <w:rsid w:val="001A2A04"/>
    <w:rsid w:val="001A30C4"/>
    <w:rsid w:val="001A3168"/>
    <w:rsid w:val="001A32B9"/>
    <w:rsid w:val="001A3692"/>
    <w:rsid w:val="001A3952"/>
    <w:rsid w:val="001A3D40"/>
    <w:rsid w:val="001A3D5F"/>
    <w:rsid w:val="001A3EE4"/>
    <w:rsid w:val="001A47DE"/>
    <w:rsid w:val="001A4838"/>
    <w:rsid w:val="001A4ED7"/>
    <w:rsid w:val="001A4F37"/>
    <w:rsid w:val="001A53E0"/>
    <w:rsid w:val="001A553B"/>
    <w:rsid w:val="001A56A8"/>
    <w:rsid w:val="001A5A40"/>
    <w:rsid w:val="001A5B97"/>
    <w:rsid w:val="001A5C52"/>
    <w:rsid w:val="001A5D04"/>
    <w:rsid w:val="001A608C"/>
    <w:rsid w:val="001A629D"/>
    <w:rsid w:val="001A6A41"/>
    <w:rsid w:val="001A6B2D"/>
    <w:rsid w:val="001A6DDB"/>
    <w:rsid w:val="001A6E2E"/>
    <w:rsid w:val="001A6EBC"/>
    <w:rsid w:val="001A6F12"/>
    <w:rsid w:val="001A6F56"/>
    <w:rsid w:val="001A7617"/>
    <w:rsid w:val="001A7696"/>
    <w:rsid w:val="001A771F"/>
    <w:rsid w:val="001A7AE1"/>
    <w:rsid w:val="001A7B9F"/>
    <w:rsid w:val="001A7DE3"/>
    <w:rsid w:val="001B046E"/>
    <w:rsid w:val="001B04E5"/>
    <w:rsid w:val="001B0771"/>
    <w:rsid w:val="001B0831"/>
    <w:rsid w:val="001B0989"/>
    <w:rsid w:val="001B1329"/>
    <w:rsid w:val="001B1441"/>
    <w:rsid w:val="001B1772"/>
    <w:rsid w:val="001B189A"/>
    <w:rsid w:val="001B1992"/>
    <w:rsid w:val="001B19A1"/>
    <w:rsid w:val="001B1A52"/>
    <w:rsid w:val="001B1B05"/>
    <w:rsid w:val="001B1B63"/>
    <w:rsid w:val="001B1BFE"/>
    <w:rsid w:val="001B1C7B"/>
    <w:rsid w:val="001B1D4E"/>
    <w:rsid w:val="001B2055"/>
    <w:rsid w:val="001B20DE"/>
    <w:rsid w:val="001B21F1"/>
    <w:rsid w:val="001B23F9"/>
    <w:rsid w:val="001B24C0"/>
    <w:rsid w:val="001B25F8"/>
    <w:rsid w:val="001B28DB"/>
    <w:rsid w:val="001B2AB8"/>
    <w:rsid w:val="001B2B0C"/>
    <w:rsid w:val="001B33C2"/>
    <w:rsid w:val="001B34DC"/>
    <w:rsid w:val="001B3A84"/>
    <w:rsid w:val="001B3AF2"/>
    <w:rsid w:val="001B3E75"/>
    <w:rsid w:val="001B3EAB"/>
    <w:rsid w:val="001B4042"/>
    <w:rsid w:val="001B4246"/>
    <w:rsid w:val="001B4483"/>
    <w:rsid w:val="001B4579"/>
    <w:rsid w:val="001B45B7"/>
    <w:rsid w:val="001B470E"/>
    <w:rsid w:val="001B47B2"/>
    <w:rsid w:val="001B4B66"/>
    <w:rsid w:val="001B4E4D"/>
    <w:rsid w:val="001B54BD"/>
    <w:rsid w:val="001B5C5C"/>
    <w:rsid w:val="001B66A3"/>
    <w:rsid w:val="001B67F6"/>
    <w:rsid w:val="001B6A2F"/>
    <w:rsid w:val="001B6BB8"/>
    <w:rsid w:val="001B6C63"/>
    <w:rsid w:val="001B6E37"/>
    <w:rsid w:val="001B70C0"/>
    <w:rsid w:val="001B741F"/>
    <w:rsid w:val="001B7499"/>
    <w:rsid w:val="001B75DB"/>
    <w:rsid w:val="001B771E"/>
    <w:rsid w:val="001B7884"/>
    <w:rsid w:val="001B7899"/>
    <w:rsid w:val="001B78D3"/>
    <w:rsid w:val="001B7A4A"/>
    <w:rsid w:val="001B7DB0"/>
    <w:rsid w:val="001C003C"/>
    <w:rsid w:val="001C037C"/>
    <w:rsid w:val="001C0394"/>
    <w:rsid w:val="001C0911"/>
    <w:rsid w:val="001C09A4"/>
    <w:rsid w:val="001C0F3D"/>
    <w:rsid w:val="001C102B"/>
    <w:rsid w:val="001C139B"/>
    <w:rsid w:val="001C18A0"/>
    <w:rsid w:val="001C193E"/>
    <w:rsid w:val="001C19BC"/>
    <w:rsid w:val="001C1BA0"/>
    <w:rsid w:val="001C1EC4"/>
    <w:rsid w:val="001C1F6F"/>
    <w:rsid w:val="001C1FBA"/>
    <w:rsid w:val="001C2063"/>
    <w:rsid w:val="001C2089"/>
    <w:rsid w:val="001C21AD"/>
    <w:rsid w:val="001C226E"/>
    <w:rsid w:val="001C251C"/>
    <w:rsid w:val="001C25A9"/>
    <w:rsid w:val="001C2B5E"/>
    <w:rsid w:val="001C2BDE"/>
    <w:rsid w:val="001C2BE2"/>
    <w:rsid w:val="001C2CFD"/>
    <w:rsid w:val="001C2F81"/>
    <w:rsid w:val="001C37B3"/>
    <w:rsid w:val="001C37EA"/>
    <w:rsid w:val="001C3A51"/>
    <w:rsid w:val="001C3BEF"/>
    <w:rsid w:val="001C3CBD"/>
    <w:rsid w:val="001C3D0D"/>
    <w:rsid w:val="001C3E14"/>
    <w:rsid w:val="001C3E9C"/>
    <w:rsid w:val="001C41DD"/>
    <w:rsid w:val="001C423C"/>
    <w:rsid w:val="001C4274"/>
    <w:rsid w:val="001C482C"/>
    <w:rsid w:val="001C4EA5"/>
    <w:rsid w:val="001C51C0"/>
    <w:rsid w:val="001C5245"/>
    <w:rsid w:val="001C54DB"/>
    <w:rsid w:val="001C54F6"/>
    <w:rsid w:val="001C56C7"/>
    <w:rsid w:val="001C5881"/>
    <w:rsid w:val="001C58AB"/>
    <w:rsid w:val="001C596E"/>
    <w:rsid w:val="001C5A56"/>
    <w:rsid w:val="001C5D73"/>
    <w:rsid w:val="001C6267"/>
    <w:rsid w:val="001C67C6"/>
    <w:rsid w:val="001C693F"/>
    <w:rsid w:val="001C6CB9"/>
    <w:rsid w:val="001C6E4D"/>
    <w:rsid w:val="001C789A"/>
    <w:rsid w:val="001C7BCA"/>
    <w:rsid w:val="001C7FCB"/>
    <w:rsid w:val="001D0145"/>
    <w:rsid w:val="001D025F"/>
    <w:rsid w:val="001D0335"/>
    <w:rsid w:val="001D0715"/>
    <w:rsid w:val="001D0BA8"/>
    <w:rsid w:val="001D0E65"/>
    <w:rsid w:val="001D0F16"/>
    <w:rsid w:val="001D13AD"/>
    <w:rsid w:val="001D181E"/>
    <w:rsid w:val="001D1926"/>
    <w:rsid w:val="001D1E96"/>
    <w:rsid w:val="001D270B"/>
    <w:rsid w:val="001D2A94"/>
    <w:rsid w:val="001D2B4D"/>
    <w:rsid w:val="001D2E17"/>
    <w:rsid w:val="001D3083"/>
    <w:rsid w:val="001D3249"/>
    <w:rsid w:val="001D3372"/>
    <w:rsid w:val="001D33E9"/>
    <w:rsid w:val="001D3845"/>
    <w:rsid w:val="001D3BBF"/>
    <w:rsid w:val="001D3EF0"/>
    <w:rsid w:val="001D3FF7"/>
    <w:rsid w:val="001D4008"/>
    <w:rsid w:val="001D461D"/>
    <w:rsid w:val="001D471F"/>
    <w:rsid w:val="001D4D97"/>
    <w:rsid w:val="001D56DF"/>
    <w:rsid w:val="001D5970"/>
    <w:rsid w:val="001D59C7"/>
    <w:rsid w:val="001D5A05"/>
    <w:rsid w:val="001D5CB4"/>
    <w:rsid w:val="001D5F9D"/>
    <w:rsid w:val="001D601A"/>
    <w:rsid w:val="001D6103"/>
    <w:rsid w:val="001D6A72"/>
    <w:rsid w:val="001D6AF9"/>
    <w:rsid w:val="001D6F52"/>
    <w:rsid w:val="001D70B4"/>
    <w:rsid w:val="001D72D5"/>
    <w:rsid w:val="001D730B"/>
    <w:rsid w:val="001D7868"/>
    <w:rsid w:val="001D79F5"/>
    <w:rsid w:val="001D7C8C"/>
    <w:rsid w:val="001D7E72"/>
    <w:rsid w:val="001D7F55"/>
    <w:rsid w:val="001E0332"/>
    <w:rsid w:val="001E0352"/>
    <w:rsid w:val="001E03FB"/>
    <w:rsid w:val="001E0581"/>
    <w:rsid w:val="001E0788"/>
    <w:rsid w:val="001E0813"/>
    <w:rsid w:val="001E088B"/>
    <w:rsid w:val="001E0B72"/>
    <w:rsid w:val="001E0CE7"/>
    <w:rsid w:val="001E0D98"/>
    <w:rsid w:val="001E0DB6"/>
    <w:rsid w:val="001E109A"/>
    <w:rsid w:val="001E10FC"/>
    <w:rsid w:val="001E117A"/>
    <w:rsid w:val="001E1374"/>
    <w:rsid w:val="001E1447"/>
    <w:rsid w:val="001E14EB"/>
    <w:rsid w:val="001E1A55"/>
    <w:rsid w:val="001E1F18"/>
    <w:rsid w:val="001E1F2E"/>
    <w:rsid w:val="001E214C"/>
    <w:rsid w:val="001E23DE"/>
    <w:rsid w:val="001E23F9"/>
    <w:rsid w:val="001E2C1E"/>
    <w:rsid w:val="001E30A8"/>
    <w:rsid w:val="001E331F"/>
    <w:rsid w:val="001E34B8"/>
    <w:rsid w:val="001E3865"/>
    <w:rsid w:val="001E38E8"/>
    <w:rsid w:val="001E3AEF"/>
    <w:rsid w:val="001E3EE2"/>
    <w:rsid w:val="001E40EC"/>
    <w:rsid w:val="001E43F6"/>
    <w:rsid w:val="001E4565"/>
    <w:rsid w:val="001E4860"/>
    <w:rsid w:val="001E4AD2"/>
    <w:rsid w:val="001E4C23"/>
    <w:rsid w:val="001E4DF4"/>
    <w:rsid w:val="001E5A9D"/>
    <w:rsid w:val="001E5D7B"/>
    <w:rsid w:val="001E60CF"/>
    <w:rsid w:val="001E60DB"/>
    <w:rsid w:val="001E60FE"/>
    <w:rsid w:val="001E6207"/>
    <w:rsid w:val="001E6755"/>
    <w:rsid w:val="001E6A8A"/>
    <w:rsid w:val="001E706F"/>
    <w:rsid w:val="001E7563"/>
    <w:rsid w:val="001E75B7"/>
    <w:rsid w:val="001F0143"/>
    <w:rsid w:val="001F0285"/>
    <w:rsid w:val="001F03E0"/>
    <w:rsid w:val="001F09AD"/>
    <w:rsid w:val="001F0A6E"/>
    <w:rsid w:val="001F1415"/>
    <w:rsid w:val="001F15D3"/>
    <w:rsid w:val="001F1693"/>
    <w:rsid w:val="001F1706"/>
    <w:rsid w:val="001F1955"/>
    <w:rsid w:val="001F1A66"/>
    <w:rsid w:val="001F1E4D"/>
    <w:rsid w:val="001F1E8B"/>
    <w:rsid w:val="001F1F83"/>
    <w:rsid w:val="001F1F92"/>
    <w:rsid w:val="001F2196"/>
    <w:rsid w:val="001F237D"/>
    <w:rsid w:val="001F2624"/>
    <w:rsid w:val="001F2712"/>
    <w:rsid w:val="001F274D"/>
    <w:rsid w:val="001F29B1"/>
    <w:rsid w:val="001F2A5A"/>
    <w:rsid w:val="001F2D0B"/>
    <w:rsid w:val="001F2E90"/>
    <w:rsid w:val="001F301E"/>
    <w:rsid w:val="001F3020"/>
    <w:rsid w:val="001F3266"/>
    <w:rsid w:val="001F32BE"/>
    <w:rsid w:val="001F356D"/>
    <w:rsid w:val="001F4179"/>
    <w:rsid w:val="001F4382"/>
    <w:rsid w:val="001F43BA"/>
    <w:rsid w:val="001F45E7"/>
    <w:rsid w:val="001F4676"/>
    <w:rsid w:val="001F4F11"/>
    <w:rsid w:val="001F4F29"/>
    <w:rsid w:val="001F514E"/>
    <w:rsid w:val="001F55A4"/>
    <w:rsid w:val="001F56EC"/>
    <w:rsid w:val="001F57FE"/>
    <w:rsid w:val="001F5889"/>
    <w:rsid w:val="001F590C"/>
    <w:rsid w:val="001F5930"/>
    <w:rsid w:val="001F5AB2"/>
    <w:rsid w:val="001F5AB8"/>
    <w:rsid w:val="001F609A"/>
    <w:rsid w:val="001F619C"/>
    <w:rsid w:val="001F6492"/>
    <w:rsid w:val="001F6D0E"/>
    <w:rsid w:val="001F6E75"/>
    <w:rsid w:val="001F73D1"/>
    <w:rsid w:val="001F75A0"/>
    <w:rsid w:val="001F77C1"/>
    <w:rsid w:val="001F781E"/>
    <w:rsid w:val="001F7956"/>
    <w:rsid w:val="001F7EA4"/>
    <w:rsid w:val="00200330"/>
    <w:rsid w:val="002003C0"/>
    <w:rsid w:val="00200A57"/>
    <w:rsid w:val="00200AFB"/>
    <w:rsid w:val="00200D1C"/>
    <w:rsid w:val="002011C6"/>
    <w:rsid w:val="00201864"/>
    <w:rsid w:val="0020192B"/>
    <w:rsid w:val="0020195F"/>
    <w:rsid w:val="002019AB"/>
    <w:rsid w:val="002021B4"/>
    <w:rsid w:val="0020229E"/>
    <w:rsid w:val="00202945"/>
    <w:rsid w:val="00202B23"/>
    <w:rsid w:val="00202DF0"/>
    <w:rsid w:val="00202E7F"/>
    <w:rsid w:val="00202F54"/>
    <w:rsid w:val="0020307F"/>
    <w:rsid w:val="0020382F"/>
    <w:rsid w:val="00203990"/>
    <w:rsid w:val="00203BE2"/>
    <w:rsid w:val="00204138"/>
    <w:rsid w:val="00204291"/>
    <w:rsid w:val="002043C7"/>
    <w:rsid w:val="002043CE"/>
    <w:rsid w:val="0020448A"/>
    <w:rsid w:val="002048DE"/>
    <w:rsid w:val="0020492E"/>
    <w:rsid w:val="00204A3A"/>
    <w:rsid w:val="00204C6A"/>
    <w:rsid w:val="00204D91"/>
    <w:rsid w:val="00204D9A"/>
    <w:rsid w:val="002051B0"/>
    <w:rsid w:val="00205488"/>
    <w:rsid w:val="002059EF"/>
    <w:rsid w:val="00205D33"/>
    <w:rsid w:val="00205E5B"/>
    <w:rsid w:val="00206088"/>
    <w:rsid w:val="0020630E"/>
    <w:rsid w:val="002064E2"/>
    <w:rsid w:val="00206A99"/>
    <w:rsid w:val="00206A9D"/>
    <w:rsid w:val="00206B61"/>
    <w:rsid w:val="00206FE6"/>
    <w:rsid w:val="00206FFF"/>
    <w:rsid w:val="0020742C"/>
    <w:rsid w:val="00207485"/>
    <w:rsid w:val="002078C7"/>
    <w:rsid w:val="00207E9D"/>
    <w:rsid w:val="00207FB3"/>
    <w:rsid w:val="002089D9"/>
    <w:rsid w:val="00210138"/>
    <w:rsid w:val="002101A4"/>
    <w:rsid w:val="002102B6"/>
    <w:rsid w:val="0021061C"/>
    <w:rsid w:val="00210668"/>
    <w:rsid w:val="00210762"/>
    <w:rsid w:val="00210807"/>
    <w:rsid w:val="00210897"/>
    <w:rsid w:val="00210A11"/>
    <w:rsid w:val="00210D43"/>
    <w:rsid w:val="00210D50"/>
    <w:rsid w:val="0021108A"/>
    <w:rsid w:val="0021130C"/>
    <w:rsid w:val="00211457"/>
    <w:rsid w:val="00211608"/>
    <w:rsid w:val="00211678"/>
    <w:rsid w:val="002117F5"/>
    <w:rsid w:val="00211926"/>
    <w:rsid w:val="0021193A"/>
    <w:rsid w:val="00212039"/>
    <w:rsid w:val="0021209F"/>
    <w:rsid w:val="0021241B"/>
    <w:rsid w:val="00212767"/>
    <w:rsid w:val="00212860"/>
    <w:rsid w:val="002129C3"/>
    <w:rsid w:val="00212AB0"/>
    <w:rsid w:val="00212B3B"/>
    <w:rsid w:val="002130C9"/>
    <w:rsid w:val="00213102"/>
    <w:rsid w:val="00213145"/>
    <w:rsid w:val="00213216"/>
    <w:rsid w:val="0021323E"/>
    <w:rsid w:val="00213243"/>
    <w:rsid w:val="00213285"/>
    <w:rsid w:val="00213330"/>
    <w:rsid w:val="00213767"/>
    <w:rsid w:val="002137BC"/>
    <w:rsid w:val="00213A24"/>
    <w:rsid w:val="00213B94"/>
    <w:rsid w:val="00213CF2"/>
    <w:rsid w:val="002140EA"/>
    <w:rsid w:val="00214294"/>
    <w:rsid w:val="002149C1"/>
    <w:rsid w:val="00214AB9"/>
    <w:rsid w:val="00214ABE"/>
    <w:rsid w:val="00214B9A"/>
    <w:rsid w:val="00214D36"/>
    <w:rsid w:val="00214D43"/>
    <w:rsid w:val="00214D6B"/>
    <w:rsid w:val="002150D2"/>
    <w:rsid w:val="00215496"/>
    <w:rsid w:val="0021580E"/>
    <w:rsid w:val="00215A66"/>
    <w:rsid w:val="00215CEF"/>
    <w:rsid w:val="00215FE6"/>
    <w:rsid w:val="002162DD"/>
    <w:rsid w:val="002164D1"/>
    <w:rsid w:val="002166AB"/>
    <w:rsid w:val="00216883"/>
    <w:rsid w:val="00216F34"/>
    <w:rsid w:val="0021717B"/>
    <w:rsid w:val="00217781"/>
    <w:rsid w:val="00217903"/>
    <w:rsid w:val="00217AC0"/>
    <w:rsid w:val="0022020D"/>
    <w:rsid w:val="0022036B"/>
    <w:rsid w:val="00220CCE"/>
    <w:rsid w:val="00220D1D"/>
    <w:rsid w:val="00220DDC"/>
    <w:rsid w:val="00220E4C"/>
    <w:rsid w:val="0022132C"/>
    <w:rsid w:val="00221716"/>
    <w:rsid w:val="00221B0F"/>
    <w:rsid w:val="002224F8"/>
    <w:rsid w:val="0022256D"/>
    <w:rsid w:val="00222761"/>
    <w:rsid w:val="00222FBB"/>
    <w:rsid w:val="002230B5"/>
    <w:rsid w:val="00223204"/>
    <w:rsid w:val="0022334D"/>
    <w:rsid w:val="00223516"/>
    <w:rsid w:val="00223A9E"/>
    <w:rsid w:val="00223AD1"/>
    <w:rsid w:val="00223BF1"/>
    <w:rsid w:val="00223DDD"/>
    <w:rsid w:val="00223E00"/>
    <w:rsid w:val="00223F59"/>
    <w:rsid w:val="00223FBB"/>
    <w:rsid w:val="00224037"/>
    <w:rsid w:val="002240D8"/>
    <w:rsid w:val="00224136"/>
    <w:rsid w:val="00224149"/>
    <w:rsid w:val="00224312"/>
    <w:rsid w:val="002243D3"/>
    <w:rsid w:val="0022449C"/>
    <w:rsid w:val="002247DF"/>
    <w:rsid w:val="0022498C"/>
    <w:rsid w:val="00224D6E"/>
    <w:rsid w:val="00224F8E"/>
    <w:rsid w:val="00224FC5"/>
    <w:rsid w:val="00225A80"/>
    <w:rsid w:val="00225DB2"/>
    <w:rsid w:val="00225E00"/>
    <w:rsid w:val="00225E2A"/>
    <w:rsid w:val="002262AF"/>
    <w:rsid w:val="00226370"/>
    <w:rsid w:val="002263C1"/>
    <w:rsid w:val="00226596"/>
    <w:rsid w:val="002265DA"/>
    <w:rsid w:val="00226B3C"/>
    <w:rsid w:val="00226E98"/>
    <w:rsid w:val="00227627"/>
    <w:rsid w:val="00227887"/>
    <w:rsid w:val="00227AAE"/>
    <w:rsid w:val="00227C27"/>
    <w:rsid w:val="002300E2"/>
    <w:rsid w:val="002301AA"/>
    <w:rsid w:val="0023023C"/>
    <w:rsid w:val="00230335"/>
    <w:rsid w:val="0023048B"/>
    <w:rsid w:val="002309BD"/>
    <w:rsid w:val="00230B58"/>
    <w:rsid w:val="00230D28"/>
    <w:rsid w:val="00230FE4"/>
    <w:rsid w:val="00231243"/>
    <w:rsid w:val="00231342"/>
    <w:rsid w:val="002315B8"/>
    <w:rsid w:val="0023163D"/>
    <w:rsid w:val="00231950"/>
    <w:rsid w:val="00231E22"/>
    <w:rsid w:val="0023205E"/>
    <w:rsid w:val="00232097"/>
    <w:rsid w:val="00232317"/>
    <w:rsid w:val="00232334"/>
    <w:rsid w:val="00232488"/>
    <w:rsid w:val="002329BA"/>
    <w:rsid w:val="00232BD6"/>
    <w:rsid w:val="00232DBC"/>
    <w:rsid w:val="00232E8D"/>
    <w:rsid w:val="00232EE2"/>
    <w:rsid w:val="0023345F"/>
    <w:rsid w:val="0023368E"/>
    <w:rsid w:val="0023383B"/>
    <w:rsid w:val="00233A4A"/>
    <w:rsid w:val="00233A5C"/>
    <w:rsid w:val="00233BF9"/>
    <w:rsid w:val="00233E7A"/>
    <w:rsid w:val="00233F7F"/>
    <w:rsid w:val="00234042"/>
    <w:rsid w:val="0023441E"/>
    <w:rsid w:val="00234425"/>
    <w:rsid w:val="002347B4"/>
    <w:rsid w:val="00234801"/>
    <w:rsid w:val="00234807"/>
    <w:rsid w:val="002349A5"/>
    <w:rsid w:val="002349F6"/>
    <w:rsid w:val="002349F8"/>
    <w:rsid w:val="00234C2D"/>
    <w:rsid w:val="00234CF5"/>
    <w:rsid w:val="00235029"/>
    <w:rsid w:val="00235112"/>
    <w:rsid w:val="00235256"/>
    <w:rsid w:val="002357A5"/>
    <w:rsid w:val="002357C9"/>
    <w:rsid w:val="002357F4"/>
    <w:rsid w:val="002358BB"/>
    <w:rsid w:val="00235974"/>
    <w:rsid w:val="00235C92"/>
    <w:rsid w:val="00236000"/>
    <w:rsid w:val="002361AF"/>
    <w:rsid w:val="00236242"/>
    <w:rsid w:val="002362D0"/>
    <w:rsid w:val="00236421"/>
    <w:rsid w:val="00236861"/>
    <w:rsid w:val="00236888"/>
    <w:rsid w:val="00236B82"/>
    <w:rsid w:val="00236BED"/>
    <w:rsid w:val="00236C5A"/>
    <w:rsid w:val="00236F1B"/>
    <w:rsid w:val="00236FB2"/>
    <w:rsid w:val="00237225"/>
    <w:rsid w:val="00237261"/>
    <w:rsid w:val="0023778B"/>
    <w:rsid w:val="00237A0D"/>
    <w:rsid w:val="00237D59"/>
    <w:rsid w:val="00237EA9"/>
    <w:rsid w:val="00237FC1"/>
    <w:rsid w:val="00240035"/>
    <w:rsid w:val="0024038A"/>
    <w:rsid w:val="002403EB"/>
    <w:rsid w:val="0024043A"/>
    <w:rsid w:val="002405AF"/>
    <w:rsid w:val="00240840"/>
    <w:rsid w:val="00240B40"/>
    <w:rsid w:val="00240CF8"/>
    <w:rsid w:val="00240E45"/>
    <w:rsid w:val="00240E98"/>
    <w:rsid w:val="00240F8F"/>
    <w:rsid w:val="00241057"/>
    <w:rsid w:val="002412F0"/>
    <w:rsid w:val="00241396"/>
    <w:rsid w:val="0024156D"/>
    <w:rsid w:val="002416B6"/>
    <w:rsid w:val="002416C5"/>
    <w:rsid w:val="0024201D"/>
    <w:rsid w:val="002420EE"/>
    <w:rsid w:val="002423CB"/>
    <w:rsid w:val="00242760"/>
    <w:rsid w:val="0024277F"/>
    <w:rsid w:val="00242A07"/>
    <w:rsid w:val="00242A32"/>
    <w:rsid w:val="00242D7B"/>
    <w:rsid w:val="002431F7"/>
    <w:rsid w:val="00243286"/>
    <w:rsid w:val="002434D6"/>
    <w:rsid w:val="00243521"/>
    <w:rsid w:val="00243564"/>
    <w:rsid w:val="002436AF"/>
    <w:rsid w:val="00243DF6"/>
    <w:rsid w:val="00243E8E"/>
    <w:rsid w:val="00243EB0"/>
    <w:rsid w:val="00244096"/>
    <w:rsid w:val="002441A4"/>
    <w:rsid w:val="002442A1"/>
    <w:rsid w:val="00244301"/>
    <w:rsid w:val="00244308"/>
    <w:rsid w:val="00244732"/>
    <w:rsid w:val="002448B7"/>
    <w:rsid w:val="00244AC5"/>
    <w:rsid w:val="00244B82"/>
    <w:rsid w:val="00244D8A"/>
    <w:rsid w:val="00244F7C"/>
    <w:rsid w:val="00245088"/>
    <w:rsid w:val="002451E1"/>
    <w:rsid w:val="0024539F"/>
    <w:rsid w:val="00245593"/>
    <w:rsid w:val="00245725"/>
    <w:rsid w:val="00245E45"/>
    <w:rsid w:val="00245F05"/>
    <w:rsid w:val="00246089"/>
    <w:rsid w:val="002461C8"/>
    <w:rsid w:val="002461F3"/>
    <w:rsid w:val="002467DA"/>
    <w:rsid w:val="0024684E"/>
    <w:rsid w:val="00246DEB"/>
    <w:rsid w:val="00246E96"/>
    <w:rsid w:val="002470A2"/>
    <w:rsid w:val="00247261"/>
    <w:rsid w:val="002472C3"/>
    <w:rsid w:val="00247363"/>
    <w:rsid w:val="002477D2"/>
    <w:rsid w:val="0024780F"/>
    <w:rsid w:val="002479FC"/>
    <w:rsid w:val="00247B4E"/>
    <w:rsid w:val="00247D7F"/>
    <w:rsid w:val="00247EB4"/>
    <w:rsid w:val="00247EB5"/>
    <w:rsid w:val="002500FB"/>
    <w:rsid w:val="00250206"/>
    <w:rsid w:val="002502CC"/>
    <w:rsid w:val="002503A8"/>
    <w:rsid w:val="002503FB"/>
    <w:rsid w:val="002504F0"/>
    <w:rsid w:val="00250853"/>
    <w:rsid w:val="00250AE8"/>
    <w:rsid w:val="00250BA8"/>
    <w:rsid w:val="00250CC4"/>
    <w:rsid w:val="00250E0B"/>
    <w:rsid w:val="0025157A"/>
    <w:rsid w:val="0025159C"/>
    <w:rsid w:val="00251BC1"/>
    <w:rsid w:val="00252336"/>
    <w:rsid w:val="0025246A"/>
    <w:rsid w:val="0025253D"/>
    <w:rsid w:val="00252A71"/>
    <w:rsid w:val="00252BDD"/>
    <w:rsid w:val="00252CEA"/>
    <w:rsid w:val="00252D2F"/>
    <w:rsid w:val="002531B4"/>
    <w:rsid w:val="00253346"/>
    <w:rsid w:val="00253457"/>
    <w:rsid w:val="0025352E"/>
    <w:rsid w:val="002538DA"/>
    <w:rsid w:val="002538FF"/>
    <w:rsid w:val="00253A4B"/>
    <w:rsid w:val="00254022"/>
    <w:rsid w:val="00254227"/>
    <w:rsid w:val="00254393"/>
    <w:rsid w:val="00254625"/>
    <w:rsid w:val="0025481D"/>
    <w:rsid w:val="00254AEE"/>
    <w:rsid w:val="00254C53"/>
    <w:rsid w:val="00254E9A"/>
    <w:rsid w:val="0025505C"/>
    <w:rsid w:val="0025525E"/>
    <w:rsid w:val="00255AB7"/>
    <w:rsid w:val="00255CAB"/>
    <w:rsid w:val="00256368"/>
    <w:rsid w:val="002566F1"/>
    <w:rsid w:val="00256C3F"/>
    <w:rsid w:val="00256D0A"/>
    <w:rsid w:val="00256E5F"/>
    <w:rsid w:val="00256F01"/>
    <w:rsid w:val="00257015"/>
    <w:rsid w:val="00257242"/>
    <w:rsid w:val="0025759A"/>
    <w:rsid w:val="0025787D"/>
    <w:rsid w:val="00257A63"/>
    <w:rsid w:val="00257ADE"/>
    <w:rsid w:val="00257DC9"/>
    <w:rsid w:val="00260140"/>
    <w:rsid w:val="00260577"/>
    <w:rsid w:val="00260BB0"/>
    <w:rsid w:val="00260DBF"/>
    <w:rsid w:val="00260F0D"/>
    <w:rsid w:val="00261093"/>
    <w:rsid w:val="0026128B"/>
    <w:rsid w:val="0026137A"/>
    <w:rsid w:val="002619C7"/>
    <w:rsid w:val="00261C81"/>
    <w:rsid w:val="00261F38"/>
    <w:rsid w:val="00261F4D"/>
    <w:rsid w:val="00262615"/>
    <w:rsid w:val="00262804"/>
    <w:rsid w:val="002629A8"/>
    <w:rsid w:val="00262D0A"/>
    <w:rsid w:val="00263495"/>
    <w:rsid w:val="002634C0"/>
    <w:rsid w:val="002635B8"/>
    <w:rsid w:val="00263B6B"/>
    <w:rsid w:val="00263BCD"/>
    <w:rsid w:val="00263EEF"/>
    <w:rsid w:val="00263FE8"/>
    <w:rsid w:val="002641BF"/>
    <w:rsid w:val="002641E4"/>
    <w:rsid w:val="00264288"/>
    <w:rsid w:val="002643FA"/>
    <w:rsid w:val="00264504"/>
    <w:rsid w:val="00264535"/>
    <w:rsid w:val="00264B86"/>
    <w:rsid w:val="00264F2F"/>
    <w:rsid w:val="00265194"/>
    <w:rsid w:val="002653CD"/>
    <w:rsid w:val="00265C20"/>
    <w:rsid w:val="00265FDB"/>
    <w:rsid w:val="0026604D"/>
    <w:rsid w:val="00266129"/>
    <w:rsid w:val="002661EC"/>
    <w:rsid w:val="00266CC4"/>
    <w:rsid w:val="00266D33"/>
    <w:rsid w:val="002671E5"/>
    <w:rsid w:val="00267A71"/>
    <w:rsid w:val="00267B23"/>
    <w:rsid w:val="00267C51"/>
    <w:rsid w:val="00267E44"/>
    <w:rsid w:val="00267EE9"/>
    <w:rsid w:val="00270041"/>
    <w:rsid w:val="002703C7"/>
    <w:rsid w:val="002705B2"/>
    <w:rsid w:val="002705C2"/>
    <w:rsid w:val="002707DD"/>
    <w:rsid w:val="00270A02"/>
    <w:rsid w:val="00270CB7"/>
    <w:rsid w:val="00270F6A"/>
    <w:rsid w:val="0027113B"/>
    <w:rsid w:val="0027114A"/>
    <w:rsid w:val="0027121F"/>
    <w:rsid w:val="002713AA"/>
    <w:rsid w:val="00271736"/>
    <w:rsid w:val="00271A23"/>
    <w:rsid w:val="00271BB1"/>
    <w:rsid w:val="00271E6D"/>
    <w:rsid w:val="002721FB"/>
    <w:rsid w:val="00272244"/>
    <w:rsid w:val="002728BC"/>
    <w:rsid w:val="00272C5E"/>
    <w:rsid w:val="00272E69"/>
    <w:rsid w:val="00272E6C"/>
    <w:rsid w:val="0027306E"/>
    <w:rsid w:val="00273A32"/>
    <w:rsid w:val="00273C6D"/>
    <w:rsid w:val="00273F01"/>
    <w:rsid w:val="00273F2C"/>
    <w:rsid w:val="0027446C"/>
    <w:rsid w:val="002748A8"/>
    <w:rsid w:val="002749D4"/>
    <w:rsid w:val="00274AB8"/>
    <w:rsid w:val="00274AE3"/>
    <w:rsid w:val="00274C0E"/>
    <w:rsid w:val="00274CC0"/>
    <w:rsid w:val="0027506A"/>
    <w:rsid w:val="00275141"/>
    <w:rsid w:val="00275283"/>
    <w:rsid w:val="00275344"/>
    <w:rsid w:val="002753E5"/>
    <w:rsid w:val="00275552"/>
    <w:rsid w:val="0027566F"/>
    <w:rsid w:val="0027567A"/>
    <w:rsid w:val="00275801"/>
    <w:rsid w:val="00275845"/>
    <w:rsid w:val="002759E8"/>
    <w:rsid w:val="00275B7F"/>
    <w:rsid w:val="00275D53"/>
    <w:rsid w:val="00276004"/>
    <w:rsid w:val="0027613B"/>
    <w:rsid w:val="00276697"/>
    <w:rsid w:val="002766FE"/>
    <w:rsid w:val="00276757"/>
    <w:rsid w:val="002767BE"/>
    <w:rsid w:val="002769FE"/>
    <w:rsid w:val="00276CD2"/>
    <w:rsid w:val="00276CF7"/>
    <w:rsid w:val="00276E29"/>
    <w:rsid w:val="002771F6"/>
    <w:rsid w:val="002773E7"/>
    <w:rsid w:val="002774D3"/>
    <w:rsid w:val="0027774B"/>
    <w:rsid w:val="00277B1B"/>
    <w:rsid w:val="00277C3F"/>
    <w:rsid w:val="00277DAD"/>
    <w:rsid w:val="0027C647"/>
    <w:rsid w:val="0028003C"/>
    <w:rsid w:val="00280132"/>
    <w:rsid w:val="002802D6"/>
    <w:rsid w:val="00280416"/>
    <w:rsid w:val="00280713"/>
    <w:rsid w:val="00280B56"/>
    <w:rsid w:val="00280D00"/>
    <w:rsid w:val="002816C2"/>
    <w:rsid w:val="00281843"/>
    <w:rsid w:val="00281E23"/>
    <w:rsid w:val="00281E36"/>
    <w:rsid w:val="002820BF"/>
    <w:rsid w:val="002820CF"/>
    <w:rsid w:val="002827F1"/>
    <w:rsid w:val="00282962"/>
    <w:rsid w:val="00282A3C"/>
    <w:rsid w:val="00282FE6"/>
    <w:rsid w:val="002832CA"/>
    <w:rsid w:val="00283336"/>
    <w:rsid w:val="0028374A"/>
    <w:rsid w:val="00283AE2"/>
    <w:rsid w:val="00283F10"/>
    <w:rsid w:val="00284161"/>
    <w:rsid w:val="0028421D"/>
    <w:rsid w:val="002842D3"/>
    <w:rsid w:val="002843D9"/>
    <w:rsid w:val="002848BF"/>
    <w:rsid w:val="0028492C"/>
    <w:rsid w:val="002850D7"/>
    <w:rsid w:val="0028533C"/>
    <w:rsid w:val="002853EE"/>
    <w:rsid w:val="00285CE6"/>
    <w:rsid w:val="00285D8E"/>
    <w:rsid w:val="00285ED7"/>
    <w:rsid w:val="00285FD0"/>
    <w:rsid w:val="00286013"/>
    <w:rsid w:val="0028618D"/>
    <w:rsid w:val="002862A3"/>
    <w:rsid w:val="00286378"/>
    <w:rsid w:val="00286463"/>
    <w:rsid w:val="00286888"/>
    <w:rsid w:val="00286CAA"/>
    <w:rsid w:val="00286E40"/>
    <w:rsid w:val="00287364"/>
    <w:rsid w:val="00287927"/>
    <w:rsid w:val="00287976"/>
    <w:rsid w:val="00287CA8"/>
    <w:rsid w:val="00287EEF"/>
    <w:rsid w:val="00290284"/>
    <w:rsid w:val="0029053A"/>
    <w:rsid w:val="00290716"/>
    <w:rsid w:val="0029099B"/>
    <w:rsid w:val="00290AB3"/>
    <w:rsid w:val="00290D21"/>
    <w:rsid w:val="00290F62"/>
    <w:rsid w:val="0029126C"/>
    <w:rsid w:val="002912D1"/>
    <w:rsid w:val="00291678"/>
    <w:rsid w:val="00291785"/>
    <w:rsid w:val="00291839"/>
    <w:rsid w:val="00291984"/>
    <w:rsid w:val="002919BC"/>
    <w:rsid w:val="00291CAA"/>
    <w:rsid w:val="00291D8B"/>
    <w:rsid w:val="00291EAF"/>
    <w:rsid w:val="00292577"/>
    <w:rsid w:val="0029291F"/>
    <w:rsid w:val="002929B5"/>
    <w:rsid w:val="00292C3A"/>
    <w:rsid w:val="002933B1"/>
    <w:rsid w:val="00293581"/>
    <w:rsid w:val="0029380E"/>
    <w:rsid w:val="00293C0C"/>
    <w:rsid w:val="00293F4F"/>
    <w:rsid w:val="00293FB1"/>
    <w:rsid w:val="002942DC"/>
    <w:rsid w:val="00294548"/>
    <w:rsid w:val="002946F2"/>
    <w:rsid w:val="00294725"/>
    <w:rsid w:val="0029487D"/>
    <w:rsid w:val="0029493F"/>
    <w:rsid w:val="00294953"/>
    <w:rsid w:val="00294AB3"/>
    <w:rsid w:val="00294CB7"/>
    <w:rsid w:val="00294DC4"/>
    <w:rsid w:val="00294F1F"/>
    <w:rsid w:val="00294FAB"/>
    <w:rsid w:val="002955FB"/>
    <w:rsid w:val="002956CE"/>
    <w:rsid w:val="0029570E"/>
    <w:rsid w:val="00295763"/>
    <w:rsid w:val="00295C2A"/>
    <w:rsid w:val="00295C58"/>
    <w:rsid w:val="00295D0E"/>
    <w:rsid w:val="00296266"/>
    <w:rsid w:val="002963CE"/>
    <w:rsid w:val="00296600"/>
    <w:rsid w:val="00296A2F"/>
    <w:rsid w:val="00296E24"/>
    <w:rsid w:val="00296E99"/>
    <w:rsid w:val="00297051"/>
    <w:rsid w:val="00297142"/>
    <w:rsid w:val="002972FE"/>
    <w:rsid w:val="0029733F"/>
    <w:rsid w:val="00297AB5"/>
    <w:rsid w:val="00297FEF"/>
    <w:rsid w:val="002A00AA"/>
    <w:rsid w:val="002A0121"/>
    <w:rsid w:val="002A0125"/>
    <w:rsid w:val="002A0147"/>
    <w:rsid w:val="002A039E"/>
    <w:rsid w:val="002A0491"/>
    <w:rsid w:val="002A0589"/>
    <w:rsid w:val="002A0B78"/>
    <w:rsid w:val="002A0DF8"/>
    <w:rsid w:val="002A1161"/>
    <w:rsid w:val="002A1754"/>
    <w:rsid w:val="002A1769"/>
    <w:rsid w:val="002A17BD"/>
    <w:rsid w:val="002A1BB4"/>
    <w:rsid w:val="002A1BE6"/>
    <w:rsid w:val="002A1C4C"/>
    <w:rsid w:val="002A1C8B"/>
    <w:rsid w:val="002A2011"/>
    <w:rsid w:val="002A2043"/>
    <w:rsid w:val="002A21AD"/>
    <w:rsid w:val="002A2248"/>
    <w:rsid w:val="002A227F"/>
    <w:rsid w:val="002A2872"/>
    <w:rsid w:val="002A2F65"/>
    <w:rsid w:val="002A3803"/>
    <w:rsid w:val="002A398E"/>
    <w:rsid w:val="002A3C9B"/>
    <w:rsid w:val="002A3FB4"/>
    <w:rsid w:val="002A3FEB"/>
    <w:rsid w:val="002A425A"/>
    <w:rsid w:val="002A4633"/>
    <w:rsid w:val="002A46D2"/>
    <w:rsid w:val="002A49DD"/>
    <w:rsid w:val="002A4BA6"/>
    <w:rsid w:val="002A52F3"/>
    <w:rsid w:val="002A58FD"/>
    <w:rsid w:val="002A5B3E"/>
    <w:rsid w:val="002A5D57"/>
    <w:rsid w:val="002A5D85"/>
    <w:rsid w:val="002A5E90"/>
    <w:rsid w:val="002A5EA9"/>
    <w:rsid w:val="002A6006"/>
    <w:rsid w:val="002A644A"/>
    <w:rsid w:val="002A6652"/>
    <w:rsid w:val="002A68CF"/>
    <w:rsid w:val="002A6960"/>
    <w:rsid w:val="002A7006"/>
    <w:rsid w:val="002A706F"/>
    <w:rsid w:val="002A726E"/>
    <w:rsid w:val="002A727D"/>
    <w:rsid w:val="002A760B"/>
    <w:rsid w:val="002A78E9"/>
    <w:rsid w:val="002A79D9"/>
    <w:rsid w:val="002A79F1"/>
    <w:rsid w:val="002A7BA8"/>
    <w:rsid w:val="002A7CB5"/>
    <w:rsid w:val="002B04C5"/>
    <w:rsid w:val="002B05AF"/>
    <w:rsid w:val="002B0B34"/>
    <w:rsid w:val="002B0EC3"/>
    <w:rsid w:val="002B1027"/>
    <w:rsid w:val="002B1074"/>
    <w:rsid w:val="002B147B"/>
    <w:rsid w:val="002B15F9"/>
    <w:rsid w:val="002B1790"/>
    <w:rsid w:val="002B1DC2"/>
    <w:rsid w:val="002B1F5E"/>
    <w:rsid w:val="002B2462"/>
    <w:rsid w:val="002B2569"/>
    <w:rsid w:val="002B29B9"/>
    <w:rsid w:val="002B2E20"/>
    <w:rsid w:val="002B2E22"/>
    <w:rsid w:val="002B2F28"/>
    <w:rsid w:val="002B3296"/>
    <w:rsid w:val="002B32F0"/>
    <w:rsid w:val="002B34DD"/>
    <w:rsid w:val="002B374B"/>
    <w:rsid w:val="002B3AF4"/>
    <w:rsid w:val="002B3C41"/>
    <w:rsid w:val="002B3CA8"/>
    <w:rsid w:val="002B401C"/>
    <w:rsid w:val="002B452A"/>
    <w:rsid w:val="002B4B3A"/>
    <w:rsid w:val="002B4B42"/>
    <w:rsid w:val="002B4BA6"/>
    <w:rsid w:val="002B561D"/>
    <w:rsid w:val="002B56A4"/>
    <w:rsid w:val="002B58E0"/>
    <w:rsid w:val="002B5BDA"/>
    <w:rsid w:val="002B5DE6"/>
    <w:rsid w:val="002B5F8F"/>
    <w:rsid w:val="002B6497"/>
    <w:rsid w:val="002B6583"/>
    <w:rsid w:val="002B6895"/>
    <w:rsid w:val="002B68DA"/>
    <w:rsid w:val="002B6C97"/>
    <w:rsid w:val="002B6D83"/>
    <w:rsid w:val="002B6EDE"/>
    <w:rsid w:val="002B704C"/>
    <w:rsid w:val="002B7082"/>
    <w:rsid w:val="002B7362"/>
    <w:rsid w:val="002B7431"/>
    <w:rsid w:val="002B76EE"/>
    <w:rsid w:val="002B7972"/>
    <w:rsid w:val="002B7B6E"/>
    <w:rsid w:val="002BA689"/>
    <w:rsid w:val="002C01FD"/>
    <w:rsid w:val="002C07B2"/>
    <w:rsid w:val="002C1336"/>
    <w:rsid w:val="002C15C9"/>
    <w:rsid w:val="002C1765"/>
    <w:rsid w:val="002C19F8"/>
    <w:rsid w:val="002C1EAC"/>
    <w:rsid w:val="002C1F3E"/>
    <w:rsid w:val="002C1F93"/>
    <w:rsid w:val="002C25BB"/>
    <w:rsid w:val="002C2774"/>
    <w:rsid w:val="002C2822"/>
    <w:rsid w:val="002C29CB"/>
    <w:rsid w:val="002C2AA0"/>
    <w:rsid w:val="002C2EDC"/>
    <w:rsid w:val="002C2F00"/>
    <w:rsid w:val="002C340C"/>
    <w:rsid w:val="002C3678"/>
    <w:rsid w:val="002C393D"/>
    <w:rsid w:val="002C3A1F"/>
    <w:rsid w:val="002C3FAA"/>
    <w:rsid w:val="002C40A5"/>
    <w:rsid w:val="002C43DC"/>
    <w:rsid w:val="002C4A02"/>
    <w:rsid w:val="002C4ABC"/>
    <w:rsid w:val="002C50D2"/>
    <w:rsid w:val="002C52AC"/>
    <w:rsid w:val="002C543F"/>
    <w:rsid w:val="002C56E3"/>
    <w:rsid w:val="002C5709"/>
    <w:rsid w:val="002C5869"/>
    <w:rsid w:val="002C5B41"/>
    <w:rsid w:val="002C631F"/>
    <w:rsid w:val="002C672E"/>
    <w:rsid w:val="002C6A0E"/>
    <w:rsid w:val="002C6CB8"/>
    <w:rsid w:val="002C6DD2"/>
    <w:rsid w:val="002C6E71"/>
    <w:rsid w:val="002C6F66"/>
    <w:rsid w:val="002C6FC4"/>
    <w:rsid w:val="002C7047"/>
    <w:rsid w:val="002C70BC"/>
    <w:rsid w:val="002C7145"/>
    <w:rsid w:val="002C7209"/>
    <w:rsid w:val="002C73A4"/>
    <w:rsid w:val="002C7FC8"/>
    <w:rsid w:val="002C7FE1"/>
    <w:rsid w:val="002D002D"/>
    <w:rsid w:val="002D019D"/>
    <w:rsid w:val="002D03D2"/>
    <w:rsid w:val="002D053C"/>
    <w:rsid w:val="002D0739"/>
    <w:rsid w:val="002D0759"/>
    <w:rsid w:val="002D0917"/>
    <w:rsid w:val="002D0DAA"/>
    <w:rsid w:val="002D111A"/>
    <w:rsid w:val="002D1484"/>
    <w:rsid w:val="002D1595"/>
    <w:rsid w:val="002D1B65"/>
    <w:rsid w:val="002D1C88"/>
    <w:rsid w:val="002D1EEC"/>
    <w:rsid w:val="002D2083"/>
    <w:rsid w:val="002D23AA"/>
    <w:rsid w:val="002D2433"/>
    <w:rsid w:val="002D25CF"/>
    <w:rsid w:val="002D26F1"/>
    <w:rsid w:val="002D28F7"/>
    <w:rsid w:val="002D2A71"/>
    <w:rsid w:val="002D2CCD"/>
    <w:rsid w:val="002D2D1A"/>
    <w:rsid w:val="002D2EAC"/>
    <w:rsid w:val="002D2EC7"/>
    <w:rsid w:val="002D2EE3"/>
    <w:rsid w:val="002D2F6E"/>
    <w:rsid w:val="002D30AD"/>
    <w:rsid w:val="002D312F"/>
    <w:rsid w:val="002D32E1"/>
    <w:rsid w:val="002D34EE"/>
    <w:rsid w:val="002D388C"/>
    <w:rsid w:val="002D394F"/>
    <w:rsid w:val="002D3E8A"/>
    <w:rsid w:val="002D3EBE"/>
    <w:rsid w:val="002D3EF9"/>
    <w:rsid w:val="002D4054"/>
    <w:rsid w:val="002D4160"/>
    <w:rsid w:val="002D41A8"/>
    <w:rsid w:val="002D4A86"/>
    <w:rsid w:val="002D4B7A"/>
    <w:rsid w:val="002D50E7"/>
    <w:rsid w:val="002D52F4"/>
    <w:rsid w:val="002D53FB"/>
    <w:rsid w:val="002D54A3"/>
    <w:rsid w:val="002D5736"/>
    <w:rsid w:val="002D57D0"/>
    <w:rsid w:val="002D5B8F"/>
    <w:rsid w:val="002D5CF8"/>
    <w:rsid w:val="002D5D66"/>
    <w:rsid w:val="002D5EBF"/>
    <w:rsid w:val="002D5F60"/>
    <w:rsid w:val="002D630D"/>
    <w:rsid w:val="002D6397"/>
    <w:rsid w:val="002D65AD"/>
    <w:rsid w:val="002D69B7"/>
    <w:rsid w:val="002D7114"/>
    <w:rsid w:val="002D7195"/>
    <w:rsid w:val="002D76C7"/>
    <w:rsid w:val="002D7754"/>
    <w:rsid w:val="002D7940"/>
    <w:rsid w:val="002D7C02"/>
    <w:rsid w:val="002D7C19"/>
    <w:rsid w:val="002D7D3E"/>
    <w:rsid w:val="002D7FAE"/>
    <w:rsid w:val="002E0265"/>
    <w:rsid w:val="002E0969"/>
    <w:rsid w:val="002E0A59"/>
    <w:rsid w:val="002E0B33"/>
    <w:rsid w:val="002E0BED"/>
    <w:rsid w:val="002E0DDC"/>
    <w:rsid w:val="002E0E96"/>
    <w:rsid w:val="002E13CF"/>
    <w:rsid w:val="002E1567"/>
    <w:rsid w:val="002E15F8"/>
    <w:rsid w:val="002E1C1E"/>
    <w:rsid w:val="002E1E3D"/>
    <w:rsid w:val="002E210E"/>
    <w:rsid w:val="002E219F"/>
    <w:rsid w:val="002E2267"/>
    <w:rsid w:val="002E2808"/>
    <w:rsid w:val="002E31C7"/>
    <w:rsid w:val="002E365F"/>
    <w:rsid w:val="002E3834"/>
    <w:rsid w:val="002E3857"/>
    <w:rsid w:val="002E3892"/>
    <w:rsid w:val="002E3992"/>
    <w:rsid w:val="002E3A29"/>
    <w:rsid w:val="002E3C72"/>
    <w:rsid w:val="002E3E50"/>
    <w:rsid w:val="002E426A"/>
    <w:rsid w:val="002E46F8"/>
    <w:rsid w:val="002E4912"/>
    <w:rsid w:val="002E4D2A"/>
    <w:rsid w:val="002E4D4D"/>
    <w:rsid w:val="002E5134"/>
    <w:rsid w:val="002E52BB"/>
    <w:rsid w:val="002E565B"/>
    <w:rsid w:val="002E576C"/>
    <w:rsid w:val="002E57AD"/>
    <w:rsid w:val="002E5B10"/>
    <w:rsid w:val="002E5F13"/>
    <w:rsid w:val="002E60B8"/>
    <w:rsid w:val="002E6567"/>
    <w:rsid w:val="002E65D9"/>
    <w:rsid w:val="002E65FB"/>
    <w:rsid w:val="002E6653"/>
    <w:rsid w:val="002E6B6B"/>
    <w:rsid w:val="002E6BAE"/>
    <w:rsid w:val="002E6C86"/>
    <w:rsid w:val="002E6CD0"/>
    <w:rsid w:val="002E7000"/>
    <w:rsid w:val="002E70C5"/>
    <w:rsid w:val="002E717F"/>
    <w:rsid w:val="002E71AA"/>
    <w:rsid w:val="002E72DD"/>
    <w:rsid w:val="002E7435"/>
    <w:rsid w:val="002E745B"/>
    <w:rsid w:val="002E767B"/>
    <w:rsid w:val="002E7728"/>
    <w:rsid w:val="002E77AC"/>
    <w:rsid w:val="002E78E6"/>
    <w:rsid w:val="002E7DD6"/>
    <w:rsid w:val="002EA161"/>
    <w:rsid w:val="002F02D7"/>
    <w:rsid w:val="002F02FF"/>
    <w:rsid w:val="002F0505"/>
    <w:rsid w:val="002F074A"/>
    <w:rsid w:val="002F0989"/>
    <w:rsid w:val="002F0AD4"/>
    <w:rsid w:val="002F0CF4"/>
    <w:rsid w:val="002F12F2"/>
    <w:rsid w:val="002F13B0"/>
    <w:rsid w:val="002F144F"/>
    <w:rsid w:val="002F154E"/>
    <w:rsid w:val="002F1619"/>
    <w:rsid w:val="002F18EF"/>
    <w:rsid w:val="002F19B0"/>
    <w:rsid w:val="002F1A2F"/>
    <w:rsid w:val="002F1BCA"/>
    <w:rsid w:val="002F1D47"/>
    <w:rsid w:val="002F2946"/>
    <w:rsid w:val="002F2982"/>
    <w:rsid w:val="002F2A49"/>
    <w:rsid w:val="002F2A81"/>
    <w:rsid w:val="002F2DA7"/>
    <w:rsid w:val="002F2EE3"/>
    <w:rsid w:val="002F3114"/>
    <w:rsid w:val="002F3231"/>
    <w:rsid w:val="002F3661"/>
    <w:rsid w:val="002F3B8E"/>
    <w:rsid w:val="002F417D"/>
    <w:rsid w:val="002F4616"/>
    <w:rsid w:val="002F4996"/>
    <w:rsid w:val="002F51F7"/>
    <w:rsid w:val="002F521F"/>
    <w:rsid w:val="002F546A"/>
    <w:rsid w:val="002F55F2"/>
    <w:rsid w:val="002F5797"/>
    <w:rsid w:val="002F5B84"/>
    <w:rsid w:val="002F628F"/>
    <w:rsid w:val="002F63A2"/>
    <w:rsid w:val="002F63CF"/>
    <w:rsid w:val="002F69FB"/>
    <w:rsid w:val="002F6C3F"/>
    <w:rsid w:val="002F7523"/>
    <w:rsid w:val="002F7589"/>
    <w:rsid w:val="002F76CF"/>
    <w:rsid w:val="002F7B5E"/>
    <w:rsid w:val="002F7BE7"/>
    <w:rsid w:val="002F7E10"/>
    <w:rsid w:val="0030025B"/>
    <w:rsid w:val="00300559"/>
    <w:rsid w:val="003005DC"/>
    <w:rsid w:val="003005EA"/>
    <w:rsid w:val="0030092F"/>
    <w:rsid w:val="00300C93"/>
    <w:rsid w:val="00300CB1"/>
    <w:rsid w:val="00301198"/>
    <w:rsid w:val="00301437"/>
    <w:rsid w:val="003016BE"/>
    <w:rsid w:val="003016FD"/>
    <w:rsid w:val="00301783"/>
    <w:rsid w:val="00301BB2"/>
    <w:rsid w:val="003021F0"/>
    <w:rsid w:val="003022F6"/>
    <w:rsid w:val="0030242F"/>
    <w:rsid w:val="00302828"/>
    <w:rsid w:val="00302A0A"/>
    <w:rsid w:val="00302C9A"/>
    <w:rsid w:val="00302DC1"/>
    <w:rsid w:val="00302E2F"/>
    <w:rsid w:val="003031A4"/>
    <w:rsid w:val="00303622"/>
    <w:rsid w:val="00303937"/>
    <w:rsid w:val="00303BE0"/>
    <w:rsid w:val="00303D3A"/>
    <w:rsid w:val="00303E62"/>
    <w:rsid w:val="0030423A"/>
    <w:rsid w:val="003043D3"/>
    <w:rsid w:val="003044A5"/>
    <w:rsid w:val="00304551"/>
    <w:rsid w:val="0030467B"/>
    <w:rsid w:val="00304745"/>
    <w:rsid w:val="0030494A"/>
    <w:rsid w:val="00304A72"/>
    <w:rsid w:val="00304F6A"/>
    <w:rsid w:val="003050AA"/>
    <w:rsid w:val="003057D8"/>
    <w:rsid w:val="00305C91"/>
    <w:rsid w:val="00305CDA"/>
    <w:rsid w:val="00305D52"/>
    <w:rsid w:val="00305E02"/>
    <w:rsid w:val="00305F66"/>
    <w:rsid w:val="003060B9"/>
    <w:rsid w:val="003061B6"/>
    <w:rsid w:val="00306327"/>
    <w:rsid w:val="003065A8"/>
    <w:rsid w:val="00306D22"/>
    <w:rsid w:val="00306E26"/>
    <w:rsid w:val="00306E61"/>
    <w:rsid w:val="003071B3"/>
    <w:rsid w:val="003071FE"/>
    <w:rsid w:val="003074E8"/>
    <w:rsid w:val="00307550"/>
    <w:rsid w:val="00307954"/>
    <w:rsid w:val="003101A5"/>
    <w:rsid w:val="00310640"/>
    <w:rsid w:val="003106B0"/>
    <w:rsid w:val="003107C1"/>
    <w:rsid w:val="003107C4"/>
    <w:rsid w:val="00310815"/>
    <w:rsid w:val="00310A53"/>
    <w:rsid w:val="00310C28"/>
    <w:rsid w:val="0031127D"/>
    <w:rsid w:val="00311746"/>
    <w:rsid w:val="003118FE"/>
    <w:rsid w:val="00311C74"/>
    <w:rsid w:val="003122A0"/>
    <w:rsid w:val="0031249C"/>
    <w:rsid w:val="0031294D"/>
    <w:rsid w:val="00312BE4"/>
    <w:rsid w:val="00312C21"/>
    <w:rsid w:val="00312C53"/>
    <w:rsid w:val="00312EBF"/>
    <w:rsid w:val="00312EC2"/>
    <w:rsid w:val="00313162"/>
    <w:rsid w:val="00313338"/>
    <w:rsid w:val="003135A1"/>
    <w:rsid w:val="0031394A"/>
    <w:rsid w:val="00313D8D"/>
    <w:rsid w:val="00313DC1"/>
    <w:rsid w:val="00313F4B"/>
    <w:rsid w:val="00314038"/>
    <w:rsid w:val="00314107"/>
    <w:rsid w:val="003143B0"/>
    <w:rsid w:val="003145C9"/>
    <w:rsid w:val="00314646"/>
    <w:rsid w:val="00314689"/>
    <w:rsid w:val="00314DAA"/>
    <w:rsid w:val="00314F01"/>
    <w:rsid w:val="00315583"/>
    <w:rsid w:val="003158CB"/>
    <w:rsid w:val="00315ABA"/>
    <w:rsid w:val="00315D0E"/>
    <w:rsid w:val="00315E22"/>
    <w:rsid w:val="0031636D"/>
    <w:rsid w:val="0031637D"/>
    <w:rsid w:val="003166EF"/>
    <w:rsid w:val="003168DC"/>
    <w:rsid w:val="003169DC"/>
    <w:rsid w:val="00316BDE"/>
    <w:rsid w:val="00317136"/>
    <w:rsid w:val="003171F4"/>
    <w:rsid w:val="00317309"/>
    <w:rsid w:val="0031739F"/>
    <w:rsid w:val="0031768F"/>
    <w:rsid w:val="0031782A"/>
    <w:rsid w:val="00317A40"/>
    <w:rsid w:val="00317C4C"/>
    <w:rsid w:val="00320A44"/>
    <w:rsid w:val="00320A95"/>
    <w:rsid w:val="00320B2D"/>
    <w:rsid w:val="00320D46"/>
    <w:rsid w:val="00320DE8"/>
    <w:rsid w:val="00320F32"/>
    <w:rsid w:val="003210C8"/>
    <w:rsid w:val="00321220"/>
    <w:rsid w:val="0032171D"/>
    <w:rsid w:val="00321A91"/>
    <w:rsid w:val="00321B9F"/>
    <w:rsid w:val="00321C9D"/>
    <w:rsid w:val="00321DE9"/>
    <w:rsid w:val="00321E97"/>
    <w:rsid w:val="0032200A"/>
    <w:rsid w:val="00322014"/>
    <w:rsid w:val="0032211E"/>
    <w:rsid w:val="00322384"/>
    <w:rsid w:val="00322428"/>
    <w:rsid w:val="0032248B"/>
    <w:rsid w:val="00322575"/>
    <w:rsid w:val="00322854"/>
    <w:rsid w:val="00322957"/>
    <w:rsid w:val="00322B81"/>
    <w:rsid w:val="00323277"/>
    <w:rsid w:val="00323302"/>
    <w:rsid w:val="00323508"/>
    <w:rsid w:val="00323697"/>
    <w:rsid w:val="00323975"/>
    <w:rsid w:val="00323B88"/>
    <w:rsid w:val="00323D5B"/>
    <w:rsid w:val="00323D80"/>
    <w:rsid w:val="00323F82"/>
    <w:rsid w:val="00324182"/>
    <w:rsid w:val="00324A9E"/>
    <w:rsid w:val="00324AB5"/>
    <w:rsid w:val="00324DD2"/>
    <w:rsid w:val="00325089"/>
    <w:rsid w:val="0032523A"/>
    <w:rsid w:val="0032549B"/>
    <w:rsid w:val="00325547"/>
    <w:rsid w:val="0032580C"/>
    <w:rsid w:val="00325AAA"/>
    <w:rsid w:val="00325E28"/>
    <w:rsid w:val="00325F4E"/>
    <w:rsid w:val="0032604E"/>
    <w:rsid w:val="003260BC"/>
    <w:rsid w:val="0032617D"/>
    <w:rsid w:val="00326377"/>
    <w:rsid w:val="0032651C"/>
    <w:rsid w:val="003265C3"/>
    <w:rsid w:val="00326A2F"/>
    <w:rsid w:val="00326C50"/>
    <w:rsid w:val="00326C62"/>
    <w:rsid w:val="00326CF0"/>
    <w:rsid w:val="00327758"/>
    <w:rsid w:val="0032781F"/>
    <w:rsid w:val="0032783A"/>
    <w:rsid w:val="00328F0E"/>
    <w:rsid w:val="00330242"/>
    <w:rsid w:val="0033024F"/>
    <w:rsid w:val="003303D0"/>
    <w:rsid w:val="003303DC"/>
    <w:rsid w:val="00330980"/>
    <w:rsid w:val="00330A46"/>
    <w:rsid w:val="00330AE6"/>
    <w:rsid w:val="00330C85"/>
    <w:rsid w:val="00330D29"/>
    <w:rsid w:val="00330F3D"/>
    <w:rsid w:val="00330F9A"/>
    <w:rsid w:val="00330FD1"/>
    <w:rsid w:val="00331033"/>
    <w:rsid w:val="003311FB"/>
    <w:rsid w:val="003315D9"/>
    <w:rsid w:val="0033165A"/>
    <w:rsid w:val="0033170A"/>
    <w:rsid w:val="003317E1"/>
    <w:rsid w:val="003319C1"/>
    <w:rsid w:val="00331A69"/>
    <w:rsid w:val="00331D1B"/>
    <w:rsid w:val="003320F9"/>
    <w:rsid w:val="003322F0"/>
    <w:rsid w:val="0033260D"/>
    <w:rsid w:val="0033261A"/>
    <w:rsid w:val="00332C66"/>
    <w:rsid w:val="00332DDA"/>
    <w:rsid w:val="00332E2E"/>
    <w:rsid w:val="00332E49"/>
    <w:rsid w:val="00332F16"/>
    <w:rsid w:val="00332F27"/>
    <w:rsid w:val="00333113"/>
    <w:rsid w:val="00333279"/>
    <w:rsid w:val="003334D0"/>
    <w:rsid w:val="0033355F"/>
    <w:rsid w:val="003335DD"/>
    <w:rsid w:val="003338FF"/>
    <w:rsid w:val="003339FE"/>
    <w:rsid w:val="00333A5B"/>
    <w:rsid w:val="00333AF2"/>
    <w:rsid w:val="00333B79"/>
    <w:rsid w:val="00333CAC"/>
    <w:rsid w:val="00334015"/>
    <w:rsid w:val="003342BF"/>
    <w:rsid w:val="003342F5"/>
    <w:rsid w:val="0033458D"/>
    <w:rsid w:val="003348F9"/>
    <w:rsid w:val="00334976"/>
    <w:rsid w:val="00334D0F"/>
    <w:rsid w:val="00334E9F"/>
    <w:rsid w:val="00334F28"/>
    <w:rsid w:val="0033527A"/>
    <w:rsid w:val="003353A8"/>
    <w:rsid w:val="00335421"/>
    <w:rsid w:val="0033544D"/>
    <w:rsid w:val="00335617"/>
    <w:rsid w:val="0033568E"/>
    <w:rsid w:val="00335F66"/>
    <w:rsid w:val="003362A0"/>
    <w:rsid w:val="003362EE"/>
    <w:rsid w:val="00337079"/>
    <w:rsid w:val="003371CD"/>
    <w:rsid w:val="0033732D"/>
    <w:rsid w:val="003379A6"/>
    <w:rsid w:val="00337A20"/>
    <w:rsid w:val="00337C39"/>
    <w:rsid w:val="00337DFC"/>
    <w:rsid w:val="0034014F"/>
    <w:rsid w:val="00340320"/>
    <w:rsid w:val="00340768"/>
    <w:rsid w:val="003409BC"/>
    <w:rsid w:val="00340CFC"/>
    <w:rsid w:val="00340D25"/>
    <w:rsid w:val="00340E0C"/>
    <w:rsid w:val="00341048"/>
    <w:rsid w:val="0034140E"/>
    <w:rsid w:val="0034176E"/>
    <w:rsid w:val="003417F4"/>
    <w:rsid w:val="0034191E"/>
    <w:rsid w:val="00341A00"/>
    <w:rsid w:val="00341A09"/>
    <w:rsid w:val="00341C4D"/>
    <w:rsid w:val="00341D00"/>
    <w:rsid w:val="003420FB"/>
    <w:rsid w:val="00342358"/>
    <w:rsid w:val="003424B8"/>
    <w:rsid w:val="0034259A"/>
    <w:rsid w:val="00342D40"/>
    <w:rsid w:val="003430F4"/>
    <w:rsid w:val="003435CF"/>
    <w:rsid w:val="0034362C"/>
    <w:rsid w:val="003439E0"/>
    <w:rsid w:val="00343E4A"/>
    <w:rsid w:val="00343FDF"/>
    <w:rsid w:val="003444B0"/>
    <w:rsid w:val="00344568"/>
    <w:rsid w:val="00344779"/>
    <w:rsid w:val="0034477C"/>
    <w:rsid w:val="003449DC"/>
    <w:rsid w:val="00345237"/>
    <w:rsid w:val="00345254"/>
    <w:rsid w:val="0034533B"/>
    <w:rsid w:val="00345A72"/>
    <w:rsid w:val="00345C31"/>
    <w:rsid w:val="00345DDF"/>
    <w:rsid w:val="003460B7"/>
    <w:rsid w:val="0034611B"/>
    <w:rsid w:val="00346291"/>
    <w:rsid w:val="00346572"/>
    <w:rsid w:val="0034657C"/>
    <w:rsid w:val="003465C7"/>
    <w:rsid w:val="00346903"/>
    <w:rsid w:val="00346AD3"/>
    <w:rsid w:val="00346B07"/>
    <w:rsid w:val="00346DC4"/>
    <w:rsid w:val="00346DE7"/>
    <w:rsid w:val="00346FA3"/>
    <w:rsid w:val="00347043"/>
    <w:rsid w:val="003474F1"/>
    <w:rsid w:val="00347958"/>
    <w:rsid w:val="00347C3B"/>
    <w:rsid w:val="00347CF9"/>
    <w:rsid w:val="00347D0E"/>
    <w:rsid w:val="00347DC9"/>
    <w:rsid w:val="0035010E"/>
    <w:rsid w:val="00350214"/>
    <w:rsid w:val="00350233"/>
    <w:rsid w:val="003502EF"/>
    <w:rsid w:val="00350476"/>
    <w:rsid w:val="0035059E"/>
    <w:rsid w:val="00350705"/>
    <w:rsid w:val="003507B0"/>
    <w:rsid w:val="003509CF"/>
    <w:rsid w:val="00350A0C"/>
    <w:rsid w:val="00350FA0"/>
    <w:rsid w:val="0035117B"/>
    <w:rsid w:val="00351184"/>
    <w:rsid w:val="0035126B"/>
    <w:rsid w:val="003514A4"/>
    <w:rsid w:val="00351563"/>
    <w:rsid w:val="003515FD"/>
    <w:rsid w:val="003518C7"/>
    <w:rsid w:val="00351A87"/>
    <w:rsid w:val="00351E46"/>
    <w:rsid w:val="00351F6A"/>
    <w:rsid w:val="00351FB5"/>
    <w:rsid w:val="00351FDD"/>
    <w:rsid w:val="003525F0"/>
    <w:rsid w:val="003526A0"/>
    <w:rsid w:val="003526B6"/>
    <w:rsid w:val="00352999"/>
    <w:rsid w:val="00352B2F"/>
    <w:rsid w:val="00352EAF"/>
    <w:rsid w:val="00352FDC"/>
    <w:rsid w:val="00353265"/>
    <w:rsid w:val="0035352B"/>
    <w:rsid w:val="00353CF9"/>
    <w:rsid w:val="00353E4F"/>
    <w:rsid w:val="00353F3A"/>
    <w:rsid w:val="00353FCB"/>
    <w:rsid w:val="0035416A"/>
    <w:rsid w:val="00354331"/>
    <w:rsid w:val="00354567"/>
    <w:rsid w:val="003546E5"/>
    <w:rsid w:val="0035475E"/>
    <w:rsid w:val="00354DB5"/>
    <w:rsid w:val="00354FD8"/>
    <w:rsid w:val="00355B71"/>
    <w:rsid w:val="00355B87"/>
    <w:rsid w:val="00355D47"/>
    <w:rsid w:val="00355D99"/>
    <w:rsid w:val="00355F90"/>
    <w:rsid w:val="00356067"/>
    <w:rsid w:val="0035659E"/>
    <w:rsid w:val="003566BF"/>
    <w:rsid w:val="003566D7"/>
    <w:rsid w:val="00356F38"/>
    <w:rsid w:val="003572C6"/>
    <w:rsid w:val="00357541"/>
    <w:rsid w:val="003575FA"/>
    <w:rsid w:val="0035772A"/>
    <w:rsid w:val="0035783F"/>
    <w:rsid w:val="00357931"/>
    <w:rsid w:val="00357A09"/>
    <w:rsid w:val="00357AEE"/>
    <w:rsid w:val="00357CD7"/>
    <w:rsid w:val="00357D83"/>
    <w:rsid w:val="0036089E"/>
    <w:rsid w:val="003609EF"/>
    <w:rsid w:val="00360D06"/>
    <w:rsid w:val="00361149"/>
    <w:rsid w:val="003611D2"/>
    <w:rsid w:val="00361278"/>
    <w:rsid w:val="003618B9"/>
    <w:rsid w:val="00361BE7"/>
    <w:rsid w:val="00362069"/>
    <w:rsid w:val="003622C6"/>
    <w:rsid w:val="0036270D"/>
    <w:rsid w:val="00362C84"/>
    <w:rsid w:val="00362E52"/>
    <w:rsid w:val="003633EF"/>
    <w:rsid w:val="00363523"/>
    <w:rsid w:val="00363984"/>
    <w:rsid w:val="00363997"/>
    <w:rsid w:val="00363AB7"/>
    <w:rsid w:val="00363CFF"/>
    <w:rsid w:val="00363D7E"/>
    <w:rsid w:val="00363DB3"/>
    <w:rsid w:val="00363F6E"/>
    <w:rsid w:val="003641CB"/>
    <w:rsid w:val="003642DF"/>
    <w:rsid w:val="003645C2"/>
    <w:rsid w:val="0036462E"/>
    <w:rsid w:val="00364790"/>
    <w:rsid w:val="00364980"/>
    <w:rsid w:val="00364AB0"/>
    <w:rsid w:val="00364B51"/>
    <w:rsid w:val="00364BD0"/>
    <w:rsid w:val="00364D26"/>
    <w:rsid w:val="00364E76"/>
    <w:rsid w:val="00364F0D"/>
    <w:rsid w:val="00364F2D"/>
    <w:rsid w:val="00364F8C"/>
    <w:rsid w:val="00365276"/>
    <w:rsid w:val="00365280"/>
    <w:rsid w:val="003652CB"/>
    <w:rsid w:val="00365610"/>
    <w:rsid w:val="00365780"/>
    <w:rsid w:val="00365ECE"/>
    <w:rsid w:val="00366152"/>
    <w:rsid w:val="003661C1"/>
    <w:rsid w:val="00366434"/>
    <w:rsid w:val="003667B3"/>
    <w:rsid w:val="003669AC"/>
    <w:rsid w:val="003669D8"/>
    <w:rsid w:val="00366A11"/>
    <w:rsid w:val="00366DA7"/>
    <w:rsid w:val="0036711A"/>
    <w:rsid w:val="003674FD"/>
    <w:rsid w:val="003677DA"/>
    <w:rsid w:val="00367CA5"/>
    <w:rsid w:val="003701A3"/>
    <w:rsid w:val="003701C8"/>
    <w:rsid w:val="00370251"/>
    <w:rsid w:val="00370376"/>
    <w:rsid w:val="003703BA"/>
    <w:rsid w:val="0037050D"/>
    <w:rsid w:val="0037064F"/>
    <w:rsid w:val="00370BBC"/>
    <w:rsid w:val="00370D6C"/>
    <w:rsid w:val="00370DB2"/>
    <w:rsid w:val="00370EC0"/>
    <w:rsid w:val="00370EC9"/>
    <w:rsid w:val="0037110C"/>
    <w:rsid w:val="0037127E"/>
    <w:rsid w:val="00371426"/>
    <w:rsid w:val="00371851"/>
    <w:rsid w:val="00371865"/>
    <w:rsid w:val="003719AD"/>
    <w:rsid w:val="00371B81"/>
    <w:rsid w:val="00371BE7"/>
    <w:rsid w:val="00371FFD"/>
    <w:rsid w:val="003722AF"/>
    <w:rsid w:val="00372573"/>
    <w:rsid w:val="00372665"/>
    <w:rsid w:val="0037274E"/>
    <w:rsid w:val="003728B0"/>
    <w:rsid w:val="00372B48"/>
    <w:rsid w:val="00372F70"/>
    <w:rsid w:val="0037317C"/>
    <w:rsid w:val="00374029"/>
    <w:rsid w:val="00374139"/>
    <w:rsid w:val="0037417B"/>
    <w:rsid w:val="003743A9"/>
    <w:rsid w:val="0037493A"/>
    <w:rsid w:val="00374C3B"/>
    <w:rsid w:val="00374C95"/>
    <w:rsid w:val="00374CFD"/>
    <w:rsid w:val="00374DAF"/>
    <w:rsid w:val="00374ECD"/>
    <w:rsid w:val="00374FE7"/>
    <w:rsid w:val="00375262"/>
    <w:rsid w:val="0037568D"/>
    <w:rsid w:val="003756B8"/>
    <w:rsid w:val="00375CA0"/>
    <w:rsid w:val="00375D4A"/>
    <w:rsid w:val="0037626D"/>
    <w:rsid w:val="003762FF"/>
    <w:rsid w:val="00376332"/>
    <w:rsid w:val="00376373"/>
    <w:rsid w:val="0037649D"/>
    <w:rsid w:val="003766EE"/>
    <w:rsid w:val="0037676E"/>
    <w:rsid w:val="0037733C"/>
    <w:rsid w:val="0037752A"/>
    <w:rsid w:val="003775A8"/>
    <w:rsid w:val="00377DC5"/>
    <w:rsid w:val="0038008A"/>
    <w:rsid w:val="00380130"/>
    <w:rsid w:val="0038020D"/>
    <w:rsid w:val="00380211"/>
    <w:rsid w:val="00380295"/>
    <w:rsid w:val="00380721"/>
    <w:rsid w:val="003807A1"/>
    <w:rsid w:val="0038085D"/>
    <w:rsid w:val="00380A34"/>
    <w:rsid w:val="00380AA7"/>
    <w:rsid w:val="00380E20"/>
    <w:rsid w:val="00380E94"/>
    <w:rsid w:val="00380FBC"/>
    <w:rsid w:val="00380FDB"/>
    <w:rsid w:val="00381173"/>
    <w:rsid w:val="00381185"/>
    <w:rsid w:val="00381200"/>
    <w:rsid w:val="003817A7"/>
    <w:rsid w:val="0038196F"/>
    <w:rsid w:val="00381A1E"/>
    <w:rsid w:val="00381C99"/>
    <w:rsid w:val="00381CC4"/>
    <w:rsid w:val="00382060"/>
    <w:rsid w:val="003820A8"/>
    <w:rsid w:val="00382210"/>
    <w:rsid w:val="00382632"/>
    <w:rsid w:val="00382646"/>
    <w:rsid w:val="00382759"/>
    <w:rsid w:val="0038297D"/>
    <w:rsid w:val="003830A8"/>
    <w:rsid w:val="003832D7"/>
    <w:rsid w:val="003835CC"/>
    <w:rsid w:val="00383883"/>
    <w:rsid w:val="00383986"/>
    <w:rsid w:val="00383C9C"/>
    <w:rsid w:val="00383FBE"/>
    <w:rsid w:val="0038421E"/>
    <w:rsid w:val="0038439C"/>
    <w:rsid w:val="003843A3"/>
    <w:rsid w:val="00384453"/>
    <w:rsid w:val="0038471B"/>
    <w:rsid w:val="003847B9"/>
    <w:rsid w:val="0038495C"/>
    <w:rsid w:val="00384AB4"/>
    <w:rsid w:val="00384BAF"/>
    <w:rsid w:val="00384CC1"/>
    <w:rsid w:val="00384D87"/>
    <w:rsid w:val="003854D0"/>
    <w:rsid w:val="00385A5F"/>
    <w:rsid w:val="00385ACB"/>
    <w:rsid w:val="00385BB7"/>
    <w:rsid w:val="00385C70"/>
    <w:rsid w:val="00385EF3"/>
    <w:rsid w:val="00385F80"/>
    <w:rsid w:val="00386072"/>
    <w:rsid w:val="0038655B"/>
    <w:rsid w:val="00386903"/>
    <w:rsid w:val="0038692F"/>
    <w:rsid w:val="0038694D"/>
    <w:rsid w:val="00386964"/>
    <w:rsid w:val="00386D89"/>
    <w:rsid w:val="00386FCA"/>
    <w:rsid w:val="003873F8"/>
    <w:rsid w:val="0038769B"/>
    <w:rsid w:val="003879F4"/>
    <w:rsid w:val="00387FFB"/>
    <w:rsid w:val="003901E4"/>
    <w:rsid w:val="003904D5"/>
    <w:rsid w:val="0039056A"/>
    <w:rsid w:val="003906E1"/>
    <w:rsid w:val="00390732"/>
    <w:rsid w:val="00390D69"/>
    <w:rsid w:val="00390E28"/>
    <w:rsid w:val="00390ED3"/>
    <w:rsid w:val="00390ED8"/>
    <w:rsid w:val="00391348"/>
    <w:rsid w:val="003914DF"/>
    <w:rsid w:val="00391A66"/>
    <w:rsid w:val="00391BFD"/>
    <w:rsid w:val="0039204B"/>
    <w:rsid w:val="003925BB"/>
    <w:rsid w:val="0039260D"/>
    <w:rsid w:val="00392883"/>
    <w:rsid w:val="00392A57"/>
    <w:rsid w:val="00392B72"/>
    <w:rsid w:val="00392C8A"/>
    <w:rsid w:val="00392F1A"/>
    <w:rsid w:val="003930EF"/>
    <w:rsid w:val="00393205"/>
    <w:rsid w:val="003937E2"/>
    <w:rsid w:val="00393EE9"/>
    <w:rsid w:val="003942F6"/>
    <w:rsid w:val="00394743"/>
    <w:rsid w:val="0039491F"/>
    <w:rsid w:val="0039496F"/>
    <w:rsid w:val="003949B4"/>
    <w:rsid w:val="00394AE8"/>
    <w:rsid w:val="00394C2B"/>
    <w:rsid w:val="003951CE"/>
    <w:rsid w:val="00395222"/>
    <w:rsid w:val="0039529F"/>
    <w:rsid w:val="00395598"/>
    <w:rsid w:val="00395689"/>
    <w:rsid w:val="003957F4"/>
    <w:rsid w:val="00395DCA"/>
    <w:rsid w:val="00395DFA"/>
    <w:rsid w:val="003961F7"/>
    <w:rsid w:val="0039620C"/>
    <w:rsid w:val="00396A9D"/>
    <w:rsid w:val="00396BE0"/>
    <w:rsid w:val="00396C75"/>
    <w:rsid w:val="00396D67"/>
    <w:rsid w:val="00396E29"/>
    <w:rsid w:val="0039703B"/>
    <w:rsid w:val="00397255"/>
    <w:rsid w:val="003973B2"/>
    <w:rsid w:val="003977D6"/>
    <w:rsid w:val="00397CDC"/>
    <w:rsid w:val="003A06A5"/>
    <w:rsid w:val="003A0873"/>
    <w:rsid w:val="003A0C81"/>
    <w:rsid w:val="003A0D41"/>
    <w:rsid w:val="003A0E42"/>
    <w:rsid w:val="003A1C86"/>
    <w:rsid w:val="003A1FE2"/>
    <w:rsid w:val="003A2081"/>
    <w:rsid w:val="003A2115"/>
    <w:rsid w:val="003A2658"/>
    <w:rsid w:val="003A282F"/>
    <w:rsid w:val="003A2977"/>
    <w:rsid w:val="003A2AAF"/>
    <w:rsid w:val="003A2B55"/>
    <w:rsid w:val="003A2BF2"/>
    <w:rsid w:val="003A2DF0"/>
    <w:rsid w:val="003A2F3E"/>
    <w:rsid w:val="003A2F45"/>
    <w:rsid w:val="003A2F7E"/>
    <w:rsid w:val="003A30D8"/>
    <w:rsid w:val="003A33A2"/>
    <w:rsid w:val="003A3688"/>
    <w:rsid w:val="003A3A61"/>
    <w:rsid w:val="003A3B1C"/>
    <w:rsid w:val="003A3BE6"/>
    <w:rsid w:val="003A42C5"/>
    <w:rsid w:val="003A4541"/>
    <w:rsid w:val="003A4641"/>
    <w:rsid w:val="003A474C"/>
    <w:rsid w:val="003A4822"/>
    <w:rsid w:val="003A4CC8"/>
    <w:rsid w:val="003A504B"/>
    <w:rsid w:val="003A514C"/>
    <w:rsid w:val="003A559D"/>
    <w:rsid w:val="003A5933"/>
    <w:rsid w:val="003A5E2B"/>
    <w:rsid w:val="003A5FCC"/>
    <w:rsid w:val="003A6329"/>
    <w:rsid w:val="003A66CC"/>
    <w:rsid w:val="003A6709"/>
    <w:rsid w:val="003A682E"/>
    <w:rsid w:val="003A6957"/>
    <w:rsid w:val="003A6D5F"/>
    <w:rsid w:val="003A6D93"/>
    <w:rsid w:val="003A705C"/>
    <w:rsid w:val="003A7318"/>
    <w:rsid w:val="003A7A34"/>
    <w:rsid w:val="003A7F87"/>
    <w:rsid w:val="003A7F8D"/>
    <w:rsid w:val="003A7FC1"/>
    <w:rsid w:val="003B0131"/>
    <w:rsid w:val="003B033F"/>
    <w:rsid w:val="003B09B8"/>
    <w:rsid w:val="003B0A07"/>
    <w:rsid w:val="003B0BBE"/>
    <w:rsid w:val="003B1042"/>
    <w:rsid w:val="003B109C"/>
    <w:rsid w:val="003B11B3"/>
    <w:rsid w:val="003B143B"/>
    <w:rsid w:val="003B15B9"/>
    <w:rsid w:val="003B15D0"/>
    <w:rsid w:val="003B160B"/>
    <w:rsid w:val="003B170C"/>
    <w:rsid w:val="003B19C2"/>
    <w:rsid w:val="003B1D5F"/>
    <w:rsid w:val="003B2203"/>
    <w:rsid w:val="003B2298"/>
    <w:rsid w:val="003B22F9"/>
    <w:rsid w:val="003B244A"/>
    <w:rsid w:val="003B2CED"/>
    <w:rsid w:val="003B315A"/>
    <w:rsid w:val="003B3190"/>
    <w:rsid w:val="003B33EA"/>
    <w:rsid w:val="003B3484"/>
    <w:rsid w:val="003B3866"/>
    <w:rsid w:val="003B3FDD"/>
    <w:rsid w:val="003B425C"/>
    <w:rsid w:val="003B42DA"/>
    <w:rsid w:val="003B43C1"/>
    <w:rsid w:val="003B45EC"/>
    <w:rsid w:val="003B46C9"/>
    <w:rsid w:val="003B46F7"/>
    <w:rsid w:val="003B4B26"/>
    <w:rsid w:val="003B4BDC"/>
    <w:rsid w:val="003B4D55"/>
    <w:rsid w:val="003B4EBB"/>
    <w:rsid w:val="003B4F54"/>
    <w:rsid w:val="003B55E9"/>
    <w:rsid w:val="003B56BF"/>
    <w:rsid w:val="003B5C81"/>
    <w:rsid w:val="003B5E6B"/>
    <w:rsid w:val="003B5F47"/>
    <w:rsid w:val="003B6068"/>
    <w:rsid w:val="003B6149"/>
    <w:rsid w:val="003B615E"/>
    <w:rsid w:val="003B6531"/>
    <w:rsid w:val="003B6975"/>
    <w:rsid w:val="003B6D69"/>
    <w:rsid w:val="003B6FCB"/>
    <w:rsid w:val="003B7153"/>
    <w:rsid w:val="003B7212"/>
    <w:rsid w:val="003B741F"/>
    <w:rsid w:val="003B76E0"/>
    <w:rsid w:val="003B7B3A"/>
    <w:rsid w:val="003C059F"/>
    <w:rsid w:val="003C070C"/>
    <w:rsid w:val="003C0DF5"/>
    <w:rsid w:val="003C0EF2"/>
    <w:rsid w:val="003C120D"/>
    <w:rsid w:val="003C14C9"/>
    <w:rsid w:val="003C15D5"/>
    <w:rsid w:val="003C170B"/>
    <w:rsid w:val="003C1B36"/>
    <w:rsid w:val="003C1C12"/>
    <w:rsid w:val="003C1CC8"/>
    <w:rsid w:val="003C1E0C"/>
    <w:rsid w:val="003C2161"/>
    <w:rsid w:val="003C24F1"/>
    <w:rsid w:val="003C2808"/>
    <w:rsid w:val="003C2811"/>
    <w:rsid w:val="003C2D87"/>
    <w:rsid w:val="003C2F2A"/>
    <w:rsid w:val="003C32E7"/>
    <w:rsid w:val="003C3336"/>
    <w:rsid w:val="003C33F5"/>
    <w:rsid w:val="003C35BA"/>
    <w:rsid w:val="003C391D"/>
    <w:rsid w:val="003C3A1F"/>
    <w:rsid w:val="003C3C29"/>
    <w:rsid w:val="003C416E"/>
    <w:rsid w:val="003C4276"/>
    <w:rsid w:val="003C4342"/>
    <w:rsid w:val="003C436D"/>
    <w:rsid w:val="003C4ED0"/>
    <w:rsid w:val="003C4FF5"/>
    <w:rsid w:val="003C50B4"/>
    <w:rsid w:val="003C50D4"/>
    <w:rsid w:val="003C529A"/>
    <w:rsid w:val="003C579F"/>
    <w:rsid w:val="003C5AD6"/>
    <w:rsid w:val="003C5C75"/>
    <w:rsid w:val="003C5E33"/>
    <w:rsid w:val="003C5E93"/>
    <w:rsid w:val="003C62D7"/>
    <w:rsid w:val="003C630F"/>
    <w:rsid w:val="003C6515"/>
    <w:rsid w:val="003C672A"/>
    <w:rsid w:val="003C67F8"/>
    <w:rsid w:val="003C6B4A"/>
    <w:rsid w:val="003C6C91"/>
    <w:rsid w:val="003C6C99"/>
    <w:rsid w:val="003C6D30"/>
    <w:rsid w:val="003C6E70"/>
    <w:rsid w:val="003C7717"/>
    <w:rsid w:val="003C7799"/>
    <w:rsid w:val="003C77A9"/>
    <w:rsid w:val="003C7A14"/>
    <w:rsid w:val="003C7E68"/>
    <w:rsid w:val="003D0059"/>
    <w:rsid w:val="003D0200"/>
    <w:rsid w:val="003D0A32"/>
    <w:rsid w:val="003D0A71"/>
    <w:rsid w:val="003D12A9"/>
    <w:rsid w:val="003D17E5"/>
    <w:rsid w:val="003D1C99"/>
    <w:rsid w:val="003D1D8A"/>
    <w:rsid w:val="003D1F2D"/>
    <w:rsid w:val="003D2020"/>
    <w:rsid w:val="003D220C"/>
    <w:rsid w:val="003D22D8"/>
    <w:rsid w:val="003D23A5"/>
    <w:rsid w:val="003D2604"/>
    <w:rsid w:val="003D27F0"/>
    <w:rsid w:val="003D285A"/>
    <w:rsid w:val="003D2893"/>
    <w:rsid w:val="003D2DE0"/>
    <w:rsid w:val="003D31D3"/>
    <w:rsid w:val="003D31EF"/>
    <w:rsid w:val="003D36FF"/>
    <w:rsid w:val="003D37B7"/>
    <w:rsid w:val="003D38AB"/>
    <w:rsid w:val="003D499C"/>
    <w:rsid w:val="003D4C07"/>
    <w:rsid w:val="003D50B8"/>
    <w:rsid w:val="003D53C4"/>
    <w:rsid w:val="003D54A1"/>
    <w:rsid w:val="003D5721"/>
    <w:rsid w:val="003D5D79"/>
    <w:rsid w:val="003D5FAE"/>
    <w:rsid w:val="003D6473"/>
    <w:rsid w:val="003D6565"/>
    <w:rsid w:val="003D66B6"/>
    <w:rsid w:val="003D6836"/>
    <w:rsid w:val="003D6AF6"/>
    <w:rsid w:val="003D6C09"/>
    <w:rsid w:val="003D706E"/>
    <w:rsid w:val="003D722E"/>
    <w:rsid w:val="003D79B3"/>
    <w:rsid w:val="003D7A59"/>
    <w:rsid w:val="003D7A75"/>
    <w:rsid w:val="003D7D86"/>
    <w:rsid w:val="003D7DFA"/>
    <w:rsid w:val="003D7F46"/>
    <w:rsid w:val="003E0005"/>
    <w:rsid w:val="003E0453"/>
    <w:rsid w:val="003E07D9"/>
    <w:rsid w:val="003E0801"/>
    <w:rsid w:val="003E098C"/>
    <w:rsid w:val="003E0A31"/>
    <w:rsid w:val="003E0BE0"/>
    <w:rsid w:val="003E0CBC"/>
    <w:rsid w:val="003E11CD"/>
    <w:rsid w:val="003E131E"/>
    <w:rsid w:val="003E20A6"/>
    <w:rsid w:val="003E23EB"/>
    <w:rsid w:val="003E2465"/>
    <w:rsid w:val="003E249D"/>
    <w:rsid w:val="003E2A69"/>
    <w:rsid w:val="003E2D0F"/>
    <w:rsid w:val="003E2DD0"/>
    <w:rsid w:val="003E2E5D"/>
    <w:rsid w:val="003E2F88"/>
    <w:rsid w:val="003E2F8A"/>
    <w:rsid w:val="003E31CD"/>
    <w:rsid w:val="003E32D1"/>
    <w:rsid w:val="003E350F"/>
    <w:rsid w:val="003E35A1"/>
    <w:rsid w:val="003E3684"/>
    <w:rsid w:val="003E3697"/>
    <w:rsid w:val="003E3974"/>
    <w:rsid w:val="003E3AE6"/>
    <w:rsid w:val="003E3E3A"/>
    <w:rsid w:val="003E3ED3"/>
    <w:rsid w:val="003E3F29"/>
    <w:rsid w:val="003E429F"/>
    <w:rsid w:val="003E467C"/>
    <w:rsid w:val="003E4992"/>
    <w:rsid w:val="003E4D61"/>
    <w:rsid w:val="003E54A0"/>
    <w:rsid w:val="003E54AF"/>
    <w:rsid w:val="003E5AE1"/>
    <w:rsid w:val="003E5F40"/>
    <w:rsid w:val="003E61D4"/>
    <w:rsid w:val="003E6229"/>
    <w:rsid w:val="003E62CE"/>
    <w:rsid w:val="003E653A"/>
    <w:rsid w:val="003E6981"/>
    <w:rsid w:val="003E6B86"/>
    <w:rsid w:val="003E6EBE"/>
    <w:rsid w:val="003E6F0A"/>
    <w:rsid w:val="003E6FB2"/>
    <w:rsid w:val="003E7618"/>
    <w:rsid w:val="003E7715"/>
    <w:rsid w:val="003E7741"/>
    <w:rsid w:val="003E7A39"/>
    <w:rsid w:val="003E7D54"/>
    <w:rsid w:val="003E7D6E"/>
    <w:rsid w:val="003E7FFE"/>
    <w:rsid w:val="003F009A"/>
    <w:rsid w:val="003F0352"/>
    <w:rsid w:val="003F0601"/>
    <w:rsid w:val="003F06B1"/>
    <w:rsid w:val="003F09CE"/>
    <w:rsid w:val="003F0DA8"/>
    <w:rsid w:val="003F1301"/>
    <w:rsid w:val="003F1380"/>
    <w:rsid w:val="003F15ED"/>
    <w:rsid w:val="003F1C16"/>
    <w:rsid w:val="003F1C2F"/>
    <w:rsid w:val="003F1CE1"/>
    <w:rsid w:val="003F1CEA"/>
    <w:rsid w:val="003F1F03"/>
    <w:rsid w:val="003F1F43"/>
    <w:rsid w:val="003F219F"/>
    <w:rsid w:val="003F22E9"/>
    <w:rsid w:val="003F2C9F"/>
    <w:rsid w:val="003F2D1B"/>
    <w:rsid w:val="003F2D8E"/>
    <w:rsid w:val="003F2EFF"/>
    <w:rsid w:val="003F317F"/>
    <w:rsid w:val="003F31D5"/>
    <w:rsid w:val="003F3392"/>
    <w:rsid w:val="003F3450"/>
    <w:rsid w:val="003F34FF"/>
    <w:rsid w:val="003F35B7"/>
    <w:rsid w:val="003F360D"/>
    <w:rsid w:val="003F3B67"/>
    <w:rsid w:val="003F3B7A"/>
    <w:rsid w:val="003F3BB4"/>
    <w:rsid w:val="003F3BD1"/>
    <w:rsid w:val="003F3E48"/>
    <w:rsid w:val="003F3EAE"/>
    <w:rsid w:val="003F43FF"/>
    <w:rsid w:val="003F443B"/>
    <w:rsid w:val="003F4904"/>
    <w:rsid w:val="003F49E6"/>
    <w:rsid w:val="003F5094"/>
    <w:rsid w:val="003F540F"/>
    <w:rsid w:val="003F582C"/>
    <w:rsid w:val="003F5919"/>
    <w:rsid w:val="003F6787"/>
    <w:rsid w:val="003F6AAC"/>
    <w:rsid w:val="003F6B97"/>
    <w:rsid w:val="003F6CBA"/>
    <w:rsid w:val="003F6D43"/>
    <w:rsid w:val="003F6E86"/>
    <w:rsid w:val="003F6ED3"/>
    <w:rsid w:val="003F72C4"/>
    <w:rsid w:val="00400248"/>
    <w:rsid w:val="00400261"/>
    <w:rsid w:val="00400354"/>
    <w:rsid w:val="0040086D"/>
    <w:rsid w:val="00400B2D"/>
    <w:rsid w:val="00400FFB"/>
    <w:rsid w:val="004012E7"/>
    <w:rsid w:val="0040171B"/>
    <w:rsid w:val="00401795"/>
    <w:rsid w:val="00401841"/>
    <w:rsid w:val="004019DF"/>
    <w:rsid w:val="00401CF8"/>
    <w:rsid w:val="00401DE8"/>
    <w:rsid w:val="00401E8B"/>
    <w:rsid w:val="00401EC8"/>
    <w:rsid w:val="00401F14"/>
    <w:rsid w:val="00401F8E"/>
    <w:rsid w:val="00402038"/>
    <w:rsid w:val="004020CC"/>
    <w:rsid w:val="004021CC"/>
    <w:rsid w:val="0040225D"/>
    <w:rsid w:val="00402736"/>
    <w:rsid w:val="00402894"/>
    <w:rsid w:val="00402973"/>
    <w:rsid w:val="0040334A"/>
    <w:rsid w:val="0040340F"/>
    <w:rsid w:val="00403426"/>
    <w:rsid w:val="00403DCA"/>
    <w:rsid w:val="00403F56"/>
    <w:rsid w:val="00403F81"/>
    <w:rsid w:val="00403FEB"/>
    <w:rsid w:val="00404006"/>
    <w:rsid w:val="00404064"/>
    <w:rsid w:val="00404132"/>
    <w:rsid w:val="0040420C"/>
    <w:rsid w:val="00404254"/>
    <w:rsid w:val="00404280"/>
    <w:rsid w:val="0040461B"/>
    <w:rsid w:val="00404672"/>
    <w:rsid w:val="00404858"/>
    <w:rsid w:val="0040490E"/>
    <w:rsid w:val="00404AF6"/>
    <w:rsid w:val="00404B2A"/>
    <w:rsid w:val="0040501C"/>
    <w:rsid w:val="0040510C"/>
    <w:rsid w:val="004052D5"/>
    <w:rsid w:val="004062C3"/>
    <w:rsid w:val="00406417"/>
    <w:rsid w:val="0040646A"/>
    <w:rsid w:val="004064B8"/>
    <w:rsid w:val="00406592"/>
    <w:rsid w:val="0040693F"/>
    <w:rsid w:val="00406C82"/>
    <w:rsid w:val="00406F30"/>
    <w:rsid w:val="00407099"/>
    <w:rsid w:val="004070C0"/>
    <w:rsid w:val="004072D7"/>
    <w:rsid w:val="0040740D"/>
    <w:rsid w:val="004074E7"/>
    <w:rsid w:val="00407707"/>
    <w:rsid w:val="004077DC"/>
    <w:rsid w:val="00407925"/>
    <w:rsid w:val="0040795F"/>
    <w:rsid w:val="00407F81"/>
    <w:rsid w:val="004100F6"/>
    <w:rsid w:val="0041011E"/>
    <w:rsid w:val="0041036C"/>
    <w:rsid w:val="004103FE"/>
    <w:rsid w:val="00410729"/>
    <w:rsid w:val="00410941"/>
    <w:rsid w:val="00410D3E"/>
    <w:rsid w:val="00410D66"/>
    <w:rsid w:val="00410F40"/>
    <w:rsid w:val="0041119D"/>
    <w:rsid w:val="0041123B"/>
    <w:rsid w:val="004112B6"/>
    <w:rsid w:val="004112BB"/>
    <w:rsid w:val="004116F0"/>
    <w:rsid w:val="004117EB"/>
    <w:rsid w:val="00411AF4"/>
    <w:rsid w:val="00411C5E"/>
    <w:rsid w:val="00411C6D"/>
    <w:rsid w:val="0041279A"/>
    <w:rsid w:val="004129BD"/>
    <w:rsid w:val="00412CFC"/>
    <w:rsid w:val="00412FB2"/>
    <w:rsid w:val="0041314F"/>
    <w:rsid w:val="004131F7"/>
    <w:rsid w:val="004132CF"/>
    <w:rsid w:val="004132D9"/>
    <w:rsid w:val="004135EA"/>
    <w:rsid w:val="00413860"/>
    <w:rsid w:val="0041397D"/>
    <w:rsid w:val="00413EE8"/>
    <w:rsid w:val="00414072"/>
    <w:rsid w:val="004142F6"/>
    <w:rsid w:val="00414488"/>
    <w:rsid w:val="004145F8"/>
    <w:rsid w:val="00414959"/>
    <w:rsid w:val="00414A20"/>
    <w:rsid w:val="00414BF3"/>
    <w:rsid w:val="00414CF0"/>
    <w:rsid w:val="00414F23"/>
    <w:rsid w:val="00414F7E"/>
    <w:rsid w:val="004151D2"/>
    <w:rsid w:val="004152BB"/>
    <w:rsid w:val="00415334"/>
    <w:rsid w:val="004156E7"/>
    <w:rsid w:val="00415A24"/>
    <w:rsid w:val="00415AB0"/>
    <w:rsid w:val="00415AC9"/>
    <w:rsid w:val="00415B5D"/>
    <w:rsid w:val="00415BD3"/>
    <w:rsid w:val="00415E4C"/>
    <w:rsid w:val="00415FC1"/>
    <w:rsid w:val="00416028"/>
    <w:rsid w:val="00416087"/>
    <w:rsid w:val="0041610E"/>
    <w:rsid w:val="004161E6"/>
    <w:rsid w:val="004164B3"/>
    <w:rsid w:val="00416621"/>
    <w:rsid w:val="00416739"/>
    <w:rsid w:val="0041698F"/>
    <w:rsid w:val="00416B9C"/>
    <w:rsid w:val="00416E92"/>
    <w:rsid w:val="00417047"/>
    <w:rsid w:val="00417114"/>
    <w:rsid w:val="004171F6"/>
    <w:rsid w:val="0041738C"/>
    <w:rsid w:val="004175F4"/>
    <w:rsid w:val="004177B5"/>
    <w:rsid w:val="00417991"/>
    <w:rsid w:val="00417CA2"/>
    <w:rsid w:val="00417CA8"/>
    <w:rsid w:val="00417EC0"/>
    <w:rsid w:val="00417ECA"/>
    <w:rsid w:val="0042079C"/>
    <w:rsid w:val="0042098E"/>
    <w:rsid w:val="00420B20"/>
    <w:rsid w:val="00420BD0"/>
    <w:rsid w:val="00420FE6"/>
    <w:rsid w:val="004213F0"/>
    <w:rsid w:val="0042184F"/>
    <w:rsid w:val="0042197A"/>
    <w:rsid w:val="004219CE"/>
    <w:rsid w:val="00421AE3"/>
    <w:rsid w:val="00422232"/>
    <w:rsid w:val="00422895"/>
    <w:rsid w:val="00422C6D"/>
    <w:rsid w:val="00422C72"/>
    <w:rsid w:val="00422DB3"/>
    <w:rsid w:val="00422ED3"/>
    <w:rsid w:val="00422F20"/>
    <w:rsid w:val="00423253"/>
    <w:rsid w:val="004234DA"/>
    <w:rsid w:val="0042367D"/>
    <w:rsid w:val="00423DA6"/>
    <w:rsid w:val="00423F5B"/>
    <w:rsid w:val="00424308"/>
    <w:rsid w:val="004246A0"/>
    <w:rsid w:val="00424890"/>
    <w:rsid w:val="00424A35"/>
    <w:rsid w:val="00424B1D"/>
    <w:rsid w:val="00424E9B"/>
    <w:rsid w:val="004256B2"/>
    <w:rsid w:val="004258F3"/>
    <w:rsid w:val="00425A34"/>
    <w:rsid w:val="00426371"/>
    <w:rsid w:val="00426397"/>
    <w:rsid w:val="00426840"/>
    <w:rsid w:val="00426BF8"/>
    <w:rsid w:val="00426E11"/>
    <w:rsid w:val="00426EBF"/>
    <w:rsid w:val="004270AA"/>
    <w:rsid w:val="00427485"/>
    <w:rsid w:val="0042750B"/>
    <w:rsid w:val="00427663"/>
    <w:rsid w:val="00427D3F"/>
    <w:rsid w:val="00427DED"/>
    <w:rsid w:val="00427E0E"/>
    <w:rsid w:val="00430262"/>
    <w:rsid w:val="00430392"/>
    <w:rsid w:val="00430657"/>
    <w:rsid w:val="00430763"/>
    <w:rsid w:val="00430829"/>
    <w:rsid w:val="00430D8C"/>
    <w:rsid w:val="00431250"/>
    <w:rsid w:val="00431460"/>
    <w:rsid w:val="004314D4"/>
    <w:rsid w:val="00431592"/>
    <w:rsid w:val="00431606"/>
    <w:rsid w:val="0043170D"/>
    <w:rsid w:val="00431A8C"/>
    <w:rsid w:val="00431AF0"/>
    <w:rsid w:val="00431DAA"/>
    <w:rsid w:val="00431EE0"/>
    <w:rsid w:val="00431FC9"/>
    <w:rsid w:val="00432181"/>
    <w:rsid w:val="00432284"/>
    <w:rsid w:val="00432365"/>
    <w:rsid w:val="004324E4"/>
    <w:rsid w:val="0043257C"/>
    <w:rsid w:val="00432993"/>
    <w:rsid w:val="00432CE8"/>
    <w:rsid w:val="00432D50"/>
    <w:rsid w:val="00432F78"/>
    <w:rsid w:val="004331C0"/>
    <w:rsid w:val="00433422"/>
    <w:rsid w:val="004338DE"/>
    <w:rsid w:val="00433995"/>
    <w:rsid w:val="004339D8"/>
    <w:rsid w:val="00433B15"/>
    <w:rsid w:val="00433BA5"/>
    <w:rsid w:val="00433D6A"/>
    <w:rsid w:val="004344EA"/>
    <w:rsid w:val="0043452B"/>
    <w:rsid w:val="00434547"/>
    <w:rsid w:val="00434BC3"/>
    <w:rsid w:val="00434BF7"/>
    <w:rsid w:val="00434C6C"/>
    <w:rsid w:val="00435470"/>
    <w:rsid w:val="004358EC"/>
    <w:rsid w:val="00435B1C"/>
    <w:rsid w:val="00435EDE"/>
    <w:rsid w:val="0043629D"/>
    <w:rsid w:val="0043641A"/>
    <w:rsid w:val="004366B4"/>
    <w:rsid w:val="00436C12"/>
    <w:rsid w:val="00436C4C"/>
    <w:rsid w:val="00436D99"/>
    <w:rsid w:val="00437171"/>
    <w:rsid w:val="004400C7"/>
    <w:rsid w:val="0044025C"/>
    <w:rsid w:val="004403C6"/>
    <w:rsid w:val="0044097D"/>
    <w:rsid w:val="004409B6"/>
    <w:rsid w:val="004409E6"/>
    <w:rsid w:val="00440C40"/>
    <w:rsid w:val="004413C9"/>
    <w:rsid w:val="00441CE8"/>
    <w:rsid w:val="004425B2"/>
    <w:rsid w:val="0044289B"/>
    <w:rsid w:val="0044299A"/>
    <w:rsid w:val="00442FB9"/>
    <w:rsid w:val="00443308"/>
    <w:rsid w:val="00443898"/>
    <w:rsid w:val="00443932"/>
    <w:rsid w:val="00443952"/>
    <w:rsid w:val="00443996"/>
    <w:rsid w:val="00443C10"/>
    <w:rsid w:val="00443C13"/>
    <w:rsid w:val="00443C4F"/>
    <w:rsid w:val="00443E00"/>
    <w:rsid w:val="00443F75"/>
    <w:rsid w:val="0044405E"/>
    <w:rsid w:val="00444269"/>
    <w:rsid w:val="0044434F"/>
    <w:rsid w:val="004445D0"/>
    <w:rsid w:val="00444D73"/>
    <w:rsid w:val="004452DB"/>
    <w:rsid w:val="004453A1"/>
    <w:rsid w:val="004455FA"/>
    <w:rsid w:val="004457B8"/>
    <w:rsid w:val="004457CA"/>
    <w:rsid w:val="00445826"/>
    <w:rsid w:val="00445B5E"/>
    <w:rsid w:val="00445BDF"/>
    <w:rsid w:val="00446123"/>
    <w:rsid w:val="0044621F"/>
    <w:rsid w:val="00446771"/>
    <w:rsid w:val="004467C0"/>
    <w:rsid w:val="00446BC5"/>
    <w:rsid w:val="00446E05"/>
    <w:rsid w:val="00446E26"/>
    <w:rsid w:val="00446E29"/>
    <w:rsid w:val="00447509"/>
    <w:rsid w:val="00447584"/>
    <w:rsid w:val="00447652"/>
    <w:rsid w:val="00447C9B"/>
    <w:rsid w:val="00447D34"/>
    <w:rsid w:val="004506C3"/>
    <w:rsid w:val="004507EF"/>
    <w:rsid w:val="004509F1"/>
    <w:rsid w:val="00450E3B"/>
    <w:rsid w:val="0045115F"/>
    <w:rsid w:val="004513E3"/>
    <w:rsid w:val="00451430"/>
    <w:rsid w:val="0045145C"/>
    <w:rsid w:val="004514B7"/>
    <w:rsid w:val="00451BF5"/>
    <w:rsid w:val="00451F4D"/>
    <w:rsid w:val="004521CC"/>
    <w:rsid w:val="004522FE"/>
    <w:rsid w:val="004532E7"/>
    <w:rsid w:val="00453445"/>
    <w:rsid w:val="00453515"/>
    <w:rsid w:val="004536E1"/>
    <w:rsid w:val="004537EA"/>
    <w:rsid w:val="00453B96"/>
    <w:rsid w:val="00453BB8"/>
    <w:rsid w:val="00453C4B"/>
    <w:rsid w:val="00454036"/>
    <w:rsid w:val="004540A0"/>
    <w:rsid w:val="004541A2"/>
    <w:rsid w:val="004544B9"/>
    <w:rsid w:val="0045495B"/>
    <w:rsid w:val="00454B6A"/>
    <w:rsid w:val="00454BAB"/>
    <w:rsid w:val="00454E78"/>
    <w:rsid w:val="004550B0"/>
    <w:rsid w:val="00455137"/>
    <w:rsid w:val="004553D9"/>
    <w:rsid w:val="0045544C"/>
    <w:rsid w:val="004557B3"/>
    <w:rsid w:val="00455AF9"/>
    <w:rsid w:val="00455C0B"/>
    <w:rsid w:val="00455F63"/>
    <w:rsid w:val="0045634C"/>
    <w:rsid w:val="00456824"/>
    <w:rsid w:val="0045684B"/>
    <w:rsid w:val="00456B0F"/>
    <w:rsid w:val="00456F9A"/>
    <w:rsid w:val="00457072"/>
    <w:rsid w:val="00457278"/>
    <w:rsid w:val="004573E6"/>
    <w:rsid w:val="004574CE"/>
    <w:rsid w:val="004575B2"/>
    <w:rsid w:val="00457A47"/>
    <w:rsid w:val="00457BC6"/>
    <w:rsid w:val="00457C3A"/>
    <w:rsid w:val="004604A8"/>
    <w:rsid w:val="00460AAD"/>
    <w:rsid w:val="00460B82"/>
    <w:rsid w:val="004610E1"/>
    <w:rsid w:val="00461173"/>
    <w:rsid w:val="004611D7"/>
    <w:rsid w:val="00461369"/>
    <w:rsid w:val="004615F6"/>
    <w:rsid w:val="004617AC"/>
    <w:rsid w:val="0046192F"/>
    <w:rsid w:val="00461D71"/>
    <w:rsid w:val="00461E1E"/>
    <w:rsid w:val="0046219E"/>
    <w:rsid w:val="00462255"/>
    <w:rsid w:val="00462307"/>
    <w:rsid w:val="004624AA"/>
    <w:rsid w:val="0046274A"/>
    <w:rsid w:val="00462C71"/>
    <w:rsid w:val="00463047"/>
    <w:rsid w:val="0046355C"/>
    <w:rsid w:val="004638BB"/>
    <w:rsid w:val="00463906"/>
    <w:rsid w:val="00463919"/>
    <w:rsid w:val="00463BFF"/>
    <w:rsid w:val="00463D38"/>
    <w:rsid w:val="00463EFA"/>
    <w:rsid w:val="00464201"/>
    <w:rsid w:val="00464A26"/>
    <w:rsid w:val="00464FD2"/>
    <w:rsid w:val="0046544D"/>
    <w:rsid w:val="00465597"/>
    <w:rsid w:val="004655BA"/>
    <w:rsid w:val="0046564C"/>
    <w:rsid w:val="0046566B"/>
    <w:rsid w:val="00465888"/>
    <w:rsid w:val="00465918"/>
    <w:rsid w:val="00465AB5"/>
    <w:rsid w:val="00465DF1"/>
    <w:rsid w:val="00465FCA"/>
    <w:rsid w:val="00467C40"/>
    <w:rsid w:val="004703A5"/>
    <w:rsid w:val="004704A1"/>
    <w:rsid w:val="004704B5"/>
    <w:rsid w:val="00470756"/>
    <w:rsid w:val="00470900"/>
    <w:rsid w:val="00470BA6"/>
    <w:rsid w:val="00470CAA"/>
    <w:rsid w:val="00470F72"/>
    <w:rsid w:val="00471003"/>
    <w:rsid w:val="004712DE"/>
    <w:rsid w:val="0047140D"/>
    <w:rsid w:val="0047142C"/>
    <w:rsid w:val="0047158C"/>
    <w:rsid w:val="004717F0"/>
    <w:rsid w:val="00471B38"/>
    <w:rsid w:val="00471B87"/>
    <w:rsid w:val="00471C19"/>
    <w:rsid w:val="00471CC5"/>
    <w:rsid w:val="00471DCE"/>
    <w:rsid w:val="00471E18"/>
    <w:rsid w:val="0047243B"/>
    <w:rsid w:val="00472500"/>
    <w:rsid w:val="00472534"/>
    <w:rsid w:val="0047277E"/>
    <w:rsid w:val="00472B62"/>
    <w:rsid w:val="00472B8B"/>
    <w:rsid w:val="00472DEC"/>
    <w:rsid w:val="0047301C"/>
    <w:rsid w:val="0047322C"/>
    <w:rsid w:val="00473295"/>
    <w:rsid w:val="0047329B"/>
    <w:rsid w:val="0047350E"/>
    <w:rsid w:val="0047395F"/>
    <w:rsid w:val="004739CE"/>
    <w:rsid w:val="00473F85"/>
    <w:rsid w:val="004741CF"/>
    <w:rsid w:val="004743E2"/>
    <w:rsid w:val="0047453F"/>
    <w:rsid w:val="004746A6"/>
    <w:rsid w:val="004747DD"/>
    <w:rsid w:val="004748E8"/>
    <w:rsid w:val="004749BE"/>
    <w:rsid w:val="00474D18"/>
    <w:rsid w:val="00475015"/>
    <w:rsid w:val="004751FC"/>
    <w:rsid w:val="004754BE"/>
    <w:rsid w:val="0047561D"/>
    <w:rsid w:val="004758C6"/>
    <w:rsid w:val="0047604D"/>
    <w:rsid w:val="00476426"/>
    <w:rsid w:val="00476AB9"/>
    <w:rsid w:val="00476AC8"/>
    <w:rsid w:val="00476C4B"/>
    <w:rsid w:val="00476CFD"/>
    <w:rsid w:val="004770C3"/>
    <w:rsid w:val="00477483"/>
    <w:rsid w:val="004777CD"/>
    <w:rsid w:val="004778EE"/>
    <w:rsid w:val="00477AFE"/>
    <w:rsid w:val="00477B77"/>
    <w:rsid w:val="00477BAA"/>
    <w:rsid w:val="00477CD1"/>
    <w:rsid w:val="0048017D"/>
    <w:rsid w:val="004801FB"/>
    <w:rsid w:val="004804E2"/>
    <w:rsid w:val="0048056E"/>
    <w:rsid w:val="00480947"/>
    <w:rsid w:val="00480AB1"/>
    <w:rsid w:val="00480FF0"/>
    <w:rsid w:val="00481187"/>
    <w:rsid w:val="00481235"/>
    <w:rsid w:val="004813AD"/>
    <w:rsid w:val="00481799"/>
    <w:rsid w:val="00481866"/>
    <w:rsid w:val="0048196C"/>
    <w:rsid w:val="004819D6"/>
    <w:rsid w:val="00481D4A"/>
    <w:rsid w:val="00481F29"/>
    <w:rsid w:val="00482716"/>
    <w:rsid w:val="004828ED"/>
    <w:rsid w:val="0048296A"/>
    <w:rsid w:val="0048322A"/>
    <w:rsid w:val="004832AA"/>
    <w:rsid w:val="004834C0"/>
    <w:rsid w:val="004838FC"/>
    <w:rsid w:val="00483B31"/>
    <w:rsid w:val="00483C92"/>
    <w:rsid w:val="00483F17"/>
    <w:rsid w:val="004841AC"/>
    <w:rsid w:val="00484727"/>
    <w:rsid w:val="00484B5C"/>
    <w:rsid w:val="00485746"/>
    <w:rsid w:val="00485ACC"/>
    <w:rsid w:val="00485C0D"/>
    <w:rsid w:val="00485D5A"/>
    <w:rsid w:val="00485DB1"/>
    <w:rsid w:val="00485ECE"/>
    <w:rsid w:val="00485FAC"/>
    <w:rsid w:val="0048611E"/>
    <w:rsid w:val="00486225"/>
    <w:rsid w:val="00486B16"/>
    <w:rsid w:val="00486B7E"/>
    <w:rsid w:val="00486CBE"/>
    <w:rsid w:val="00486FD7"/>
    <w:rsid w:val="00487017"/>
    <w:rsid w:val="004876FE"/>
    <w:rsid w:val="00487702"/>
    <w:rsid w:val="0048793B"/>
    <w:rsid w:val="00487B73"/>
    <w:rsid w:val="00487D62"/>
    <w:rsid w:val="00490225"/>
    <w:rsid w:val="0049039D"/>
    <w:rsid w:val="004903C0"/>
    <w:rsid w:val="004905F6"/>
    <w:rsid w:val="0049064C"/>
    <w:rsid w:val="0049072F"/>
    <w:rsid w:val="00490A14"/>
    <w:rsid w:val="00490CC9"/>
    <w:rsid w:val="004910BD"/>
    <w:rsid w:val="00491114"/>
    <w:rsid w:val="004919DE"/>
    <w:rsid w:val="00491B0E"/>
    <w:rsid w:val="00491B19"/>
    <w:rsid w:val="00491C44"/>
    <w:rsid w:val="00491E41"/>
    <w:rsid w:val="00491F91"/>
    <w:rsid w:val="004921F7"/>
    <w:rsid w:val="004922CF"/>
    <w:rsid w:val="00492568"/>
    <w:rsid w:val="004929D0"/>
    <w:rsid w:val="00492AC2"/>
    <w:rsid w:val="00492CCC"/>
    <w:rsid w:val="00493154"/>
    <w:rsid w:val="004931D4"/>
    <w:rsid w:val="00493542"/>
    <w:rsid w:val="00493619"/>
    <w:rsid w:val="00493662"/>
    <w:rsid w:val="0049383C"/>
    <w:rsid w:val="00493AD1"/>
    <w:rsid w:val="00493C4C"/>
    <w:rsid w:val="00493DED"/>
    <w:rsid w:val="0049409E"/>
    <w:rsid w:val="00494251"/>
    <w:rsid w:val="004942D9"/>
    <w:rsid w:val="00494881"/>
    <w:rsid w:val="00494CCE"/>
    <w:rsid w:val="00494D7D"/>
    <w:rsid w:val="00494D99"/>
    <w:rsid w:val="00494FD5"/>
    <w:rsid w:val="0049576A"/>
    <w:rsid w:val="00495CD9"/>
    <w:rsid w:val="004963E0"/>
    <w:rsid w:val="004964DC"/>
    <w:rsid w:val="00496550"/>
    <w:rsid w:val="0049683E"/>
    <w:rsid w:val="0049686C"/>
    <w:rsid w:val="00496A87"/>
    <w:rsid w:val="00496F18"/>
    <w:rsid w:val="00496F99"/>
    <w:rsid w:val="004970E1"/>
    <w:rsid w:val="00497270"/>
    <w:rsid w:val="00497336"/>
    <w:rsid w:val="00497802"/>
    <w:rsid w:val="0049782D"/>
    <w:rsid w:val="00497A4C"/>
    <w:rsid w:val="00497B9C"/>
    <w:rsid w:val="00497BF5"/>
    <w:rsid w:val="00497DB4"/>
    <w:rsid w:val="004A03FD"/>
    <w:rsid w:val="004A051A"/>
    <w:rsid w:val="004A0703"/>
    <w:rsid w:val="004A0757"/>
    <w:rsid w:val="004A0813"/>
    <w:rsid w:val="004A0BE9"/>
    <w:rsid w:val="004A0C79"/>
    <w:rsid w:val="004A0D90"/>
    <w:rsid w:val="004A0F12"/>
    <w:rsid w:val="004A1399"/>
    <w:rsid w:val="004A14BB"/>
    <w:rsid w:val="004A150D"/>
    <w:rsid w:val="004A169E"/>
    <w:rsid w:val="004A18D6"/>
    <w:rsid w:val="004A19B7"/>
    <w:rsid w:val="004A1B6B"/>
    <w:rsid w:val="004A1BBC"/>
    <w:rsid w:val="004A201D"/>
    <w:rsid w:val="004A25FC"/>
    <w:rsid w:val="004A29C1"/>
    <w:rsid w:val="004A2C00"/>
    <w:rsid w:val="004A30D3"/>
    <w:rsid w:val="004A3383"/>
    <w:rsid w:val="004A348C"/>
    <w:rsid w:val="004A3546"/>
    <w:rsid w:val="004A355D"/>
    <w:rsid w:val="004A36F1"/>
    <w:rsid w:val="004A3985"/>
    <w:rsid w:val="004A3AAE"/>
    <w:rsid w:val="004A3D57"/>
    <w:rsid w:val="004A3D7C"/>
    <w:rsid w:val="004A3EB3"/>
    <w:rsid w:val="004A4009"/>
    <w:rsid w:val="004A4199"/>
    <w:rsid w:val="004A4273"/>
    <w:rsid w:val="004A43C3"/>
    <w:rsid w:val="004A4744"/>
    <w:rsid w:val="004A4899"/>
    <w:rsid w:val="004A4AB9"/>
    <w:rsid w:val="004A4C81"/>
    <w:rsid w:val="004A4DC5"/>
    <w:rsid w:val="004A54CB"/>
    <w:rsid w:val="004A585F"/>
    <w:rsid w:val="004A5B48"/>
    <w:rsid w:val="004A5C1C"/>
    <w:rsid w:val="004A5F8F"/>
    <w:rsid w:val="004A62A3"/>
    <w:rsid w:val="004A6577"/>
    <w:rsid w:val="004A65CC"/>
    <w:rsid w:val="004A679D"/>
    <w:rsid w:val="004A6C7F"/>
    <w:rsid w:val="004A6CAB"/>
    <w:rsid w:val="004A6FA6"/>
    <w:rsid w:val="004A70CC"/>
    <w:rsid w:val="004A72E5"/>
    <w:rsid w:val="004A750B"/>
    <w:rsid w:val="004A7C53"/>
    <w:rsid w:val="004A7D4E"/>
    <w:rsid w:val="004B0410"/>
    <w:rsid w:val="004B0623"/>
    <w:rsid w:val="004B0ADA"/>
    <w:rsid w:val="004B0B40"/>
    <w:rsid w:val="004B1216"/>
    <w:rsid w:val="004B1300"/>
    <w:rsid w:val="004B18E0"/>
    <w:rsid w:val="004B18FC"/>
    <w:rsid w:val="004B196B"/>
    <w:rsid w:val="004B1C40"/>
    <w:rsid w:val="004B1C63"/>
    <w:rsid w:val="004B214B"/>
    <w:rsid w:val="004B2222"/>
    <w:rsid w:val="004B23E6"/>
    <w:rsid w:val="004B24FD"/>
    <w:rsid w:val="004B2530"/>
    <w:rsid w:val="004B2830"/>
    <w:rsid w:val="004B2A08"/>
    <w:rsid w:val="004B2B33"/>
    <w:rsid w:val="004B3076"/>
    <w:rsid w:val="004B30E8"/>
    <w:rsid w:val="004B3105"/>
    <w:rsid w:val="004B32B1"/>
    <w:rsid w:val="004B32EA"/>
    <w:rsid w:val="004B3465"/>
    <w:rsid w:val="004B3472"/>
    <w:rsid w:val="004B347C"/>
    <w:rsid w:val="004B3723"/>
    <w:rsid w:val="004B3B51"/>
    <w:rsid w:val="004B414C"/>
    <w:rsid w:val="004B41E2"/>
    <w:rsid w:val="004B4262"/>
    <w:rsid w:val="004B43A3"/>
    <w:rsid w:val="004B4797"/>
    <w:rsid w:val="004B4873"/>
    <w:rsid w:val="004B506A"/>
    <w:rsid w:val="004B547E"/>
    <w:rsid w:val="004B5544"/>
    <w:rsid w:val="004B5CA8"/>
    <w:rsid w:val="004B6880"/>
    <w:rsid w:val="004B68AC"/>
    <w:rsid w:val="004B68B4"/>
    <w:rsid w:val="004B6F8C"/>
    <w:rsid w:val="004B732C"/>
    <w:rsid w:val="004B753A"/>
    <w:rsid w:val="004B7A1A"/>
    <w:rsid w:val="004B7A5E"/>
    <w:rsid w:val="004B7B83"/>
    <w:rsid w:val="004C0279"/>
    <w:rsid w:val="004C030B"/>
    <w:rsid w:val="004C0331"/>
    <w:rsid w:val="004C035C"/>
    <w:rsid w:val="004C0401"/>
    <w:rsid w:val="004C04C8"/>
    <w:rsid w:val="004C1143"/>
    <w:rsid w:val="004C115B"/>
    <w:rsid w:val="004C1205"/>
    <w:rsid w:val="004C1859"/>
    <w:rsid w:val="004C1B25"/>
    <w:rsid w:val="004C1E02"/>
    <w:rsid w:val="004C1E66"/>
    <w:rsid w:val="004C20CB"/>
    <w:rsid w:val="004C2107"/>
    <w:rsid w:val="004C239E"/>
    <w:rsid w:val="004C25AE"/>
    <w:rsid w:val="004C2CA7"/>
    <w:rsid w:val="004C2FFA"/>
    <w:rsid w:val="004C313C"/>
    <w:rsid w:val="004C31C8"/>
    <w:rsid w:val="004C3314"/>
    <w:rsid w:val="004C34D5"/>
    <w:rsid w:val="004C3542"/>
    <w:rsid w:val="004C3772"/>
    <w:rsid w:val="004C3B17"/>
    <w:rsid w:val="004C42BA"/>
    <w:rsid w:val="004C4806"/>
    <w:rsid w:val="004C48CE"/>
    <w:rsid w:val="004C4925"/>
    <w:rsid w:val="004C4C63"/>
    <w:rsid w:val="004C4CF1"/>
    <w:rsid w:val="004C4E3A"/>
    <w:rsid w:val="004C4EB8"/>
    <w:rsid w:val="004C551B"/>
    <w:rsid w:val="004C5730"/>
    <w:rsid w:val="004C5886"/>
    <w:rsid w:val="004C596B"/>
    <w:rsid w:val="004C59D6"/>
    <w:rsid w:val="004C5A84"/>
    <w:rsid w:val="004C5B09"/>
    <w:rsid w:val="004C5B47"/>
    <w:rsid w:val="004C5EB0"/>
    <w:rsid w:val="004C6385"/>
    <w:rsid w:val="004C63C9"/>
    <w:rsid w:val="004C65D8"/>
    <w:rsid w:val="004C66E1"/>
    <w:rsid w:val="004C6790"/>
    <w:rsid w:val="004C691C"/>
    <w:rsid w:val="004C6955"/>
    <w:rsid w:val="004C69DF"/>
    <w:rsid w:val="004C6AF1"/>
    <w:rsid w:val="004C6DAE"/>
    <w:rsid w:val="004C6DFE"/>
    <w:rsid w:val="004C6E2E"/>
    <w:rsid w:val="004C6E51"/>
    <w:rsid w:val="004C6F8D"/>
    <w:rsid w:val="004C717D"/>
    <w:rsid w:val="004C788A"/>
    <w:rsid w:val="004C78F2"/>
    <w:rsid w:val="004C7A7B"/>
    <w:rsid w:val="004C7A7C"/>
    <w:rsid w:val="004D072E"/>
    <w:rsid w:val="004D0733"/>
    <w:rsid w:val="004D09B2"/>
    <w:rsid w:val="004D0D06"/>
    <w:rsid w:val="004D134C"/>
    <w:rsid w:val="004D13CB"/>
    <w:rsid w:val="004D1699"/>
    <w:rsid w:val="004D171E"/>
    <w:rsid w:val="004D1784"/>
    <w:rsid w:val="004D1A63"/>
    <w:rsid w:val="004D1AE8"/>
    <w:rsid w:val="004D1DF0"/>
    <w:rsid w:val="004D1F0A"/>
    <w:rsid w:val="004D209D"/>
    <w:rsid w:val="004D233A"/>
    <w:rsid w:val="004D238E"/>
    <w:rsid w:val="004D259D"/>
    <w:rsid w:val="004D26E8"/>
    <w:rsid w:val="004D2A04"/>
    <w:rsid w:val="004D2B4C"/>
    <w:rsid w:val="004D2DF0"/>
    <w:rsid w:val="004D2E1C"/>
    <w:rsid w:val="004D2E8C"/>
    <w:rsid w:val="004D2FC8"/>
    <w:rsid w:val="004D32D9"/>
    <w:rsid w:val="004D3328"/>
    <w:rsid w:val="004D3578"/>
    <w:rsid w:val="004D35EB"/>
    <w:rsid w:val="004D36E9"/>
    <w:rsid w:val="004D395D"/>
    <w:rsid w:val="004D39B6"/>
    <w:rsid w:val="004D3C59"/>
    <w:rsid w:val="004D3F29"/>
    <w:rsid w:val="004D49A0"/>
    <w:rsid w:val="004D4B4F"/>
    <w:rsid w:val="004D4B8D"/>
    <w:rsid w:val="004D4CE5"/>
    <w:rsid w:val="004D4EE6"/>
    <w:rsid w:val="004D5064"/>
    <w:rsid w:val="004D50E8"/>
    <w:rsid w:val="004D529C"/>
    <w:rsid w:val="004D5488"/>
    <w:rsid w:val="004D54EB"/>
    <w:rsid w:val="004D5663"/>
    <w:rsid w:val="004D59EE"/>
    <w:rsid w:val="004D5A85"/>
    <w:rsid w:val="004D5DE1"/>
    <w:rsid w:val="004D6151"/>
    <w:rsid w:val="004D61E9"/>
    <w:rsid w:val="004D6244"/>
    <w:rsid w:val="004D6675"/>
    <w:rsid w:val="004D66E5"/>
    <w:rsid w:val="004D6B46"/>
    <w:rsid w:val="004D6EBD"/>
    <w:rsid w:val="004D6F4E"/>
    <w:rsid w:val="004D6FC6"/>
    <w:rsid w:val="004D700F"/>
    <w:rsid w:val="004D7625"/>
    <w:rsid w:val="004D76E4"/>
    <w:rsid w:val="004D7C34"/>
    <w:rsid w:val="004D7C6E"/>
    <w:rsid w:val="004D7DA4"/>
    <w:rsid w:val="004D7E30"/>
    <w:rsid w:val="004D7EA9"/>
    <w:rsid w:val="004E005B"/>
    <w:rsid w:val="004E00D6"/>
    <w:rsid w:val="004E02B5"/>
    <w:rsid w:val="004E0438"/>
    <w:rsid w:val="004E0876"/>
    <w:rsid w:val="004E0A77"/>
    <w:rsid w:val="004E0B77"/>
    <w:rsid w:val="004E0CA2"/>
    <w:rsid w:val="004E0E0A"/>
    <w:rsid w:val="004E1214"/>
    <w:rsid w:val="004E1283"/>
    <w:rsid w:val="004E1417"/>
    <w:rsid w:val="004E1549"/>
    <w:rsid w:val="004E16EB"/>
    <w:rsid w:val="004E1F65"/>
    <w:rsid w:val="004E1FDB"/>
    <w:rsid w:val="004E213E"/>
    <w:rsid w:val="004E2215"/>
    <w:rsid w:val="004E251C"/>
    <w:rsid w:val="004E265E"/>
    <w:rsid w:val="004E2688"/>
    <w:rsid w:val="004E2A64"/>
    <w:rsid w:val="004E2C58"/>
    <w:rsid w:val="004E2D8A"/>
    <w:rsid w:val="004E2ED8"/>
    <w:rsid w:val="004E2F19"/>
    <w:rsid w:val="004E3146"/>
    <w:rsid w:val="004E318D"/>
    <w:rsid w:val="004E32D4"/>
    <w:rsid w:val="004E377C"/>
    <w:rsid w:val="004E3931"/>
    <w:rsid w:val="004E3DA5"/>
    <w:rsid w:val="004E3EA0"/>
    <w:rsid w:val="004E451C"/>
    <w:rsid w:val="004E47A3"/>
    <w:rsid w:val="004E4A56"/>
    <w:rsid w:val="004E4BBC"/>
    <w:rsid w:val="004E5633"/>
    <w:rsid w:val="004E57B8"/>
    <w:rsid w:val="004E5A35"/>
    <w:rsid w:val="004E5CDD"/>
    <w:rsid w:val="004E5D75"/>
    <w:rsid w:val="004E6105"/>
    <w:rsid w:val="004E62DB"/>
    <w:rsid w:val="004E66B4"/>
    <w:rsid w:val="004E66C1"/>
    <w:rsid w:val="004E6A69"/>
    <w:rsid w:val="004E6F01"/>
    <w:rsid w:val="004E6F83"/>
    <w:rsid w:val="004E700C"/>
    <w:rsid w:val="004E7043"/>
    <w:rsid w:val="004E709E"/>
    <w:rsid w:val="004E7176"/>
    <w:rsid w:val="004E7222"/>
    <w:rsid w:val="004E77E4"/>
    <w:rsid w:val="004E7862"/>
    <w:rsid w:val="004E791C"/>
    <w:rsid w:val="004E7E5D"/>
    <w:rsid w:val="004E7ECD"/>
    <w:rsid w:val="004F0424"/>
    <w:rsid w:val="004F077C"/>
    <w:rsid w:val="004F0C22"/>
    <w:rsid w:val="004F0C33"/>
    <w:rsid w:val="004F1C13"/>
    <w:rsid w:val="004F1C1A"/>
    <w:rsid w:val="004F1C1C"/>
    <w:rsid w:val="004F1C67"/>
    <w:rsid w:val="004F1F5A"/>
    <w:rsid w:val="004F1FD8"/>
    <w:rsid w:val="004F2137"/>
    <w:rsid w:val="004F2153"/>
    <w:rsid w:val="004F21DC"/>
    <w:rsid w:val="004F2AA9"/>
    <w:rsid w:val="004F2ADE"/>
    <w:rsid w:val="004F2C2A"/>
    <w:rsid w:val="004F2D76"/>
    <w:rsid w:val="004F33AA"/>
    <w:rsid w:val="004F33D3"/>
    <w:rsid w:val="004F349C"/>
    <w:rsid w:val="004F38DA"/>
    <w:rsid w:val="004F408A"/>
    <w:rsid w:val="004F438B"/>
    <w:rsid w:val="004F4469"/>
    <w:rsid w:val="004F4481"/>
    <w:rsid w:val="004F4577"/>
    <w:rsid w:val="004F45E9"/>
    <w:rsid w:val="004F49F2"/>
    <w:rsid w:val="004F4BF3"/>
    <w:rsid w:val="004F4C54"/>
    <w:rsid w:val="004F4C88"/>
    <w:rsid w:val="004F4CEB"/>
    <w:rsid w:val="004F4D98"/>
    <w:rsid w:val="004F503E"/>
    <w:rsid w:val="004F5316"/>
    <w:rsid w:val="004F5370"/>
    <w:rsid w:val="004F54BE"/>
    <w:rsid w:val="004F559F"/>
    <w:rsid w:val="004F5EDE"/>
    <w:rsid w:val="004F60C0"/>
    <w:rsid w:val="004F615D"/>
    <w:rsid w:val="004F63BA"/>
    <w:rsid w:val="004F6444"/>
    <w:rsid w:val="004F6B8E"/>
    <w:rsid w:val="004F6C06"/>
    <w:rsid w:val="004F6CD3"/>
    <w:rsid w:val="004F6EDB"/>
    <w:rsid w:val="004F71BE"/>
    <w:rsid w:val="004F733A"/>
    <w:rsid w:val="004F7349"/>
    <w:rsid w:val="004F73C1"/>
    <w:rsid w:val="004F7446"/>
    <w:rsid w:val="004F7A9F"/>
    <w:rsid w:val="004F7C34"/>
    <w:rsid w:val="0050011A"/>
    <w:rsid w:val="00500245"/>
    <w:rsid w:val="0050044F"/>
    <w:rsid w:val="0050090C"/>
    <w:rsid w:val="005009B9"/>
    <w:rsid w:val="0050111C"/>
    <w:rsid w:val="005016A9"/>
    <w:rsid w:val="00501BC3"/>
    <w:rsid w:val="00501BD1"/>
    <w:rsid w:val="0050248F"/>
    <w:rsid w:val="0050269E"/>
    <w:rsid w:val="00503093"/>
    <w:rsid w:val="00503262"/>
    <w:rsid w:val="00503C1B"/>
    <w:rsid w:val="00503D23"/>
    <w:rsid w:val="00503E3A"/>
    <w:rsid w:val="00503EF2"/>
    <w:rsid w:val="00503F9D"/>
    <w:rsid w:val="005040C3"/>
    <w:rsid w:val="005042E6"/>
    <w:rsid w:val="00504760"/>
    <w:rsid w:val="00504A7B"/>
    <w:rsid w:val="00504CE4"/>
    <w:rsid w:val="00504FCE"/>
    <w:rsid w:val="00505056"/>
    <w:rsid w:val="0050521A"/>
    <w:rsid w:val="00505314"/>
    <w:rsid w:val="005054A7"/>
    <w:rsid w:val="0050571C"/>
    <w:rsid w:val="0050573C"/>
    <w:rsid w:val="00505871"/>
    <w:rsid w:val="00505A47"/>
    <w:rsid w:val="00505DD4"/>
    <w:rsid w:val="005067B6"/>
    <w:rsid w:val="00506A49"/>
    <w:rsid w:val="00506AF7"/>
    <w:rsid w:val="00506BB5"/>
    <w:rsid w:val="00506CF4"/>
    <w:rsid w:val="00506F9E"/>
    <w:rsid w:val="00506FB4"/>
    <w:rsid w:val="005073CE"/>
    <w:rsid w:val="005078B9"/>
    <w:rsid w:val="00507E90"/>
    <w:rsid w:val="00510308"/>
    <w:rsid w:val="00510465"/>
    <w:rsid w:val="005107D0"/>
    <w:rsid w:val="005107F7"/>
    <w:rsid w:val="00511045"/>
    <w:rsid w:val="005110D7"/>
    <w:rsid w:val="005115E2"/>
    <w:rsid w:val="0051171A"/>
    <w:rsid w:val="00511CB7"/>
    <w:rsid w:val="00511D0F"/>
    <w:rsid w:val="0051274D"/>
    <w:rsid w:val="00512F12"/>
    <w:rsid w:val="00513019"/>
    <w:rsid w:val="00513590"/>
    <w:rsid w:val="0051368F"/>
    <w:rsid w:val="0051390C"/>
    <w:rsid w:val="00513DBB"/>
    <w:rsid w:val="005145A4"/>
    <w:rsid w:val="005147A7"/>
    <w:rsid w:val="00514909"/>
    <w:rsid w:val="00514A2A"/>
    <w:rsid w:val="00514B91"/>
    <w:rsid w:val="00514D0E"/>
    <w:rsid w:val="005150C1"/>
    <w:rsid w:val="0051598A"/>
    <w:rsid w:val="00515B5B"/>
    <w:rsid w:val="00515C40"/>
    <w:rsid w:val="00515C60"/>
    <w:rsid w:val="00515DD8"/>
    <w:rsid w:val="00515EB5"/>
    <w:rsid w:val="00515F59"/>
    <w:rsid w:val="00516666"/>
    <w:rsid w:val="0051693F"/>
    <w:rsid w:val="00516D1F"/>
    <w:rsid w:val="00516FAF"/>
    <w:rsid w:val="00517151"/>
    <w:rsid w:val="005177C5"/>
    <w:rsid w:val="00517817"/>
    <w:rsid w:val="00517C77"/>
    <w:rsid w:val="00517E3F"/>
    <w:rsid w:val="0051EE52"/>
    <w:rsid w:val="0052047B"/>
    <w:rsid w:val="0052079F"/>
    <w:rsid w:val="00520AC6"/>
    <w:rsid w:val="00520B10"/>
    <w:rsid w:val="00520E0C"/>
    <w:rsid w:val="005211EA"/>
    <w:rsid w:val="005212E1"/>
    <w:rsid w:val="005215A1"/>
    <w:rsid w:val="00521B20"/>
    <w:rsid w:val="00521F23"/>
    <w:rsid w:val="00522561"/>
    <w:rsid w:val="005228B1"/>
    <w:rsid w:val="0052298F"/>
    <w:rsid w:val="00522AD4"/>
    <w:rsid w:val="00522BED"/>
    <w:rsid w:val="00522C43"/>
    <w:rsid w:val="0052310D"/>
    <w:rsid w:val="005231D6"/>
    <w:rsid w:val="00523595"/>
    <w:rsid w:val="0052361D"/>
    <w:rsid w:val="00523710"/>
    <w:rsid w:val="0052376F"/>
    <w:rsid w:val="00524101"/>
    <w:rsid w:val="005241C3"/>
    <w:rsid w:val="00524346"/>
    <w:rsid w:val="00524C40"/>
    <w:rsid w:val="00524EBB"/>
    <w:rsid w:val="00524EC8"/>
    <w:rsid w:val="005252A3"/>
    <w:rsid w:val="0052533F"/>
    <w:rsid w:val="0052549F"/>
    <w:rsid w:val="0052553E"/>
    <w:rsid w:val="00525A39"/>
    <w:rsid w:val="00525E47"/>
    <w:rsid w:val="005261EC"/>
    <w:rsid w:val="005264EB"/>
    <w:rsid w:val="0052675E"/>
    <w:rsid w:val="00526C07"/>
    <w:rsid w:val="00527411"/>
    <w:rsid w:val="0052748C"/>
    <w:rsid w:val="005274F6"/>
    <w:rsid w:val="00527563"/>
    <w:rsid w:val="005276C4"/>
    <w:rsid w:val="005278EB"/>
    <w:rsid w:val="005278FE"/>
    <w:rsid w:val="00527988"/>
    <w:rsid w:val="00527D20"/>
    <w:rsid w:val="00527EAB"/>
    <w:rsid w:val="005300B0"/>
    <w:rsid w:val="00530729"/>
    <w:rsid w:val="00530796"/>
    <w:rsid w:val="00530A3B"/>
    <w:rsid w:val="00530AE9"/>
    <w:rsid w:val="005312BD"/>
    <w:rsid w:val="005313DD"/>
    <w:rsid w:val="0053142D"/>
    <w:rsid w:val="005314C8"/>
    <w:rsid w:val="00531552"/>
    <w:rsid w:val="005317FA"/>
    <w:rsid w:val="00531854"/>
    <w:rsid w:val="005318BE"/>
    <w:rsid w:val="005318C7"/>
    <w:rsid w:val="00531995"/>
    <w:rsid w:val="005319AC"/>
    <w:rsid w:val="00531C0F"/>
    <w:rsid w:val="00531E52"/>
    <w:rsid w:val="00532042"/>
    <w:rsid w:val="005320EF"/>
    <w:rsid w:val="005324F0"/>
    <w:rsid w:val="00532530"/>
    <w:rsid w:val="00532C30"/>
    <w:rsid w:val="00532E54"/>
    <w:rsid w:val="00533008"/>
    <w:rsid w:val="00533450"/>
    <w:rsid w:val="0053347D"/>
    <w:rsid w:val="00533578"/>
    <w:rsid w:val="005336CD"/>
    <w:rsid w:val="00533AFF"/>
    <w:rsid w:val="00533CA0"/>
    <w:rsid w:val="00533E1E"/>
    <w:rsid w:val="00533F85"/>
    <w:rsid w:val="005341B1"/>
    <w:rsid w:val="005348B4"/>
    <w:rsid w:val="00534C5F"/>
    <w:rsid w:val="00534C71"/>
    <w:rsid w:val="00534D5E"/>
    <w:rsid w:val="00535704"/>
    <w:rsid w:val="0053586F"/>
    <w:rsid w:val="00535929"/>
    <w:rsid w:val="00535A02"/>
    <w:rsid w:val="00535AE7"/>
    <w:rsid w:val="00535CB6"/>
    <w:rsid w:val="005360C7"/>
    <w:rsid w:val="00536311"/>
    <w:rsid w:val="005365A2"/>
    <w:rsid w:val="005369B3"/>
    <w:rsid w:val="00536A5D"/>
    <w:rsid w:val="00536A9D"/>
    <w:rsid w:val="00536B80"/>
    <w:rsid w:val="00536C9F"/>
    <w:rsid w:val="00536CF4"/>
    <w:rsid w:val="00536E12"/>
    <w:rsid w:val="00536F20"/>
    <w:rsid w:val="005378AD"/>
    <w:rsid w:val="005379BC"/>
    <w:rsid w:val="00537A93"/>
    <w:rsid w:val="00537CEA"/>
    <w:rsid w:val="00537D8B"/>
    <w:rsid w:val="00537E48"/>
    <w:rsid w:val="00540169"/>
    <w:rsid w:val="0054023E"/>
    <w:rsid w:val="00540447"/>
    <w:rsid w:val="005404CE"/>
    <w:rsid w:val="005406EE"/>
    <w:rsid w:val="005408CA"/>
    <w:rsid w:val="005409D9"/>
    <w:rsid w:val="00540BB6"/>
    <w:rsid w:val="00540CF0"/>
    <w:rsid w:val="00541125"/>
    <w:rsid w:val="005412EF"/>
    <w:rsid w:val="00541551"/>
    <w:rsid w:val="00541746"/>
    <w:rsid w:val="0054178B"/>
    <w:rsid w:val="00541863"/>
    <w:rsid w:val="00542007"/>
    <w:rsid w:val="005420C7"/>
    <w:rsid w:val="0054217C"/>
    <w:rsid w:val="00542694"/>
    <w:rsid w:val="005426AE"/>
    <w:rsid w:val="00542A2B"/>
    <w:rsid w:val="00542F72"/>
    <w:rsid w:val="00543111"/>
    <w:rsid w:val="005431EA"/>
    <w:rsid w:val="0054338F"/>
    <w:rsid w:val="005435ED"/>
    <w:rsid w:val="0054378D"/>
    <w:rsid w:val="00543934"/>
    <w:rsid w:val="00543A60"/>
    <w:rsid w:val="00543A82"/>
    <w:rsid w:val="0054432E"/>
    <w:rsid w:val="005443DC"/>
    <w:rsid w:val="00544439"/>
    <w:rsid w:val="00544788"/>
    <w:rsid w:val="00544C22"/>
    <w:rsid w:val="00544D0E"/>
    <w:rsid w:val="00544F98"/>
    <w:rsid w:val="0054518A"/>
    <w:rsid w:val="0054543B"/>
    <w:rsid w:val="005454B1"/>
    <w:rsid w:val="00545545"/>
    <w:rsid w:val="00545763"/>
    <w:rsid w:val="005457B1"/>
    <w:rsid w:val="00545911"/>
    <w:rsid w:val="00545B36"/>
    <w:rsid w:val="00545BC2"/>
    <w:rsid w:val="00545C77"/>
    <w:rsid w:val="00545CCF"/>
    <w:rsid w:val="0054601E"/>
    <w:rsid w:val="005461E2"/>
    <w:rsid w:val="0054666B"/>
    <w:rsid w:val="00546830"/>
    <w:rsid w:val="00546879"/>
    <w:rsid w:val="005469B6"/>
    <w:rsid w:val="005469EC"/>
    <w:rsid w:val="00546A0F"/>
    <w:rsid w:val="00546F24"/>
    <w:rsid w:val="00547083"/>
    <w:rsid w:val="00547A18"/>
    <w:rsid w:val="00547CEC"/>
    <w:rsid w:val="005500C8"/>
    <w:rsid w:val="00550504"/>
    <w:rsid w:val="00550543"/>
    <w:rsid w:val="005506D5"/>
    <w:rsid w:val="005507EE"/>
    <w:rsid w:val="005507F0"/>
    <w:rsid w:val="00550C37"/>
    <w:rsid w:val="00550EF4"/>
    <w:rsid w:val="0055119E"/>
    <w:rsid w:val="0055196D"/>
    <w:rsid w:val="005519E6"/>
    <w:rsid w:val="00551B70"/>
    <w:rsid w:val="00551DBC"/>
    <w:rsid w:val="00551E48"/>
    <w:rsid w:val="0055202C"/>
    <w:rsid w:val="005521CA"/>
    <w:rsid w:val="0055243D"/>
    <w:rsid w:val="0055244A"/>
    <w:rsid w:val="005524CF"/>
    <w:rsid w:val="00552676"/>
    <w:rsid w:val="005529A5"/>
    <w:rsid w:val="005529AA"/>
    <w:rsid w:val="00552AB5"/>
    <w:rsid w:val="00552B57"/>
    <w:rsid w:val="00552C05"/>
    <w:rsid w:val="0055320C"/>
    <w:rsid w:val="00553480"/>
    <w:rsid w:val="00553A71"/>
    <w:rsid w:val="00553A92"/>
    <w:rsid w:val="00553DAB"/>
    <w:rsid w:val="00553E07"/>
    <w:rsid w:val="00553E1F"/>
    <w:rsid w:val="00553FFA"/>
    <w:rsid w:val="005544F3"/>
    <w:rsid w:val="00554649"/>
    <w:rsid w:val="00554667"/>
    <w:rsid w:val="00554F59"/>
    <w:rsid w:val="00554F6F"/>
    <w:rsid w:val="00554F78"/>
    <w:rsid w:val="0055543A"/>
    <w:rsid w:val="005557D1"/>
    <w:rsid w:val="0055587F"/>
    <w:rsid w:val="00555954"/>
    <w:rsid w:val="00555AB0"/>
    <w:rsid w:val="00556227"/>
    <w:rsid w:val="005564A8"/>
    <w:rsid w:val="00556B27"/>
    <w:rsid w:val="00556B96"/>
    <w:rsid w:val="00556C47"/>
    <w:rsid w:val="0055715B"/>
    <w:rsid w:val="00557208"/>
    <w:rsid w:val="005572FA"/>
    <w:rsid w:val="0055744F"/>
    <w:rsid w:val="00557846"/>
    <w:rsid w:val="005578F7"/>
    <w:rsid w:val="00557E7A"/>
    <w:rsid w:val="00557F28"/>
    <w:rsid w:val="00557FE6"/>
    <w:rsid w:val="005600E1"/>
    <w:rsid w:val="00560285"/>
    <w:rsid w:val="005602C0"/>
    <w:rsid w:val="005604E3"/>
    <w:rsid w:val="005609ED"/>
    <w:rsid w:val="00560D29"/>
    <w:rsid w:val="00560DE1"/>
    <w:rsid w:val="00560F2C"/>
    <w:rsid w:val="00561515"/>
    <w:rsid w:val="00561572"/>
    <w:rsid w:val="005616F7"/>
    <w:rsid w:val="00561A7F"/>
    <w:rsid w:val="00561A86"/>
    <w:rsid w:val="00561A8A"/>
    <w:rsid w:val="00561B08"/>
    <w:rsid w:val="00561B7F"/>
    <w:rsid w:val="00561DA5"/>
    <w:rsid w:val="00561DFC"/>
    <w:rsid w:val="00561E4E"/>
    <w:rsid w:val="005623A6"/>
    <w:rsid w:val="00562459"/>
    <w:rsid w:val="0056262A"/>
    <w:rsid w:val="00562682"/>
    <w:rsid w:val="00562791"/>
    <w:rsid w:val="00562815"/>
    <w:rsid w:val="00562A9A"/>
    <w:rsid w:val="00562C04"/>
    <w:rsid w:val="00562F2D"/>
    <w:rsid w:val="00563565"/>
    <w:rsid w:val="005637BD"/>
    <w:rsid w:val="00563B31"/>
    <w:rsid w:val="00563D08"/>
    <w:rsid w:val="00563D64"/>
    <w:rsid w:val="00563DA5"/>
    <w:rsid w:val="00563FBF"/>
    <w:rsid w:val="00564375"/>
    <w:rsid w:val="005647B8"/>
    <w:rsid w:val="00565029"/>
    <w:rsid w:val="00565277"/>
    <w:rsid w:val="0056528D"/>
    <w:rsid w:val="00565686"/>
    <w:rsid w:val="005656F4"/>
    <w:rsid w:val="0056576F"/>
    <w:rsid w:val="00565C8B"/>
    <w:rsid w:val="00566163"/>
    <w:rsid w:val="0056664F"/>
    <w:rsid w:val="00566944"/>
    <w:rsid w:val="00566B34"/>
    <w:rsid w:val="00566C50"/>
    <w:rsid w:val="00566F10"/>
    <w:rsid w:val="00566F22"/>
    <w:rsid w:val="005672BF"/>
    <w:rsid w:val="005676EF"/>
    <w:rsid w:val="0056788D"/>
    <w:rsid w:val="00567A68"/>
    <w:rsid w:val="00567B7E"/>
    <w:rsid w:val="00567E07"/>
    <w:rsid w:val="00570073"/>
    <w:rsid w:val="005700B2"/>
    <w:rsid w:val="005704B2"/>
    <w:rsid w:val="00570647"/>
    <w:rsid w:val="0057073C"/>
    <w:rsid w:val="005708B5"/>
    <w:rsid w:val="005708BF"/>
    <w:rsid w:val="00570928"/>
    <w:rsid w:val="00570AE6"/>
    <w:rsid w:val="00570EC4"/>
    <w:rsid w:val="00570FE5"/>
    <w:rsid w:val="00571126"/>
    <w:rsid w:val="0057134C"/>
    <w:rsid w:val="005713FC"/>
    <w:rsid w:val="005715E6"/>
    <w:rsid w:val="005718CD"/>
    <w:rsid w:val="00571BAC"/>
    <w:rsid w:val="00571FB0"/>
    <w:rsid w:val="00572249"/>
    <w:rsid w:val="0057235C"/>
    <w:rsid w:val="00572B0F"/>
    <w:rsid w:val="00572C35"/>
    <w:rsid w:val="00572C3D"/>
    <w:rsid w:val="00572F6D"/>
    <w:rsid w:val="0057300D"/>
    <w:rsid w:val="005736DD"/>
    <w:rsid w:val="00573981"/>
    <w:rsid w:val="00573A65"/>
    <w:rsid w:val="00573DDB"/>
    <w:rsid w:val="005740D9"/>
    <w:rsid w:val="0057423E"/>
    <w:rsid w:val="00574ADE"/>
    <w:rsid w:val="00574C0E"/>
    <w:rsid w:val="00574F97"/>
    <w:rsid w:val="00575068"/>
    <w:rsid w:val="00575219"/>
    <w:rsid w:val="00575409"/>
    <w:rsid w:val="005754B1"/>
    <w:rsid w:val="005755EB"/>
    <w:rsid w:val="00575738"/>
    <w:rsid w:val="00575886"/>
    <w:rsid w:val="00575DE3"/>
    <w:rsid w:val="00576026"/>
    <w:rsid w:val="0057657E"/>
    <w:rsid w:val="00576592"/>
    <w:rsid w:val="005765DB"/>
    <w:rsid w:val="00576810"/>
    <w:rsid w:val="00576932"/>
    <w:rsid w:val="00577D9E"/>
    <w:rsid w:val="00577E54"/>
    <w:rsid w:val="00577F4A"/>
    <w:rsid w:val="00580598"/>
    <w:rsid w:val="005805F2"/>
    <w:rsid w:val="00580A25"/>
    <w:rsid w:val="00580B57"/>
    <w:rsid w:val="00580E30"/>
    <w:rsid w:val="00580F00"/>
    <w:rsid w:val="00581028"/>
    <w:rsid w:val="00581512"/>
    <w:rsid w:val="005816FC"/>
    <w:rsid w:val="005818C4"/>
    <w:rsid w:val="00581991"/>
    <w:rsid w:val="00581B0F"/>
    <w:rsid w:val="00581CC9"/>
    <w:rsid w:val="00581E2A"/>
    <w:rsid w:val="005820FF"/>
    <w:rsid w:val="0058220C"/>
    <w:rsid w:val="00582550"/>
    <w:rsid w:val="0058259C"/>
    <w:rsid w:val="0058268E"/>
    <w:rsid w:val="005827B9"/>
    <w:rsid w:val="00582C2C"/>
    <w:rsid w:val="00582F77"/>
    <w:rsid w:val="0058334A"/>
    <w:rsid w:val="00583733"/>
    <w:rsid w:val="00583743"/>
    <w:rsid w:val="00583CFA"/>
    <w:rsid w:val="00584063"/>
    <w:rsid w:val="005841EE"/>
    <w:rsid w:val="0058429A"/>
    <w:rsid w:val="0058445C"/>
    <w:rsid w:val="00584558"/>
    <w:rsid w:val="0058483E"/>
    <w:rsid w:val="00584961"/>
    <w:rsid w:val="00584A3B"/>
    <w:rsid w:val="00584BCF"/>
    <w:rsid w:val="00584DFD"/>
    <w:rsid w:val="00585046"/>
    <w:rsid w:val="00585077"/>
    <w:rsid w:val="00585295"/>
    <w:rsid w:val="0058532F"/>
    <w:rsid w:val="005854BA"/>
    <w:rsid w:val="005858DE"/>
    <w:rsid w:val="00585D07"/>
    <w:rsid w:val="00585D10"/>
    <w:rsid w:val="0058669E"/>
    <w:rsid w:val="00586810"/>
    <w:rsid w:val="00586909"/>
    <w:rsid w:val="00586AE3"/>
    <w:rsid w:val="00587060"/>
    <w:rsid w:val="005870DD"/>
    <w:rsid w:val="005874F4"/>
    <w:rsid w:val="0058769B"/>
    <w:rsid w:val="005877DF"/>
    <w:rsid w:val="0058780F"/>
    <w:rsid w:val="00587A47"/>
    <w:rsid w:val="00587DD2"/>
    <w:rsid w:val="00590036"/>
    <w:rsid w:val="0059013E"/>
    <w:rsid w:val="005902D6"/>
    <w:rsid w:val="00590A5B"/>
    <w:rsid w:val="00590C27"/>
    <w:rsid w:val="0059104A"/>
    <w:rsid w:val="0059142F"/>
    <w:rsid w:val="0059179D"/>
    <w:rsid w:val="00591B5B"/>
    <w:rsid w:val="00591EBF"/>
    <w:rsid w:val="00592045"/>
    <w:rsid w:val="0059211B"/>
    <w:rsid w:val="00592168"/>
    <w:rsid w:val="00592460"/>
    <w:rsid w:val="00592517"/>
    <w:rsid w:val="00592578"/>
    <w:rsid w:val="00592D13"/>
    <w:rsid w:val="00592E8C"/>
    <w:rsid w:val="0059332F"/>
    <w:rsid w:val="005938CC"/>
    <w:rsid w:val="00593938"/>
    <w:rsid w:val="00593FA2"/>
    <w:rsid w:val="00593FAB"/>
    <w:rsid w:val="005945D2"/>
    <w:rsid w:val="0059478C"/>
    <w:rsid w:val="0059486B"/>
    <w:rsid w:val="00594988"/>
    <w:rsid w:val="00594AF2"/>
    <w:rsid w:val="00594E04"/>
    <w:rsid w:val="00595223"/>
    <w:rsid w:val="00595320"/>
    <w:rsid w:val="005955FB"/>
    <w:rsid w:val="00595A43"/>
    <w:rsid w:val="00595AD9"/>
    <w:rsid w:val="00595BDA"/>
    <w:rsid w:val="00595E70"/>
    <w:rsid w:val="00595E93"/>
    <w:rsid w:val="00595F52"/>
    <w:rsid w:val="00596005"/>
    <w:rsid w:val="005962FB"/>
    <w:rsid w:val="00596358"/>
    <w:rsid w:val="0059636D"/>
    <w:rsid w:val="0059656F"/>
    <w:rsid w:val="00596827"/>
    <w:rsid w:val="0059683D"/>
    <w:rsid w:val="00596A03"/>
    <w:rsid w:val="00596B0B"/>
    <w:rsid w:val="00596BD2"/>
    <w:rsid w:val="005970BB"/>
    <w:rsid w:val="005970E5"/>
    <w:rsid w:val="00597997"/>
    <w:rsid w:val="00597AD2"/>
    <w:rsid w:val="00597B15"/>
    <w:rsid w:val="00597DB7"/>
    <w:rsid w:val="005A05A4"/>
    <w:rsid w:val="005A0832"/>
    <w:rsid w:val="005A0834"/>
    <w:rsid w:val="005A0A0B"/>
    <w:rsid w:val="005A0C2A"/>
    <w:rsid w:val="005A0CA7"/>
    <w:rsid w:val="005A0F28"/>
    <w:rsid w:val="005A14E7"/>
    <w:rsid w:val="005A1722"/>
    <w:rsid w:val="005A1B63"/>
    <w:rsid w:val="005A1D81"/>
    <w:rsid w:val="005A1DA9"/>
    <w:rsid w:val="005A21C6"/>
    <w:rsid w:val="005A235B"/>
    <w:rsid w:val="005A250C"/>
    <w:rsid w:val="005A2598"/>
    <w:rsid w:val="005A2BD7"/>
    <w:rsid w:val="005A2D4D"/>
    <w:rsid w:val="005A3844"/>
    <w:rsid w:val="005A38B3"/>
    <w:rsid w:val="005A38F8"/>
    <w:rsid w:val="005A3B88"/>
    <w:rsid w:val="005A3E0E"/>
    <w:rsid w:val="005A3E10"/>
    <w:rsid w:val="005A3FFD"/>
    <w:rsid w:val="005A4293"/>
    <w:rsid w:val="005A44C4"/>
    <w:rsid w:val="005A4516"/>
    <w:rsid w:val="005A48E0"/>
    <w:rsid w:val="005A4905"/>
    <w:rsid w:val="005A4C8D"/>
    <w:rsid w:val="005A4D01"/>
    <w:rsid w:val="005A515B"/>
    <w:rsid w:val="005A5461"/>
    <w:rsid w:val="005A55E0"/>
    <w:rsid w:val="005A562C"/>
    <w:rsid w:val="005A5938"/>
    <w:rsid w:val="005A5A1A"/>
    <w:rsid w:val="005A5BBC"/>
    <w:rsid w:val="005A6113"/>
    <w:rsid w:val="005A64C5"/>
    <w:rsid w:val="005A6573"/>
    <w:rsid w:val="005A69F3"/>
    <w:rsid w:val="005A6AA1"/>
    <w:rsid w:val="005A72DA"/>
    <w:rsid w:val="005A7613"/>
    <w:rsid w:val="005A76EB"/>
    <w:rsid w:val="005A78A8"/>
    <w:rsid w:val="005A79C7"/>
    <w:rsid w:val="005B0480"/>
    <w:rsid w:val="005B0534"/>
    <w:rsid w:val="005B0643"/>
    <w:rsid w:val="005B0A36"/>
    <w:rsid w:val="005B0C91"/>
    <w:rsid w:val="005B15AA"/>
    <w:rsid w:val="005B1C1F"/>
    <w:rsid w:val="005B1C24"/>
    <w:rsid w:val="005B1C64"/>
    <w:rsid w:val="005B1E34"/>
    <w:rsid w:val="005B1F8A"/>
    <w:rsid w:val="005B22F8"/>
    <w:rsid w:val="005B2732"/>
    <w:rsid w:val="005B29EA"/>
    <w:rsid w:val="005B29F2"/>
    <w:rsid w:val="005B2AD0"/>
    <w:rsid w:val="005B2C06"/>
    <w:rsid w:val="005B2C4F"/>
    <w:rsid w:val="005B2E85"/>
    <w:rsid w:val="005B2EAE"/>
    <w:rsid w:val="005B3167"/>
    <w:rsid w:val="005B3380"/>
    <w:rsid w:val="005B33AD"/>
    <w:rsid w:val="005B34C2"/>
    <w:rsid w:val="005B3A65"/>
    <w:rsid w:val="005B4378"/>
    <w:rsid w:val="005B4407"/>
    <w:rsid w:val="005B4464"/>
    <w:rsid w:val="005B4569"/>
    <w:rsid w:val="005B48DF"/>
    <w:rsid w:val="005B4A03"/>
    <w:rsid w:val="005B4DB4"/>
    <w:rsid w:val="005B551B"/>
    <w:rsid w:val="005B5749"/>
    <w:rsid w:val="005B5874"/>
    <w:rsid w:val="005B5AF1"/>
    <w:rsid w:val="005B5E69"/>
    <w:rsid w:val="005B61A3"/>
    <w:rsid w:val="005B61CC"/>
    <w:rsid w:val="005B648E"/>
    <w:rsid w:val="005B64BD"/>
    <w:rsid w:val="005B6670"/>
    <w:rsid w:val="005B67F6"/>
    <w:rsid w:val="005B6ABE"/>
    <w:rsid w:val="005B6D35"/>
    <w:rsid w:val="005B6E12"/>
    <w:rsid w:val="005B7624"/>
    <w:rsid w:val="005B7733"/>
    <w:rsid w:val="005B7914"/>
    <w:rsid w:val="005B7A1D"/>
    <w:rsid w:val="005B7B4D"/>
    <w:rsid w:val="005C011E"/>
    <w:rsid w:val="005C01D4"/>
    <w:rsid w:val="005C0216"/>
    <w:rsid w:val="005C0314"/>
    <w:rsid w:val="005C07EF"/>
    <w:rsid w:val="005C0863"/>
    <w:rsid w:val="005C0A22"/>
    <w:rsid w:val="005C0B83"/>
    <w:rsid w:val="005C0D10"/>
    <w:rsid w:val="005C0E5C"/>
    <w:rsid w:val="005C0F6B"/>
    <w:rsid w:val="005C10AE"/>
    <w:rsid w:val="005C1725"/>
    <w:rsid w:val="005C1853"/>
    <w:rsid w:val="005C1A58"/>
    <w:rsid w:val="005C1AEB"/>
    <w:rsid w:val="005C1B44"/>
    <w:rsid w:val="005C1BD1"/>
    <w:rsid w:val="005C1F4B"/>
    <w:rsid w:val="005C2015"/>
    <w:rsid w:val="005C20D8"/>
    <w:rsid w:val="005C222A"/>
    <w:rsid w:val="005C25C0"/>
    <w:rsid w:val="005C2743"/>
    <w:rsid w:val="005C2948"/>
    <w:rsid w:val="005C2B14"/>
    <w:rsid w:val="005C31CB"/>
    <w:rsid w:val="005C328F"/>
    <w:rsid w:val="005C335B"/>
    <w:rsid w:val="005C35D5"/>
    <w:rsid w:val="005C378D"/>
    <w:rsid w:val="005C3A3F"/>
    <w:rsid w:val="005C3BB1"/>
    <w:rsid w:val="005C3CFC"/>
    <w:rsid w:val="005C3DCF"/>
    <w:rsid w:val="005C40B1"/>
    <w:rsid w:val="005C448A"/>
    <w:rsid w:val="005C4A51"/>
    <w:rsid w:val="005C4A62"/>
    <w:rsid w:val="005C4F07"/>
    <w:rsid w:val="005C5556"/>
    <w:rsid w:val="005C57BE"/>
    <w:rsid w:val="005C5BA5"/>
    <w:rsid w:val="005C5F7B"/>
    <w:rsid w:val="005C6418"/>
    <w:rsid w:val="005C679E"/>
    <w:rsid w:val="005C68D5"/>
    <w:rsid w:val="005C693F"/>
    <w:rsid w:val="005C6C83"/>
    <w:rsid w:val="005C75A5"/>
    <w:rsid w:val="005C785B"/>
    <w:rsid w:val="005C7D29"/>
    <w:rsid w:val="005D0192"/>
    <w:rsid w:val="005D0286"/>
    <w:rsid w:val="005D040C"/>
    <w:rsid w:val="005D05F5"/>
    <w:rsid w:val="005D06E8"/>
    <w:rsid w:val="005D070F"/>
    <w:rsid w:val="005D083E"/>
    <w:rsid w:val="005D0A18"/>
    <w:rsid w:val="005D0CC6"/>
    <w:rsid w:val="005D0D0E"/>
    <w:rsid w:val="005D0FA0"/>
    <w:rsid w:val="005D1264"/>
    <w:rsid w:val="005D13A1"/>
    <w:rsid w:val="005D159B"/>
    <w:rsid w:val="005D1645"/>
    <w:rsid w:val="005D1B08"/>
    <w:rsid w:val="005D21DA"/>
    <w:rsid w:val="005D21EC"/>
    <w:rsid w:val="005D22A8"/>
    <w:rsid w:val="005D2490"/>
    <w:rsid w:val="005D2732"/>
    <w:rsid w:val="005D27E1"/>
    <w:rsid w:val="005D31FC"/>
    <w:rsid w:val="005D32D2"/>
    <w:rsid w:val="005D3C0E"/>
    <w:rsid w:val="005D3F61"/>
    <w:rsid w:val="005D41C2"/>
    <w:rsid w:val="005D42AD"/>
    <w:rsid w:val="005D4313"/>
    <w:rsid w:val="005D4772"/>
    <w:rsid w:val="005D4B07"/>
    <w:rsid w:val="005D4BFE"/>
    <w:rsid w:val="005D511C"/>
    <w:rsid w:val="005D511D"/>
    <w:rsid w:val="005D521C"/>
    <w:rsid w:val="005D5247"/>
    <w:rsid w:val="005D5371"/>
    <w:rsid w:val="005D556B"/>
    <w:rsid w:val="005D5EE5"/>
    <w:rsid w:val="005D5F11"/>
    <w:rsid w:val="005D5F20"/>
    <w:rsid w:val="005D5F27"/>
    <w:rsid w:val="005D6120"/>
    <w:rsid w:val="005D658A"/>
    <w:rsid w:val="005D680D"/>
    <w:rsid w:val="005D68BA"/>
    <w:rsid w:val="005D6C9E"/>
    <w:rsid w:val="005D6CBC"/>
    <w:rsid w:val="005D7124"/>
    <w:rsid w:val="005D721B"/>
    <w:rsid w:val="005D73F6"/>
    <w:rsid w:val="005D7500"/>
    <w:rsid w:val="005D75CF"/>
    <w:rsid w:val="005D79A5"/>
    <w:rsid w:val="005D79A8"/>
    <w:rsid w:val="005D7DE6"/>
    <w:rsid w:val="005D7FDF"/>
    <w:rsid w:val="005E0071"/>
    <w:rsid w:val="005E06BF"/>
    <w:rsid w:val="005E077A"/>
    <w:rsid w:val="005E078D"/>
    <w:rsid w:val="005E0B37"/>
    <w:rsid w:val="005E0C10"/>
    <w:rsid w:val="005E119A"/>
    <w:rsid w:val="005E11C9"/>
    <w:rsid w:val="005E122A"/>
    <w:rsid w:val="005E15BA"/>
    <w:rsid w:val="005E15DA"/>
    <w:rsid w:val="005E265B"/>
    <w:rsid w:val="005E2EB3"/>
    <w:rsid w:val="005E2F17"/>
    <w:rsid w:val="005E3449"/>
    <w:rsid w:val="005E34A1"/>
    <w:rsid w:val="005E36A1"/>
    <w:rsid w:val="005E3796"/>
    <w:rsid w:val="005E38A0"/>
    <w:rsid w:val="005E3985"/>
    <w:rsid w:val="005E3DF1"/>
    <w:rsid w:val="005E3EFD"/>
    <w:rsid w:val="005E3F86"/>
    <w:rsid w:val="005E415C"/>
    <w:rsid w:val="005E4356"/>
    <w:rsid w:val="005E43A4"/>
    <w:rsid w:val="005E4557"/>
    <w:rsid w:val="005E4BAD"/>
    <w:rsid w:val="005E4E00"/>
    <w:rsid w:val="005E4E51"/>
    <w:rsid w:val="005E5379"/>
    <w:rsid w:val="005E5677"/>
    <w:rsid w:val="005E578F"/>
    <w:rsid w:val="005E5913"/>
    <w:rsid w:val="005E5A3C"/>
    <w:rsid w:val="005E5B3E"/>
    <w:rsid w:val="005E5E5B"/>
    <w:rsid w:val="005E5E91"/>
    <w:rsid w:val="005E6051"/>
    <w:rsid w:val="005E6121"/>
    <w:rsid w:val="005E6253"/>
    <w:rsid w:val="005E630B"/>
    <w:rsid w:val="005E6444"/>
    <w:rsid w:val="005E65D8"/>
    <w:rsid w:val="005E67EA"/>
    <w:rsid w:val="005E686D"/>
    <w:rsid w:val="005E69BC"/>
    <w:rsid w:val="005E69CA"/>
    <w:rsid w:val="005E69E0"/>
    <w:rsid w:val="005E6C1A"/>
    <w:rsid w:val="005E6C6C"/>
    <w:rsid w:val="005E6DBA"/>
    <w:rsid w:val="005E6E59"/>
    <w:rsid w:val="005E7370"/>
    <w:rsid w:val="005E743B"/>
    <w:rsid w:val="005E76A3"/>
    <w:rsid w:val="005E78FD"/>
    <w:rsid w:val="005E7905"/>
    <w:rsid w:val="005E7AA9"/>
    <w:rsid w:val="005E7B62"/>
    <w:rsid w:val="005E7CEE"/>
    <w:rsid w:val="005E7D60"/>
    <w:rsid w:val="005F044F"/>
    <w:rsid w:val="005F0606"/>
    <w:rsid w:val="005F0B11"/>
    <w:rsid w:val="005F105A"/>
    <w:rsid w:val="005F11EE"/>
    <w:rsid w:val="005F12C3"/>
    <w:rsid w:val="005F1545"/>
    <w:rsid w:val="005F1580"/>
    <w:rsid w:val="005F15B3"/>
    <w:rsid w:val="005F1631"/>
    <w:rsid w:val="005F1704"/>
    <w:rsid w:val="005F1A92"/>
    <w:rsid w:val="005F1BA6"/>
    <w:rsid w:val="005F1F4F"/>
    <w:rsid w:val="005F21CC"/>
    <w:rsid w:val="005F2374"/>
    <w:rsid w:val="005F2B8A"/>
    <w:rsid w:val="005F2DC5"/>
    <w:rsid w:val="005F2DCE"/>
    <w:rsid w:val="005F31C5"/>
    <w:rsid w:val="005F3A98"/>
    <w:rsid w:val="005F3A9B"/>
    <w:rsid w:val="005F3AE6"/>
    <w:rsid w:val="005F3F81"/>
    <w:rsid w:val="005F427B"/>
    <w:rsid w:val="005F4619"/>
    <w:rsid w:val="005F4705"/>
    <w:rsid w:val="005F4ACD"/>
    <w:rsid w:val="005F4AF2"/>
    <w:rsid w:val="005F4FC6"/>
    <w:rsid w:val="005F5081"/>
    <w:rsid w:val="005F5124"/>
    <w:rsid w:val="005F51AD"/>
    <w:rsid w:val="005F52CD"/>
    <w:rsid w:val="005F5371"/>
    <w:rsid w:val="005F560B"/>
    <w:rsid w:val="005F56F6"/>
    <w:rsid w:val="005F5B58"/>
    <w:rsid w:val="005F5D22"/>
    <w:rsid w:val="005F5DCA"/>
    <w:rsid w:val="005F5EB8"/>
    <w:rsid w:val="005F6430"/>
    <w:rsid w:val="005F6554"/>
    <w:rsid w:val="005F697D"/>
    <w:rsid w:val="005F699E"/>
    <w:rsid w:val="005F7133"/>
    <w:rsid w:val="005F74A8"/>
    <w:rsid w:val="005F74F6"/>
    <w:rsid w:val="005F7ABE"/>
    <w:rsid w:val="006001F7"/>
    <w:rsid w:val="00600266"/>
    <w:rsid w:val="00600319"/>
    <w:rsid w:val="00600722"/>
    <w:rsid w:val="00600BF4"/>
    <w:rsid w:val="00600CAC"/>
    <w:rsid w:val="00600EEC"/>
    <w:rsid w:val="00601013"/>
    <w:rsid w:val="0060166F"/>
    <w:rsid w:val="006018F4"/>
    <w:rsid w:val="00601916"/>
    <w:rsid w:val="00601D90"/>
    <w:rsid w:val="00602141"/>
    <w:rsid w:val="00602153"/>
    <w:rsid w:val="006021A6"/>
    <w:rsid w:val="00602360"/>
    <w:rsid w:val="00602447"/>
    <w:rsid w:val="00602607"/>
    <w:rsid w:val="0060261C"/>
    <w:rsid w:val="00602903"/>
    <w:rsid w:val="00602E17"/>
    <w:rsid w:val="00602E75"/>
    <w:rsid w:val="0060302A"/>
    <w:rsid w:val="00603073"/>
    <w:rsid w:val="006033A4"/>
    <w:rsid w:val="00603402"/>
    <w:rsid w:val="00603498"/>
    <w:rsid w:val="00603AC5"/>
    <w:rsid w:val="00603C22"/>
    <w:rsid w:val="00603CEA"/>
    <w:rsid w:val="00603E47"/>
    <w:rsid w:val="00604021"/>
    <w:rsid w:val="0060458A"/>
    <w:rsid w:val="006047AD"/>
    <w:rsid w:val="00604BF5"/>
    <w:rsid w:val="0060540A"/>
    <w:rsid w:val="00605687"/>
    <w:rsid w:val="00605924"/>
    <w:rsid w:val="00605956"/>
    <w:rsid w:val="00605959"/>
    <w:rsid w:val="0060597D"/>
    <w:rsid w:val="00605C10"/>
    <w:rsid w:val="00605C21"/>
    <w:rsid w:val="00605F69"/>
    <w:rsid w:val="006061AE"/>
    <w:rsid w:val="00606704"/>
    <w:rsid w:val="00606786"/>
    <w:rsid w:val="0060686D"/>
    <w:rsid w:val="00606AD5"/>
    <w:rsid w:val="00606C40"/>
    <w:rsid w:val="00606C87"/>
    <w:rsid w:val="00607324"/>
    <w:rsid w:val="006074F6"/>
    <w:rsid w:val="00607793"/>
    <w:rsid w:val="00607BC5"/>
    <w:rsid w:val="00607D68"/>
    <w:rsid w:val="0061001F"/>
    <w:rsid w:val="0061040A"/>
    <w:rsid w:val="00610585"/>
    <w:rsid w:val="006109A4"/>
    <w:rsid w:val="006109C4"/>
    <w:rsid w:val="00610BC7"/>
    <w:rsid w:val="00610C79"/>
    <w:rsid w:val="00610DF6"/>
    <w:rsid w:val="00610FA9"/>
    <w:rsid w:val="006111D4"/>
    <w:rsid w:val="00611462"/>
    <w:rsid w:val="006118C9"/>
    <w:rsid w:val="00611B3F"/>
    <w:rsid w:val="00611BDD"/>
    <w:rsid w:val="00611DD3"/>
    <w:rsid w:val="00612045"/>
    <w:rsid w:val="006121EB"/>
    <w:rsid w:val="00612265"/>
    <w:rsid w:val="00612414"/>
    <w:rsid w:val="0061282B"/>
    <w:rsid w:val="00612A7D"/>
    <w:rsid w:val="00612FF6"/>
    <w:rsid w:val="00612FFF"/>
    <w:rsid w:val="00613159"/>
    <w:rsid w:val="00613445"/>
    <w:rsid w:val="00613578"/>
    <w:rsid w:val="00613B68"/>
    <w:rsid w:val="00613C0D"/>
    <w:rsid w:val="0061447C"/>
    <w:rsid w:val="00614485"/>
    <w:rsid w:val="006145EA"/>
    <w:rsid w:val="00614723"/>
    <w:rsid w:val="006147A1"/>
    <w:rsid w:val="00614883"/>
    <w:rsid w:val="00614D18"/>
    <w:rsid w:val="00614D69"/>
    <w:rsid w:val="0061500E"/>
    <w:rsid w:val="00615158"/>
    <w:rsid w:val="006151A5"/>
    <w:rsid w:val="006155B8"/>
    <w:rsid w:val="006155EE"/>
    <w:rsid w:val="00615794"/>
    <w:rsid w:val="00615897"/>
    <w:rsid w:val="00615B32"/>
    <w:rsid w:val="00615DCC"/>
    <w:rsid w:val="00616018"/>
    <w:rsid w:val="00616385"/>
    <w:rsid w:val="0061654F"/>
    <w:rsid w:val="0061674D"/>
    <w:rsid w:val="0061689D"/>
    <w:rsid w:val="00616940"/>
    <w:rsid w:val="00616B40"/>
    <w:rsid w:val="00616C43"/>
    <w:rsid w:val="00616D54"/>
    <w:rsid w:val="00616D76"/>
    <w:rsid w:val="00617061"/>
    <w:rsid w:val="00617121"/>
    <w:rsid w:val="00617160"/>
    <w:rsid w:val="00617DEB"/>
    <w:rsid w:val="00617F39"/>
    <w:rsid w:val="0061957C"/>
    <w:rsid w:val="006201BB"/>
    <w:rsid w:val="006204CA"/>
    <w:rsid w:val="00620AA8"/>
    <w:rsid w:val="00620FFF"/>
    <w:rsid w:val="00621426"/>
    <w:rsid w:val="00621736"/>
    <w:rsid w:val="00621BD8"/>
    <w:rsid w:val="00621DCC"/>
    <w:rsid w:val="00621DF1"/>
    <w:rsid w:val="00622573"/>
    <w:rsid w:val="0062257D"/>
    <w:rsid w:val="00622B21"/>
    <w:rsid w:val="00623193"/>
    <w:rsid w:val="006231B9"/>
    <w:rsid w:val="00623545"/>
    <w:rsid w:val="00623624"/>
    <w:rsid w:val="00623653"/>
    <w:rsid w:val="0062371D"/>
    <w:rsid w:val="00623872"/>
    <w:rsid w:val="00623B04"/>
    <w:rsid w:val="00623B1B"/>
    <w:rsid w:val="00623EF0"/>
    <w:rsid w:val="00623FD1"/>
    <w:rsid w:val="006241CD"/>
    <w:rsid w:val="0062443F"/>
    <w:rsid w:val="00624515"/>
    <w:rsid w:val="00624714"/>
    <w:rsid w:val="00624BAD"/>
    <w:rsid w:val="00624C1F"/>
    <w:rsid w:val="00624CF3"/>
    <w:rsid w:val="00624E80"/>
    <w:rsid w:val="006258E3"/>
    <w:rsid w:val="00625D78"/>
    <w:rsid w:val="00625DA1"/>
    <w:rsid w:val="00625DB0"/>
    <w:rsid w:val="006261B1"/>
    <w:rsid w:val="006262DA"/>
    <w:rsid w:val="00626473"/>
    <w:rsid w:val="006264DC"/>
    <w:rsid w:val="00626650"/>
    <w:rsid w:val="00626744"/>
    <w:rsid w:val="006267C0"/>
    <w:rsid w:val="00626B76"/>
    <w:rsid w:val="00626C7C"/>
    <w:rsid w:val="00626CF1"/>
    <w:rsid w:val="00626E0E"/>
    <w:rsid w:val="00626EFD"/>
    <w:rsid w:val="00627117"/>
    <w:rsid w:val="0062717E"/>
    <w:rsid w:val="00627501"/>
    <w:rsid w:val="00627529"/>
    <w:rsid w:val="0062760E"/>
    <w:rsid w:val="00627B9F"/>
    <w:rsid w:val="00627E34"/>
    <w:rsid w:val="00627ED0"/>
    <w:rsid w:val="00627EFD"/>
    <w:rsid w:val="006305F2"/>
    <w:rsid w:val="006309B1"/>
    <w:rsid w:val="00631033"/>
    <w:rsid w:val="006313DF"/>
    <w:rsid w:val="00631521"/>
    <w:rsid w:val="006316BE"/>
    <w:rsid w:val="00631D9D"/>
    <w:rsid w:val="00631EB1"/>
    <w:rsid w:val="00631F76"/>
    <w:rsid w:val="00631FE8"/>
    <w:rsid w:val="00631FFB"/>
    <w:rsid w:val="00632012"/>
    <w:rsid w:val="006321C1"/>
    <w:rsid w:val="00632759"/>
    <w:rsid w:val="006327AF"/>
    <w:rsid w:val="00632BCA"/>
    <w:rsid w:val="00632EEC"/>
    <w:rsid w:val="006336F4"/>
    <w:rsid w:val="00633A88"/>
    <w:rsid w:val="00633B64"/>
    <w:rsid w:val="00633C33"/>
    <w:rsid w:val="00633C96"/>
    <w:rsid w:val="006344D5"/>
    <w:rsid w:val="00634756"/>
    <w:rsid w:val="00634D7E"/>
    <w:rsid w:val="00635300"/>
    <w:rsid w:val="0063538D"/>
    <w:rsid w:val="006353F6"/>
    <w:rsid w:val="00635858"/>
    <w:rsid w:val="0063588A"/>
    <w:rsid w:val="00635D76"/>
    <w:rsid w:val="006365D4"/>
    <w:rsid w:val="00636872"/>
    <w:rsid w:val="00636B0F"/>
    <w:rsid w:val="00636ED8"/>
    <w:rsid w:val="0063703D"/>
    <w:rsid w:val="0063710C"/>
    <w:rsid w:val="00637198"/>
    <w:rsid w:val="00637740"/>
    <w:rsid w:val="0063775D"/>
    <w:rsid w:val="00637CF3"/>
    <w:rsid w:val="00637E07"/>
    <w:rsid w:val="0064009C"/>
    <w:rsid w:val="00640193"/>
    <w:rsid w:val="006406CA"/>
    <w:rsid w:val="00640813"/>
    <w:rsid w:val="00640826"/>
    <w:rsid w:val="0064098D"/>
    <w:rsid w:val="00640CA0"/>
    <w:rsid w:val="00640E23"/>
    <w:rsid w:val="00641136"/>
    <w:rsid w:val="006411B8"/>
    <w:rsid w:val="006415E8"/>
    <w:rsid w:val="00641A30"/>
    <w:rsid w:val="00641A5E"/>
    <w:rsid w:val="00641AB3"/>
    <w:rsid w:val="00641C3A"/>
    <w:rsid w:val="00641CC4"/>
    <w:rsid w:val="00641D79"/>
    <w:rsid w:val="00641D88"/>
    <w:rsid w:val="00641D9B"/>
    <w:rsid w:val="00641F09"/>
    <w:rsid w:val="00641F32"/>
    <w:rsid w:val="00642344"/>
    <w:rsid w:val="0064279C"/>
    <w:rsid w:val="006427F4"/>
    <w:rsid w:val="006428EA"/>
    <w:rsid w:val="00642BE4"/>
    <w:rsid w:val="00642F60"/>
    <w:rsid w:val="00642FEF"/>
    <w:rsid w:val="006430D0"/>
    <w:rsid w:val="00643104"/>
    <w:rsid w:val="006437BB"/>
    <w:rsid w:val="00643AAC"/>
    <w:rsid w:val="00643D64"/>
    <w:rsid w:val="00643F42"/>
    <w:rsid w:val="0064419C"/>
    <w:rsid w:val="00644229"/>
    <w:rsid w:val="00644290"/>
    <w:rsid w:val="00644701"/>
    <w:rsid w:val="00644A4B"/>
    <w:rsid w:val="00644B6A"/>
    <w:rsid w:val="00644D7B"/>
    <w:rsid w:val="00644DF5"/>
    <w:rsid w:val="00644EC6"/>
    <w:rsid w:val="006450B9"/>
    <w:rsid w:val="00645324"/>
    <w:rsid w:val="006455C5"/>
    <w:rsid w:val="006456E9"/>
    <w:rsid w:val="0064596E"/>
    <w:rsid w:val="006459F0"/>
    <w:rsid w:val="00645B70"/>
    <w:rsid w:val="00645CBE"/>
    <w:rsid w:val="00645F0C"/>
    <w:rsid w:val="0064603C"/>
    <w:rsid w:val="00646076"/>
    <w:rsid w:val="00646210"/>
    <w:rsid w:val="00646568"/>
    <w:rsid w:val="006465D9"/>
    <w:rsid w:val="0064689C"/>
    <w:rsid w:val="0064695E"/>
    <w:rsid w:val="00646A26"/>
    <w:rsid w:val="00646DAE"/>
    <w:rsid w:val="00646F84"/>
    <w:rsid w:val="00647042"/>
    <w:rsid w:val="00647175"/>
    <w:rsid w:val="0064725D"/>
    <w:rsid w:val="006473F8"/>
    <w:rsid w:val="00647AC1"/>
    <w:rsid w:val="00647B8E"/>
    <w:rsid w:val="00647C0C"/>
    <w:rsid w:val="006503AC"/>
    <w:rsid w:val="006505C7"/>
    <w:rsid w:val="006505E5"/>
    <w:rsid w:val="006505ED"/>
    <w:rsid w:val="00650655"/>
    <w:rsid w:val="00650AA5"/>
    <w:rsid w:val="00650C26"/>
    <w:rsid w:val="006513EB"/>
    <w:rsid w:val="00651467"/>
    <w:rsid w:val="00651533"/>
    <w:rsid w:val="00651700"/>
    <w:rsid w:val="0065176D"/>
    <w:rsid w:val="00651857"/>
    <w:rsid w:val="00651AA9"/>
    <w:rsid w:val="00651E27"/>
    <w:rsid w:val="00652190"/>
    <w:rsid w:val="006526B6"/>
    <w:rsid w:val="006526BD"/>
    <w:rsid w:val="006529FB"/>
    <w:rsid w:val="00652D27"/>
    <w:rsid w:val="00652E04"/>
    <w:rsid w:val="006530CB"/>
    <w:rsid w:val="006538FD"/>
    <w:rsid w:val="00653C0E"/>
    <w:rsid w:val="00653E48"/>
    <w:rsid w:val="00653E5A"/>
    <w:rsid w:val="0065403C"/>
    <w:rsid w:val="00654093"/>
    <w:rsid w:val="0065434B"/>
    <w:rsid w:val="006543B6"/>
    <w:rsid w:val="006543DF"/>
    <w:rsid w:val="00654739"/>
    <w:rsid w:val="00654C27"/>
    <w:rsid w:val="00654C7D"/>
    <w:rsid w:val="006550F7"/>
    <w:rsid w:val="0065556D"/>
    <w:rsid w:val="0065565D"/>
    <w:rsid w:val="006558BA"/>
    <w:rsid w:val="0065596E"/>
    <w:rsid w:val="00655A22"/>
    <w:rsid w:val="00655D17"/>
    <w:rsid w:val="00655D67"/>
    <w:rsid w:val="00655E53"/>
    <w:rsid w:val="0065650C"/>
    <w:rsid w:val="00656662"/>
    <w:rsid w:val="00656798"/>
    <w:rsid w:val="006569CC"/>
    <w:rsid w:val="006569FF"/>
    <w:rsid w:val="00657185"/>
    <w:rsid w:val="00657525"/>
    <w:rsid w:val="00657730"/>
    <w:rsid w:val="00657772"/>
    <w:rsid w:val="00657C82"/>
    <w:rsid w:val="00657E21"/>
    <w:rsid w:val="0065CFDE"/>
    <w:rsid w:val="006600B3"/>
    <w:rsid w:val="0066059B"/>
    <w:rsid w:val="00660C6C"/>
    <w:rsid w:val="00660D19"/>
    <w:rsid w:val="00660D92"/>
    <w:rsid w:val="006610B0"/>
    <w:rsid w:val="0066114A"/>
    <w:rsid w:val="006611E8"/>
    <w:rsid w:val="0066132D"/>
    <w:rsid w:val="0066136D"/>
    <w:rsid w:val="0066137E"/>
    <w:rsid w:val="006614E0"/>
    <w:rsid w:val="00661704"/>
    <w:rsid w:val="00661BCC"/>
    <w:rsid w:val="00661F76"/>
    <w:rsid w:val="00662320"/>
    <w:rsid w:val="0066264E"/>
    <w:rsid w:val="00662B57"/>
    <w:rsid w:val="00662BC9"/>
    <w:rsid w:val="00662C53"/>
    <w:rsid w:val="00662E8C"/>
    <w:rsid w:val="006632EB"/>
    <w:rsid w:val="006633DA"/>
    <w:rsid w:val="00663431"/>
    <w:rsid w:val="0066346E"/>
    <w:rsid w:val="006635AF"/>
    <w:rsid w:val="00663609"/>
    <w:rsid w:val="006636D0"/>
    <w:rsid w:val="00663BC9"/>
    <w:rsid w:val="00663CB8"/>
    <w:rsid w:val="006641BC"/>
    <w:rsid w:val="00664245"/>
    <w:rsid w:val="00664351"/>
    <w:rsid w:val="0066471D"/>
    <w:rsid w:val="0066494C"/>
    <w:rsid w:val="00664AD7"/>
    <w:rsid w:val="00664CD3"/>
    <w:rsid w:val="00665153"/>
    <w:rsid w:val="006653E6"/>
    <w:rsid w:val="0066580E"/>
    <w:rsid w:val="006658E0"/>
    <w:rsid w:val="00665A47"/>
    <w:rsid w:val="00665B1C"/>
    <w:rsid w:val="00665D90"/>
    <w:rsid w:val="006660A9"/>
    <w:rsid w:val="006663E4"/>
    <w:rsid w:val="00666614"/>
    <w:rsid w:val="00666B36"/>
    <w:rsid w:val="00666D7D"/>
    <w:rsid w:val="00666F6B"/>
    <w:rsid w:val="00667577"/>
    <w:rsid w:val="006676A9"/>
    <w:rsid w:val="00667807"/>
    <w:rsid w:val="006679BF"/>
    <w:rsid w:val="00667C63"/>
    <w:rsid w:val="00667CFC"/>
    <w:rsid w:val="006703F7"/>
    <w:rsid w:val="00670421"/>
    <w:rsid w:val="0067067D"/>
    <w:rsid w:val="006709B3"/>
    <w:rsid w:val="00670D28"/>
    <w:rsid w:val="006711A9"/>
    <w:rsid w:val="006712D8"/>
    <w:rsid w:val="00671644"/>
    <w:rsid w:val="006719AC"/>
    <w:rsid w:val="00671C33"/>
    <w:rsid w:val="00671CA4"/>
    <w:rsid w:val="00671F0B"/>
    <w:rsid w:val="006721C7"/>
    <w:rsid w:val="006721F1"/>
    <w:rsid w:val="0067234D"/>
    <w:rsid w:val="00672634"/>
    <w:rsid w:val="0067268A"/>
    <w:rsid w:val="0067272A"/>
    <w:rsid w:val="00672BB0"/>
    <w:rsid w:val="00672C28"/>
    <w:rsid w:val="00672CBD"/>
    <w:rsid w:val="00672DCE"/>
    <w:rsid w:val="006731EB"/>
    <w:rsid w:val="00673737"/>
    <w:rsid w:val="00673E57"/>
    <w:rsid w:val="00674CB1"/>
    <w:rsid w:val="00674CCB"/>
    <w:rsid w:val="00674E24"/>
    <w:rsid w:val="00674E39"/>
    <w:rsid w:val="00674ED2"/>
    <w:rsid w:val="00675131"/>
    <w:rsid w:val="00675194"/>
    <w:rsid w:val="006757E2"/>
    <w:rsid w:val="00675D99"/>
    <w:rsid w:val="00676316"/>
    <w:rsid w:val="00676CB4"/>
    <w:rsid w:val="00676DEB"/>
    <w:rsid w:val="00676E84"/>
    <w:rsid w:val="00676EC2"/>
    <w:rsid w:val="00676F2E"/>
    <w:rsid w:val="00676FC3"/>
    <w:rsid w:val="00677122"/>
    <w:rsid w:val="006771B2"/>
    <w:rsid w:val="006773A6"/>
    <w:rsid w:val="00677F60"/>
    <w:rsid w:val="00677F6C"/>
    <w:rsid w:val="0068002B"/>
    <w:rsid w:val="0068003D"/>
    <w:rsid w:val="006801A2"/>
    <w:rsid w:val="00680292"/>
    <w:rsid w:val="006803CD"/>
    <w:rsid w:val="006804CE"/>
    <w:rsid w:val="00680521"/>
    <w:rsid w:val="006805E6"/>
    <w:rsid w:val="00680AC1"/>
    <w:rsid w:val="006810C2"/>
    <w:rsid w:val="006810D1"/>
    <w:rsid w:val="00681407"/>
    <w:rsid w:val="006815FC"/>
    <w:rsid w:val="00681938"/>
    <w:rsid w:val="006819F9"/>
    <w:rsid w:val="00681BCF"/>
    <w:rsid w:val="00681D7B"/>
    <w:rsid w:val="00681E79"/>
    <w:rsid w:val="006820B4"/>
    <w:rsid w:val="0068249C"/>
    <w:rsid w:val="0068286A"/>
    <w:rsid w:val="00682953"/>
    <w:rsid w:val="006832A4"/>
    <w:rsid w:val="00683544"/>
    <w:rsid w:val="00683606"/>
    <w:rsid w:val="00683EC6"/>
    <w:rsid w:val="00684E0D"/>
    <w:rsid w:val="00685035"/>
    <w:rsid w:val="0068529F"/>
    <w:rsid w:val="00685639"/>
    <w:rsid w:val="006859D1"/>
    <w:rsid w:val="00685E47"/>
    <w:rsid w:val="00686524"/>
    <w:rsid w:val="00686917"/>
    <w:rsid w:val="0068741D"/>
    <w:rsid w:val="00687A57"/>
    <w:rsid w:val="00687AA8"/>
    <w:rsid w:val="00687BB0"/>
    <w:rsid w:val="00687CC7"/>
    <w:rsid w:val="00687E1A"/>
    <w:rsid w:val="00690070"/>
    <w:rsid w:val="00690209"/>
    <w:rsid w:val="00690342"/>
    <w:rsid w:val="00690388"/>
    <w:rsid w:val="0069046A"/>
    <w:rsid w:val="006907B4"/>
    <w:rsid w:val="006907F7"/>
    <w:rsid w:val="00690B49"/>
    <w:rsid w:val="00690BB7"/>
    <w:rsid w:val="00690BCC"/>
    <w:rsid w:val="006910BB"/>
    <w:rsid w:val="0069126E"/>
    <w:rsid w:val="006912CD"/>
    <w:rsid w:val="00691AB6"/>
    <w:rsid w:val="00691AD9"/>
    <w:rsid w:val="00691B40"/>
    <w:rsid w:val="00691B4A"/>
    <w:rsid w:val="00691B9B"/>
    <w:rsid w:val="00691C9E"/>
    <w:rsid w:val="00692031"/>
    <w:rsid w:val="00692066"/>
    <w:rsid w:val="00692408"/>
    <w:rsid w:val="006924A6"/>
    <w:rsid w:val="00692544"/>
    <w:rsid w:val="00692552"/>
    <w:rsid w:val="00692603"/>
    <w:rsid w:val="0069291A"/>
    <w:rsid w:val="00692A67"/>
    <w:rsid w:val="00692B3E"/>
    <w:rsid w:val="00692C98"/>
    <w:rsid w:val="00692E39"/>
    <w:rsid w:val="00692E70"/>
    <w:rsid w:val="0069319F"/>
    <w:rsid w:val="006932A8"/>
    <w:rsid w:val="006932AF"/>
    <w:rsid w:val="00694273"/>
    <w:rsid w:val="0069440C"/>
    <w:rsid w:val="006944BE"/>
    <w:rsid w:val="00694902"/>
    <w:rsid w:val="00694D1B"/>
    <w:rsid w:val="006955EF"/>
    <w:rsid w:val="006955F0"/>
    <w:rsid w:val="00695A31"/>
    <w:rsid w:val="00695D91"/>
    <w:rsid w:val="00695E1D"/>
    <w:rsid w:val="00695EA7"/>
    <w:rsid w:val="0069603B"/>
    <w:rsid w:val="006960A5"/>
    <w:rsid w:val="006960DD"/>
    <w:rsid w:val="006961DB"/>
    <w:rsid w:val="0069625D"/>
    <w:rsid w:val="00696580"/>
    <w:rsid w:val="00696B0D"/>
    <w:rsid w:val="00697115"/>
    <w:rsid w:val="006972B1"/>
    <w:rsid w:val="006972EF"/>
    <w:rsid w:val="006974BE"/>
    <w:rsid w:val="00697521"/>
    <w:rsid w:val="00697642"/>
    <w:rsid w:val="00697C26"/>
    <w:rsid w:val="00697F44"/>
    <w:rsid w:val="00697F4D"/>
    <w:rsid w:val="006A018E"/>
    <w:rsid w:val="006A01C9"/>
    <w:rsid w:val="006A05EA"/>
    <w:rsid w:val="006A0B8A"/>
    <w:rsid w:val="006A0BF4"/>
    <w:rsid w:val="006A0CCB"/>
    <w:rsid w:val="006A0CE2"/>
    <w:rsid w:val="006A0EF9"/>
    <w:rsid w:val="006A13B9"/>
    <w:rsid w:val="006A1A9F"/>
    <w:rsid w:val="006A2634"/>
    <w:rsid w:val="006A272F"/>
    <w:rsid w:val="006A2796"/>
    <w:rsid w:val="006A27B4"/>
    <w:rsid w:val="006A2A92"/>
    <w:rsid w:val="006A2B0A"/>
    <w:rsid w:val="006A2F27"/>
    <w:rsid w:val="006A302A"/>
    <w:rsid w:val="006A3228"/>
    <w:rsid w:val="006A384A"/>
    <w:rsid w:val="006A3994"/>
    <w:rsid w:val="006A3AAF"/>
    <w:rsid w:val="006A3ACC"/>
    <w:rsid w:val="006A3ADA"/>
    <w:rsid w:val="006A3B25"/>
    <w:rsid w:val="006A3C61"/>
    <w:rsid w:val="006A3D23"/>
    <w:rsid w:val="006A3EEF"/>
    <w:rsid w:val="006A3F47"/>
    <w:rsid w:val="006A415A"/>
    <w:rsid w:val="006A41AE"/>
    <w:rsid w:val="006A432E"/>
    <w:rsid w:val="006A442B"/>
    <w:rsid w:val="006A447C"/>
    <w:rsid w:val="006A4878"/>
    <w:rsid w:val="006A4A79"/>
    <w:rsid w:val="006A4AA6"/>
    <w:rsid w:val="006A4B22"/>
    <w:rsid w:val="006A4FB6"/>
    <w:rsid w:val="006A526E"/>
    <w:rsid w:val="006A52C7"/>
    <w:rsid w:val="006A5B41"/>
    <w:rsid w:val="006A5DFC"/>
    <w:rsid w:val="006A5E71"/>
    <w:rsid w:val="006A5FBA"/>
    <w:rsid w:val="006A5FBB"/>
    <w:rsid w:val="006A6010"/>
    <w:rsid w:val="006A6834"/>
    <w:rsid w:val="006A6C58"/>
    <w:rsid w:val="006A6D19"/>
    <w:rsid w:val="006A6D74"/>
    <w:rsid w:val="006A6ECE"/>
    <w:rsid w:val="006A7479"/>
    <w:rsid w:val="006A7AEB"/>
    <w:rsid w:val="006A7CB7"/>
    <w:rsid w:val="006A7E29"/>
    <w:rsid w:val="006B00B5"/>
    <w:rsid w:val="006B0468"/>
    <w:rsid w:val="006B0776"/>
    <w:rsid w:val="006B09E8"/>
    <w:rsid w:val="006B0DB2"/>
    <w:rsid w:val="006B0FBD"/>
    <w:rsid w:val="006B1529"/>
    <w:rsid w:val="006B1B09"/>
    <w:rsid w:val="006B1C5B"/>
    <w:rsid w:val="006B1D36"/>
    <w:rsid w:val="006B1ECC"/>
    <w:rsid w:val="006B226B"/>
    <w:rsid w:val="006B2377"/>
    <w:rsid w:val="006B2C62"/>
    <w:rsid w:val="006B2DA5"/>
    <w:rsid w:val="006B306B"/>
    <w:rsid w:val="006B3130"/>
    <w:rsid w:val="006B329C"/>
    <w:rsid w:val="006B33CA"/>
    <w:rsid w:val="006B3425"/>
    <w:rsid w:val="006B34F7"/>
    <w:rsid w:val="006B3759"/>
    <w:rsid w:val="006B3BDC"/>
    <w:rsid w:val="006B3DE1"/>
    <w:rsid w:val="006B3DFB"/>
    <w:rsid w:val="006B3FFE"/>
    <w:rsid w:val="006B4078"/>
    <w:rsid w:val="006B4183"/>
    <w:rsid w:val="006B41A2"/>
    <w:rsid w:val="006B43A9"/>
    <w:rsid w:val="006B4523"/>
    <w:rsid w:val="006B47A1"/>
    <w:rsid w:val="006B47DE"/>
    <w:rsid w:val="006B4B38"/>
    <w:rsid w:val="006B4D41"/>
    <w:rsid w:val="006B4ED6"/>
    <w:rsid w:val="006B523E"/>
    <w:rsid w:val="006B54C7"/>
    <w:rsid w:val="006B55F6"/>
    <w:rsid w:val="006B560F"/>
    <w:rsid w:val="006B5CD9"/>
    <w:rsid w:val="006B5ED1"/>
    <w:rsid w:val="006B5F16"/>
    <w:rsid w:val="006B607E"/>
    <w:rsid w:val="006B6094"/>
    <w:rsid w:val="006B6148"/>
    <w:rsid w:val="006B61AE"/>
    <w:rsid w:val="006B66B6"/>
    <w:rsid w:val="006B709B"/>
    <w:rsid w:val="006B723D"/>
    <w:rsid w:val="006B7A2E"/>
    <w:rsid w:val="006B7F55"/>
    <w:rsid w:val="006B7FA6"/>
    <w:rsid w:val="006C0268"/>
    <w:rsid w:val="006C02B9"/>
    <w:rsid w:val="006C0520"/>
    <w:rsid w:val="006C0535"/>
    <w:rsid w:val="006C0683"/>
    <w:rsid w:val="006C0AEF"/>
    <w:rsid w:val="006C12DB"/>
    <w:rsid w:val="006C1399"/>
    <w:rsid w:val="006C15DE"/>
    <w:rsid w:val="006C1CF2"/>
    <w:rsid w:val="006C1F67"/>
    <w:rsid w:val="006C2177"/>
    <w:rsid w:val="006C25FE"/>
    <w:rsid w:val="006C285E"/>
    <w:rsid w:val="006C2EA4"/>
    <w:rsid w:val="006C308C"/>
    <w:rsid w:val="006C3237"/>
    <w:rsid w:val="006C323D"/>
    <w:rsid w:val="006C3251"/>
    <w:rsid w:val="006C3423"/>
    <w:rsid w:val="006C368E"/>
    <w:rsid w:val="006C38D1"/>
    <w:rsid w:val="006C3931"/>
    <w:rsid w:val="006C397D"/>
    <w:rsid w:val="006C3AA9"/>
    <w:rsid w:val="006C3DBE"/>
    <w:rsid w:val="006C3E41"/>
    <w:rsid w:val="006C3F67"/>
    <w:rsid w:val="006C4070"/>
    <w:rsid w:val="006C409F"/>
    <w:rsid w:val="006C41E8"/>
    <w:rsid w:val="006C42C3"/>
    <w:rsid w:val="006C444F"/>
    <w:rsid w:val="006C4474"/>
    <w:rsid w:val="006C485D"/>
    <w:rsid w:val="006C499C"/>
    <w:rsid w:val="006C4ABD"/>
    <w:rsid w:val="006C4AFB"/>
    <w:rsid w:val="006C4B9B"/>
    <w:rsid w:val="006C53DE"/>
    <w:rsid w:val="006C5458"/>
    <w:rsid w:val="006C57B7"/>
    <w:rsid w:val="006C57D9"/>
    <w:rsid w:val="006C58C3"/>
    <w:rsid w:val="006C5C8C"/>
    <w:rsid w:val="006C6694"/>
    <w:rsid w:val="006C6738"/>
    <w:rsid w:val="006C6892"/>
    <w:rsid w:val="006C6ADD"/>
    <w:rsid w:val="006C7007"/>
    <w:rsid w:val="006C7D31"/>
    <w:rsid w:val="006C7DA3"/>
    <w:rsid w:val="006C7EE7"/>
    <w:rsid w:val="006D007E"/>
    <w:rsid w:val="006D0183"/>
    <w:rsid w:val="006D029C"/>
    <w:rsid w:val="006D0331"/>
    <w:rsid w:val="006D03D4"/>
    <w:rsid w:val="006D0729"/>
    <w:rsid w:val="006D0991"/>
    <w:rsid w:val="006D0A4E"/>
    <w:rsid w:val="006D0E68"/>
    <w:rsid w:val="006D0F83"/>
    <w:rsid w:val="006D0F9E"/>
    <w:rsid w:val="006D114F"/>
    <w:rsid w:val="006D11B9"/>
    <w:rsid w:val="006D127C"/>
    <w:rsid w:val="006D13AD"/>
    <w:rsid w:val="006D141E"/>
    <w:rsid w:val="006D163E"/>
    <w:rsid w:val="006D16A1"/>
    <w:rsid w:val="006D1780"/>
    <w:rsid w:val="006D1B92"/>
    <w:rsid w:val="006D1C5E"/>
    <w:rsid w:val="006D1E07"/>
    <w:rsid w:val="006D21FF"/>
    <w:rsid w:val="006D22B0"/>
    <w:rsid w:val="006D2451"/>
    <w:rsid w:val="006D25BA"/>
    <w:rsid w:val="006D2889"/>
    <w:rsid w:val="006D2982"/>
    <w:rsid w:val="006D2A08"/>
    <w:rsid w:val="006D2B57"/>
    <w:rsid w:val="006D2DD2"/>
    <w:rsid w:val="006D3405"/>
    <w:rsid w:val="006D34C1"/>
    <w:rsid w:val="006D3A60"/>
    <w:rsid w:val="006D3B5C"/>
    <w:rsid w:val="006D3C41"/>
    <w:rsid w:val="006D3F65"/>
    <w:rsid w:val="006D40B2"/>
    <w:rsid w:val="006D41D9"/>
    <w:rsid w:val="006D455B"/>
    <w:rsid w:val="006D4776"/>
    <w:rsid w:val="006D4A72"/>
    <w:rsid w:val="006D4BDE"/>
    <w:rsid w:val="006D4EE0"/>
    <w:rsid w:val="006D5311"/>
    <w:rsid w:val="006D5724"/>
    <w:rsid w:val="006D5731"/>
    <w:rsid w:val="006D5856"/>
    <w:rsid w:val="006D5BC1"/>
    <w:rsid w:val="006D5CF2"/>
    <w:rsid w:val="006D5CF3"/>
    <w:rsid w:val="006D62A4"/>
    <w:rsid w:val="006D641D"/>
    <w:rsid w:val="006D64F4"/>
    <w:rsid w:val="006D654B"/>
    <w:rsid w:val="006D6612"/>
    <w:rsid w:val="006D6661"/>
    <w:rsid w:val="006D67D1"/>
    <w:rsid w:val="006D699A"/>
    <w:rsid w:val="006D6A78"/>
    <w:rsid w:val="006D6BEC"/>
    <w:rsid w:val="006D6F33"/>
    <w:rsid w:val="006D72B1"/>
    <w:rsid w:val="006D7310"/>
    <w:rsid w:val="006D73ED"/>
    <w:rsid w:val="006D7767"/>
    <w:rsid w:val="006D79CE"/>
    <w:rsid w:val="006D79E4"/>
    <w:rsid w:val="006D7DB4"/>
    <w:rsid w:val="006E02B6"/>
    <w:rsid w:val="006E090F"/>
    <w:rsid w:val="006E0A54"/>
    <w:rsid w:val="006E0AA4"/>
    <w:rsid w:val="006E0AA7"/>
    <w:rsid w:val="006E0F3D"/>
    <w:rsid w:val="006E1288"/>
    <w:rsid w:val="006E1505"/>
    <w:rsid w:val="006E1733"/>
    <w:rsid w:val="006E17F4"/>
    <w:rsid w:val="006E1A1C"/>
    <w:rsid w:val="006E1C3D"/>
    <w:rsid w:val="006E1D47"/>
    <w:rsid w:val="006E1EE8"/>
    <w:rsid w:val="006E264B"/>
    <w:rsid w:val="006E273D"/>
    <w:rsid w:val="006E2812"/>
    <w:rsid w:val="006E2C41"/>
    <w:rsid w:val="006E2CB1"/>
    <w:rsid w:val="006E2DA8"/>
    <w:rsid w:val="006E3027"/>
    <w:rsid w:val="006E3219"/>
    <w:rsid w:val="006E331D"/>
    <w:rsid w:val="006E3750"/>
    <w:rsid w:val="006E38D1"/>
    <w:rsid w:val="006E3AA3"/>
    <w:rsid w:val="006E3B1B"/>
    <w:rsid w:val="006E3D1F"/>
    <w:rsid w:val="006E3DDD"/>
    <w:rsid w:val="006E419D"/>
    <w:rsid w:val="006E42FC"/>
    <w:rsid w:val="006E44B5"/>
    <w:rsid w:val="006E4A3F"/>
    <w:rsid w:val="006E4FC0"/>
    <w:rsid w:val="006E5087"/>
    <w:rsid w:val="006E5505"/>
    <w:rsid w:val="006E5598"/>
    <w:rsid w:val="006E55B5"/>
    <w:rsid w:val="006E5759"/>
    <w:rsid w:val="006E57AD"/>
    <w:rsid w:val="006E5BEA"/>
    <w:rsid w:val="006E5C15"/>
    <w:rsid w:val="006E5DE0"/>
    <w:rsid w:val="006E5F44"/>
    <w:rsid w:val="006E5FE3"/>
    <w:rsid w:val="006E60A9"/>
    <w:rsid w:val="006E619A"/>
    <w:rsid w:val="006E6368"/>
    <w:rsid w:val="006E63E5"/>
    <w:rsid w:val="006E6835"/>
    <w:rsid w:val="006E6848"/>
    <w:rsid w:val="006E6A74"/>
    <w:rsid w:val="006E6CD4"/>
    <w:rsid w:val="006E6D8F"/>
    <w:rsid w:val="006E6FC1"/>
    <w:rsid w:val="006E7265"/>
    <w:rsid w:val="006E731D"/>
    <w:rsid w:val="006E7577"/>
    <w:rsid w:val="006E765D"/>
    <w:rsid w:val="006E7883"/>
    <w:rsid w:val="006E7ABF"/>
    <w:rsid w:val="006E7EAC"/>
    <w:rsid w:val="006E7F58"/>
    <w:rsid w:val="006F031A"/>
    <w:rsid w:val="006F05C4"/>
    <w:rsid w:val="006F0766"/>
    <w:rsid w:val="006F0E61"/>
    <w:rsid w:val="006F1093"/>
    <w:rsid w:val="006F1565"/>
    <w:rsid w:val="006F15DA"/>
    <w:rsid w:val="006F1AAE"/>
    <w:rsid w:val="006F1BA3"/>
    <w:rsid w:val="006F1CEB"/>
    <w:rsid w:val="006F2025"/>
    <w:rsid w:val="006F27E8"/>
    <w:rsid w:val="006F289C"/>
    <w:rsid w:val="006F28E4"/>
    <w:rsid w:val="006F2B3B"/>
    <w:rsid w:val="006F2DA4"/>
    <w:rsid w:val="006F2FA0"/>
    <w:rsid w:val="006F2FFE"/>
    <w:rsid w:val="006F3096"/>
    <w:rsid w:val="006F30DB"/>
    <w:rsid w:val="006F335A"/>
    <w:rsid w:val="006F39CA"/>
    <w:rsid w:val="006F3C6A"/>
    <w:rsid w:val="006F3EDD"/>
    <w:rsid w:val="006F4099"/>
    <w:rsid w:val="006F4243"/>
    <w:rsid w:val="006F450C"/>
    <w:rsid w:val="006F47E1"/>
    <w:rsid w:val="006F483F"/>
    <w:rsid w:val="006F4845"/>
    <w:rsid w:val="006F4857"/>
    <w:rsid w:val="006F49AD"/>
    <w:rsid w:val="006F4D1E"/>
    <w:rsid w:val="006F5020"/>
    <w:rsid w:val="006F51BB"/>
    <w:rsid w:val="006F521D"/>
    <w:rsid w:val="006F5251"/>
    <w:rsid w:val="006F566F"/>
    <w:rsid w:val="006F5B0D"/>
    <w:rsid w:val="006F5BEC"/>
    <w:rsid w:val="006F5BEE"/>
    <w:rsid w:val="006F625E"/>
    <w:rsid w:val="006F64F7"/>
    <w:rsid w:val="006F64FF"/>
    <w:rsid w:val="006F65D0"/>
    <w:rsid w:val="006F67D0"/>
    <w:rsid w:val="006F693A"/>
    <w:rsid w:val="006F6A63"/>
    <w:rsid w:val="006F6C00"/>
    <w:rsid w:val="006F6C23"/>
    <w:rsid w:val="006F77A4"/>
    <w:rsid w:val="006F7A9B"/>
    <w:rsid w:val="00700253"/>
    <w:rsid w:val="007002E1"/>
    <w:rsid w:val="00700FAA"/>
    <w:rsid w:val="0070124D"/>
    <w:rsid w:val="007013C6"/>
    <w:rsid w:val="00701573"/>
    <w:rsid w:val="007015B3"/>
    <w:rsid w:val="00701997"/>
    <w:rsid w:val="00701BC0"/>
    <w:rsid w:val="00701DFF"/>
    <w:rsid w:val="00701FA0"/>
    <w:rsid w:val="007020B9"/>
    <w:rsid w:val="0070216D"/>
    <w:rsid w:val="0070221A"/>
    <w:rsid w:val="00702ACC"/>
    <w:rsid w:val="00702B68"/>
    <w:rsid w:val="00702B90"/>
    <w:rsid w:val="00702CE6"/>
    <w:rsid w:val="00702FB5"/>
    <w:rsid w:val="0070300F"/>
    <w:rsid w:val="00703068"/>
    <w:rsid w:val="007030C3"/>
    <w:rsid w:val="0070326A"/>
    <w:rsid w:val="0070354C"/>
    <w:rsid w:val="007035B2"/>
    <w:rsid w:val="007036E8"/>
    <w:rsid w:val="0070384B"/>
    <w:rsid w:val="00703C9F"/>
    <w:rsid w:val="00703DE6"/>
    <w:rsid w:val="00703E88"/>
    <w:rsid w:val="00704069"/>
    <w:rsid w:val="00704130"/>
    <w:rsid w:val="0070425B"/>
    <w:rsid w:val="007042DB"/>
    <w:rsid w:val="007044D3"/>
    <w:rsid w:val="00704935"/>
    <w:rsid w:val="00704FDB"/>
    <w:rsid w:val="0070506E"/>
    <w:rsid w:val="00705140"/>
    <w:rsid w:val="007051BC"/>
    <w:rsid w:val="0070529F"/>
    <w:rsid w:val="00705779"/>
    <w:rsid w:val="00705CC0"/>
    <w:rsid w:val="00705DD9"/>
    <w:rsid w:val="00705E13"/>
    <w:rsid w:val="00706087"/>
    <w:rsid w:val="0070650C"/>
    <w:rsid w:val="007065E4"/>
    <w:rsid w:val="00706A37"/>
    <w:rsid w:val="00706B9A"/>
    <w:rsid w:val="00706C45"/>
    <w:rsid w:val="00706E0C"/>
    <w:rsid w:val="00706E7E"/>
    <w:rsid w:val="00706FEC"/>
    <w:rsid w:val="00707114"/>
    <w:rsid w:val="0070732A"/>
    <w:rsid w:val="0070741B"/>
    <w:rsid w:val="00707712"/>
    <w:rsid w:val="00707974"/>
    <w:rsid w:val="00707C09"/>
    <w:rsid w:val="00707D68"/>
    <w:rsid w:val="00707F0E"/>
    <w:rsid w:val="00710071"/>
    <w:rsid w:val="00710088"/>
    <w:rsid w:val="00710135"/>
    <w:rsid w:val="00710300"/>
    <w:rsid w:val="0071048A"/>
    <w:rsid w:val="007105DB"/>
    <w:rsid w:val="00710C69"/>
    <w:rsid w:val="00711151"/>
    <w:rsid w:val="00711277"/>
    <w:rsid w:val="007113C7"/>
    <w:rsid w:val="007113F8"/>
    <w:rsid w:val="00711635"/>
    <w:rsid w:val="00711E39"/>
    <w:rsid w:val="00712093"/>
    <w:rsid w:val="007121DB"/>
    <w:rsid w:val="007123FE"/>
    <w:rsid w:val="0071240F"/>
    <w:rsid w:val="00712508"/>
    <w:rsid w:val="0071266D"/>
    <w:rsid w:val="00712871"/>
    <w:rsid w:val="0071288A"/>
    <w:rsid w:val="00712A39"/>
    <w:rsid w:val="00712CAE"/>
    <w:rsid w:val="00712DD4"/>
    <w:rsid w:val="007134B7"/>
    <w:rsid w:val="0071352D"/>
    <w:rsid w:val="0071353D"/>
    <w:rsid w:val="00713895"/>
    <w:rsid w:val="007138CA"/>
    <w:rsid w:val="00713E48"/>
    <w:rsid w:val="00714789"/>
    <w:rsid w:val="0071495B"/>
    <w:rsid w:val="00714C2E"/>
    <w:rsid w:val="00715157"/>
    <w:rsid w:val="0071515A"/>
    <w:rsid w:val="00715230"/>
    <w:rsid w:val="007154BC"/>
    <w:rsid w:val="00715500"/>
    <w:rsid w:val="00715571"/>
    <w:rsid w:val="007159B4"/>
    <w:rsid w:val="007159E4"/>
    <w:rsid w:val="00715A44"/>
    <w:rsid w:val="00715BB1"/>
    <w:rsid w:val="00715D83"/>
    <w:rsid w:val="00715E81"/>
    <w:rsid w:val="00715F2F"/>
    <w:rsid w:val="007160A2"/>
    <w:rsid w:val="00716229"/>
    <w:rsid w:val="0071639A"/>
    <w:rsid w:val="007165A8"/>
    <w:rsid w:val="007166BC"/>
    <w:rsid w:val="00716C80"/>
    <w:rsid w:val="007171B0"/>
    <w:rsid w:val="00717311"/>
    <w:rsid w:val="007177BF"/>
    <w:rsid w:val="00717B23"/>
    <w:rsid w:val="00717B2E"/>
    <w:rsid w:val="00717B7C"/>
    <w:rsid w:val="0072012B"/>
    <w:rsid w:val="00720231"/>
    <w:rsid w:val="00720300"/>
    <w:rsid w:val="00720652"/>
    <w:rsid w:val="0072083A"/>
    <w:rsid w:val="007208B6"/>
    <w:rsid w:val="00720B13"/>
    <w:rsid w:val="00720C51"/>
    <w:rsid w:val="00720D95"/>
    <w:rsid w:val="007210E1"/>
    <w:rsid w:val="007213D6"/>
    <w:rsid w:val="007213EC"/>
    <w:rsid w:val="00721437"/>
    <w:rsid w:val="00721625"/>
    <w:rsid w:val="0072190D"/>
    <w:rsid w:val="00722AD1"/>
    <w:rsid w:val="00722CFD"/>
    <w:rsid w:val="00722D31"/>
    <w:rsid w:val="00722DEA"/>
    <w:rsid w:val="00722E43"/>
    <w:rsid w:val="00722F2E"/>
    <w:rsid w:val="0072333D"/>
    <w:rsid w:val="00723936"/>
    <w:rsid w:val="00723B51"/>
    <w:rsid w:val="00724068"/>
    <w:rsid w:val="007243A8"/>
    <w:rsid w:val="00724626"/>
    <w:rsid w:val="0072464B"/>
    <w:rsid w:val="007249A1"/>
    <w:rsid w:val="00724A46"/>
    <w:rsid w:val="00724ABB"/>
    <w:rsid w:val="00724EBB"/>
    <w:rsid w:val="007253EB"/>
    <w:rsid w:val="0072557A"/>
    <w:rsid w:val="00725A3A"/>
    <w:rsid w:val="00725D71"/>
    <w:rsid w:val="007262BB"/>
    <w:rsid w:val="007263F3"/>
    <w:rsid w:val="00726547"/>
    <w:rsid w:val="00726769"/>
    <w:rsid w:val="00726824"/>
    <w:rsid w:val="00726A3A"/>
    <w:rsid w:val="00726B6C"/>
    <w:rsid w:val="00726F2B"/>
    <w:rsid w:val="007270AC"/>
    <w:rsid w:val="007270F7"/>
    <w:rsid w:val="007270FA"/>
    <w:rsid w:val="007271DA"/>
    <w:rsid w:val="00727410"/>
    <w:rsid w:val="00727491"/>
    <w:rsid w:val="007277AB"/>
    <w:rsid w:val="007279DC"/>
    <w:rsid w:val="00727AE5"/>
    <w:rsid w:val="00727BE5"/>
    <w:rsid w:val="00727D59"/>
    <w:rsid w:val="00727D94"/>
    <w:rsid w:val="00727FC6"/>
    <w:rsid w:val="0072AB12"/>
    <w:rsid w:val="007301D5"/>
    <w:rsid w:val="0073070F"/>
    <w:rsid w:val="007307A3"/>
    <w:rsid w:val="0073089C"/>
    <w:rsid w:val="00730CEA"/>
    <w:rsid w:val="00731FA8"/>
    <w:rsid w:val="007325C4"/>
    <w:rsid w:val="00732736"/>
    <w:rsid w:val="00732A1A"/>
    <w:rsid w:val="00732B5D"/>
    <w:rsid w:val="00732BA9"/>
    <w:rsid w:val="00732C97"/>
    <w:rsid w:val="00732F1D"/>
    <w:rsid w:val="00732F4B"/>
    <w:rsid w:val="00733D95"/>
    <w:rsid w:val="00733DAF"/>
    <w:rsid w:val="00734035"/>
    <w:rsid w:val="00734124"/>
    <w:rsid w:val="007347AF"/>
    <w:rsid w:val="007347F4"/>
    <w:rsid w:val="00734B15"/>
    <w:rsid w:val="00734DE5"/>
    <w:rsid w:val="007351E7"/>
    <w:rsid w:val="0073527F"/>
    <w:rsid w:val="00735574"/>
    <w:rsid w:val="00735580"/>
    <w:rsid w:val="0073581C"/>
    <w:rsid w:val="00735ACE"/>
    <w:rsid w:val="00735D4E"/>
    <w:rsid w:val="0073629D"/>
    <w:rsid w:val="0073641A"/>
    <w:rsid w:val="0073646C"/>
    <w:rsid w:val="00736471"/>
    <w:rsid w:val="007364E0"/>
    <w:rsid w:val="00736595"/>
    <w:rsid w:val="0073659A"/>
    <w:rsid w:val="00736729"/>
    <w:rsid w:val="007368D6"/>
    <w:rsid w:val="00736E50"/>
    <w:rsid w:val="00736E5C"/>
    <w:rsid w:val="0073711F"/>
    <w:rsid w:val="007377FB"/>
    <w:rsid w:val="00737BFF"/>
    <w:rsid w:val="00737D99"/>
    <w:rsid w:val="00737E82"/>
    <w:rsid w:val="00740293"/>
    <w:rsid w:val="00740768"/>
    <w:rsid w:val="007407C9"/>
    <w:rsid w:val="007407DF"/>
    <w:rsid w:val="00740882"/>
    <w:rsid w:val="00740DAC"/>
    <w:rsid w:val="00741072"/>
    <w:rsid w:val="0074118E"/>
    <w:rsid w:val="00741393"/>
    <w:rsid w:val="00741B40"/>
    <w:rsid w:val="00741BC5"/>
    <w:rsid w:val="00741C2D"/>
    <w:rsid w:val="00741CA9"/>
    <w:rsid w:val="00741DA2"/>
    <w:rsid w:val="00741F83"/>
    <w:rsid w:val="00742205"/>
    <w:rsid w:val="007422A5"/>
    <w:rsid w:val="007423E9"/>
    <w:rsid w:val="00742B82"/>
    <w:rsid w:val="00742F2B"/>
    <w:rsid w:val="00742FA2"/>
    <w:rsid w:val="007434AA"/>
    <w:rsid w:val="00743635"/>
    <w:rsid w:val="00743724"/>
    <w:rsid w:val="00743B4F"/>
    <w:rsid w:val="00743D46"/>
    <w:rsid w:val="007441F2"/>
    <w:rsid w:val="0074441D"/>
    <w:rsid w:val="00744700"/>
    <w:rsid w:val="00744B29"/>
    <w:rsid w:val="00744BFF"/>
    <w:rsid w:val="00744C6D"/>
    <w:rsid w:val="00744E0B"/>
    <w:rsid w:val="00744F48"/>
    <w:rsid w:val="00744F65"/>
    <w:rsid w:val="00745016"/>
    <w:rsid w:val="00745137"/>
    <w:rsid w:val="007451D7"/>
    <w:rsid w:val="007456FD"/>
    <w:rsid w:val="007459CE"/>
    <w:rsid w:val="00745BD0"/>
    <w:rsid w:val="00745D32"/>
    <w:rsid w:val="00746454"/>
    <w:rsid w:val="00746597"/>
    <w:rsid w:val="007465F4"/>
    <w:rsid w:val="00746845"/>
    <w:rsid w:val="00746D0C"/>
    <w:rsid w:val="00747008"/>
    <w:rsid w:val="007471C7"/>
    <w:rsid w:val="007472C6"/>
    <w:rsid w:val="00747655"/>
    <w:rsid w:val="0074797B"/>
    <w:rsid w:val="00747B56"/>
    <w:rsid w:val="00750034"/>
    <w:rsid w:val="007503E4"/>
    <w:rsid w:val="0075075A"/>
    <w:rsid w:val="00750AA4"/>
    <w:rsid w:val="007512D4"/>
    <w:rsid w:val="00751471"/>
    <w:rsid w:val="007515FF"/>
    <w:rsid w:val="00751AA0"/>
    <w:rsid w:val="00751B28"/>
    <w:rsid w:val="007522E0"/>
    <w:rsid w:val="007528D5"/>
    <w:rsid w:val="007530AB"/>
    <w:rsid w:val="00753189"/>
    <w:rsid w:val="00753445"/>
    <w:rsid w:val="00753544"/>
    <w:rsid w:val="00753595"/>
    <w:rsid w:val="007536B4"/>
    <w:rsid w:val="007537D4"/>
    <w:rsid w:val="00753867"/>
    <w:rsid w:val="00754299"/>
    <w:rsid w:val="00754571"/>
    <w:rsid w:val="0075470F"/>
    <w:rsid w:val="00754BCA"/>
    <w:rsid w:val="00754E5A"/>
    <w:rsid w:val="007555E3"/>
    <w:rsid w:val="0075590E"/>
    <w:rsid w:val="0075599F"/>
    <w:rsid w:val="00755B1A"/>
    <w:rsid w:val="00755DB1"/>
    <w:rsid w:val="0075624B"/>
    <w:rsid w:val="00756477"/>
    <w:rsid w:val="00756566"/>
    <w:rsid w:val="0075683A"/>
    <w:rsid w:val="007568FC"/>
    <w:rsid w:val="00756AC7"/>
    <w:rsid w:val="00756B8B"/>
    <w:rsid w:val="00756D75"/>
    <w:rsid w:val="00757425"/>
    <w:rsid w:val="0075742B"/>
    <w:rsid w:val="007575B2"/>
    <w:rsid w:val="0075775A"/>
    <w:rsid w:val="007577A9"/>
    <w:rsid w:val="0075783C"/>
    <w:rsid w:val="00757898"/>
    <w:rsid w:val="00757E83"/>
    <w:rsid w:val="00760514"/>
    <w:rsid w:val="0076099B"/>
    <w:rsid w:val="00760A8B"/>
    <w:rsid w:val="00760CB0"/>
    <w:rsid w:val="00761101"/>
    <w:rsid w:val="007611E9"/>
    <w:rsid w:val="007612D3"/>
    <w:rsid w:val="007614B0"/>
    <w:rsid w:val="007617D5"/>
    <w:rsid w:val="00761C6F"/>
    <w:rsid w:val="00761FD4"/>
    <w:rsid w:val="0076222D"/>
    <w:rsid w:val="0076236E"/>
    <w:rsid w:val="0076285C"/>
    <w:rsid w:val="00762A3C"/>
    <w:rsid w:val="00762A9B"/>
    <w:rsid w:val="00762D14"/>
    <w:rsid w:val="00762E24"/>
    <w:rsid w:val="00762EB1"/>
    <w:rsid w:val="007634E1"/>
    <w:rsid w:val="00763ADB"/>
    <w:rsid w:val="00763F19"/>
    <w:rsid w:val="00763F66"/>
    <w:rsid w:val="00763FEF"/>
    <w:rsid w:val="0076422D"/>
    <w:rsid w:val="007643AB"/>
    <w:rsid w:val="007649B5"/>
    <w:rsid w:val="007649B9"/>
    <w:rsid w:val="007649C2"/>
    <w:rsid w:val="00764A21"/>
    <w:rsid w:val="00764A81"/>
    <w:rsid w:val="00764B45"/>
    <w:rsid w:val="00764BE5"/>
    <w:rsid w:val="00764CB7"/>
    <w:rsid w:val="00764CEC"/>
    <w:rsid w:val="00764EC3"/>
    <w:rsid w:val="00765047"/>
    <w:rsid w:val="00766056"/>
    <w:rsid w:val="007662FE"/>
    <w:rsid w:val="00766581"/>
    <w:rsid w:val="007665EE"/>
    <w:rsid w:val="00766748"/>
    <w:rsid w:val="00766978"/>
    <w:rsid w:val="00766AEF"/>
    <w:rsid w:val="0076703B"/>
    <w:rsid w:val="0076716B"/>
    <w:rsid w:val="007672F7"/>
    <w:rsid w:val="007677E9"/>
    <w:rsid w:val="007679E2"/>
    <w:rsid w:val="00767ADB"/>
    <w:rsid w:val="00767E0C"/>
    <w:rsid w:val="00767F74"/>
    <w:rsid w:val="00767FD7"/>
    <w:rsid w:val="0077040D"/>
    <w:rsid w:val="007706A6"/>
    <w:rsid w:val="007709F9"/>
    <w:rsid w:val="00770B6B"/>
    <w:rsid w:val="00770BDC"/>
    <w:rsid w:val="00770CCA"/>
    <w:rsid w:val="00770E09"/>
    <w:rsid w:val="0077177F"/>
    <w:rsid w:val="00771830"/>
    <w:rsid w:val="0077186E"/>
    <w:rsid w:val="007719C9"/>
    <w:rsid w:val="00771BDC"/>
    <w:rsid w:val="00771DCE"/>
    <w:rsid w:val="007722C1"/>
    <w:rsid w:val="0077237A"/>
    <w:rsid w:val="00772A73"/>
    <w:rsid w:val="00773134"/>
    <w:rsid w:val="007732A1"/>
    <w:rsid w:val="007736F3"/>
    <w:rsid w:val="007737AA"/>
    <w:rsid w:val="00773940"/>
    <w:rsid w:val="00773AE1"/>
    <w:rsid w:val="00773CC4"/>
    <w:rsid w:val="00773FC9"/>
    <w:rsid w:val="00774233"/>
    <w:rsid w:val="00774371"/>
    <w:rsid w:val="00774648"/>
    <w:rsid w:val="00775428"/>
    <w:rsid w:val="00775455"/>
    <w:rsid w:val="0077550F"/>
    <w:rsid w:val="007757C8"/>
    <w:rsid w:val="007758ED"/>
    <w:rsid w:val="007759F5"/>
    <w:rsid w:val="00775A8B"/>
    <w:rsid w:val="00775CEB"/>
    <w:rsid w:val="00775E6D"/>
    <w:rsid w:val="007760A0"/>
    <w:rsid w:val="007763C5"/>
    <w:rsid w:val="00776598"/>
    <w:rsid w:val="00776A40"/>
    <w:rsid w:val="00776C93"/>
    <w:rsid w:val="0077740E"/>
    <w:rsid w:val="007778AB"/>
    <w:rsid w:val="00777C21"/>
    <w:rsid w:val="00777F81"/>
    <w:rsid w:val="0078006D"/>
    <w:rsid w:val="00780369"/>
    <w:rsid w:val="00780683"/>
    <w:rsid w:val="0078068E"/>
    <w:rsid w:val="007808B4"/>
    <w:rsid w:val="00780A32"/>
    <w:rsid w:val="00780A53"/>
    <w:rsid w:val="00780C46"/>
    <w:rsid w:val="00780DC4"/>
    <w:rsid w:val="00780E44"/>
    <w:rsid w:val="0078104D"/>
    <w:rsid w:val="0078116D"/>
    <w:rsid w:val="007817A1"/>
    <w:rsid w:val="00781A44"/>
    <w:rsid w:val="00781BE8"/>
    <w:rsid w:val="00781E5C"/>
    <w:rsid w:val="00782044"/>
    <w:rsid w:val="007821A0"/>
    <w:rsid w:val="0078268B"/>
    <w:rsid w:val="0078286E"/>
    <w:rsid w:val="00782B76"/>
    <w:rsid w:val="00782C10"/>
    <w:rsid w:val="00782CC1"/>
    <w:rsid w:val="00782FA8"/>
    <w:rsid w:val="007830E0"/>
    <w:rsid w:val="0078345D"/>
    <w:rsid w:val="0078378B"/>
    <w:rsid w:val="00783D24"/>
    <w:rsid w:val="00783DB8"/>
    <w:rsid w:val="0078400F"/>
    <w:rsid w:val="007840B2"/>
    <w:rsid w:val="007840BA"/>
    <w:rsid w:val="0078414A"/>
    <w:rsid w:val="0078415D"/>
    <w:rsid w:val="0078423F"/>
    <w:rsid w:val="00784754"/>
    <w:rsid w:val="00784979"/>
    <w:rsid w:val="007849C3"/>
    <w:rsid w:val="00784BB2"/>
    <w:rsid w:val="00784CE5"/>
    <w:rsid w:val="00784CF7"/>
    <w:rsid w:val="00784E09"/>
    <w:rsid w:val="00785600"/>
    <w:rsid w:val="007857E2"/>
    <w:rsid w:val="00785E0D"/>
    <w:rsid w:val="00785E14"/>
    <w:rsid w:val="00786217"/>
    <w:rsid w:val="00786529"/>
    <w:rsid w:val="00786AF5"/>
    <w:rsid w:val="00786EF7"/>
    <w:rsid w:val="00786FAA"/>
    <w:rsid w:val="007875CA"/>
    <w:rsid w:val="00787771"/>
    <w:rsid w:val="00787825"/>
    <w:rsid w:val="00787936"/>
    <w:rsid w:val="007879C2"/>
    <w:rsid w:val="00787AAD"/>
    <w:rsid w:val="00787BAF"/>
    <w:rsid w:val="00787EEB"/>
    <w:rsid w:val="007900B8"/>
    <w:rsid w:val="0079011A"/>
    <w:rsid w:val="00790253"/>
    <w:rsid w:val="00790311"/>
    <w:rsid w:val="00790732"/>
    <w:rsid w:val="00790A40"/>
    <w:rsid w:val="00790ADB"/>
    <w:rsid w:val="00790D31"/>
    <w:rsid w:val="00790F86"/>
    <w:rsid w:val="00791274"/>
    <w:rsid w:val="00791C15"/>
    <w:rsid w:val="00791D60"/>
    <w:rsid w:val="00791D7C"/>
    <w:rsid w:val="00792117"/>
    <w:rsid w:val="0079216F"/>
    <w:rsid w:val="007921DA"/>
    <w:rsid w:val="007924AB"/>
    <w:rsid w:val="0079260D"/>
    <w:rsid w:val="00792667"/>
    <w:rsid w:val="00792690"/>
    <w:rsid w:val="00792855"/>
    <w:rsid w:val="00792F05"/>
    <w:rsid w:val="00792F0E"/>
    <w:rsid w:val="00792FD9"/>
    <w:rsid w:val="00793058"/>
    <w:rsid w:val="0079316A"/>
    <w:rsid w:val="0079322F"/>
    <w:rsid w:val="007934CC"/>
    <w:rsid w:val="00793AE7"/>
    <w:rsid w:val="00793ED2"/>
    <w:rsid w:val="00793FED"/>
    <w:rsid w:val="007941EA"/>
    <w:rsid w:val="0079434E"/>
    <w:rsid w:val="00794497"/>
    <w:rsid w:val="007945C9"/>
    <w:rsid w:val="00794748"/>
    <w:rsid w:val="00794969"/>
    <w:rsid w:val="00794CD2"/>
    <w:rsid w:val="00794D70"/>
    <w:rsid w:val="00795256"/>
    <w:rsid w:val="007953D2"/>
    <w:rsid w:val="00795833"/>
    <w:rsid w:val="00795991"/>
    <w:rsid w:val="007959BD"/>
    <w:rsid w:val="00795B3F"/>
    <w:rsid w:val="00795D15"/>
    <w:rsid w:val="00795DBE"/>
    <w:rsid w:val="00795E00"/>
    <w:rsid w:val="0079613D"/>
    <w:rsid w:val="007963E5"/>
    <w:rsid w:val="007964D8"/>
    <w:rsid w:val="007966B9"/>
    <w:rsid w:val="007967D0"/>
    <w:rsid w:val="00796907"/>
    <w:rsid w:val="00797002"/>
    <w:rsid w:val="0079711F"/>
    <w:rsid w:val="0079716D"/>
    <w:rsid w:val="007971BD"/>
    <w:rsid w:val="007974E2"/>
    <w:rsid w:val="007976A7"/>
    <w:rsid w:val="007978DF"/>
    <w:rsid w:val="00797A8D"/>
    <w:rsid w:val="00797B3A"/>
    <w:rsid w:val="00797BFF"/>
    <w:rsid w:val="00797D1E"/>
    <w:rsid w:val="007A0316"/>
    <w:rsid w:val="007A04D0"/>
    <w:rsid w:val="007A0827"/>
    <w:rsid w:val="007A0981"/>
    <w:rsid w:val="007A0B59"/>
    <w:rsid w:val="007A172E"/>
    <w:rsid w:val="007A1731"/>
    <w:rsid w:val="007A1898"/>
    <w:rsid w:val="007A18F0"/>
    <w:rsid w:val="007A1949"/>
    <w:rsid w:val="007A1AC2"/>
    <w:rsid w:val="007A1D86"/>
    <w:rsid w:val="007A1DD6"/>
    <w:rsid w:val="007A2117"/>
    <w:rsid w:val="007A2500"/>
    <w:rsid w:val="007A2502"/>
    <w:rsid w:val="007A263E"/>
    <w:rsid w:val="007A30D8"/>
    <w:rsid w:val="007A3132"/>
    <w:rsid w:val="007A33D2"/>
    <w:rsid w:val="007A3725"/>
    <w:rsid w:val="007A39C6"/>
    <w:rsid w:val="007A3C6D"/>
    <w:rsid w:val="007A3DAB"/>
    <w:rsid w:val="007A3FCA"/>
    <w:rsid w:val="007A4193"/>
    <w:rsid w:val="007A4459"/>
    <w:rsid w:val="007A45F6"/>
    <w:rsid w:val="007A46D7"/>
    <w:rsid w:val="007A4715"/>
    <w:rsid w:val="007A48A2"/>
    <w:rsid w:val="007A4E65"/>
    <w:rsid w:val="007A5086"/>
    <w:rsid w:val="007A50A7"/>
    <w:rsid w:val="007A5717"/>
    <w:rsid w:val="007A57FA"/>
    <w:rsid w:val="007A5815"/>
    <w:rsid w:val="007A5A44"/>
    <w:rsid w:val="007A5C84"/>
    <w:rsid w:val="007A5E96"/>
    <w:rsid w:val="007A6495"/>
    <w:rsid w:val="007A656D"/>
    <w:rsid w:val="007A65EA"/>
    <w:rsid w:val="007A679C"/>
    <w:rsid w:val="007A68E0"/>
    <w:rsid w:val="007A6B0E"/>
    <w:rsid w:val="007A7290"/>
    <w:rsid w:val="007A737A"/>
    <w:rsid w:val="007A79BB"/>
    <w:rsid w:val="007A7AC1"/>
    <w:rsid w:val="007A7BB5"/>
    <w:rsid w:val="007A7EA8"/>
    <w:rsid w:val="007AD760"/>
    <w:rsid w:val="007B0242"/>
    <w:rsid w:val="007B03E2"/>
    <w:rsid w:val="007B073D"/>
    <w:rsid w:val="007B0B59"/>
    <w:rsid w:val="007B0B83"/>
    <w:rsid w:val="007B0C65"/>
    <w:rsid w:val="007B0E3C"/>
    <w:rsid w:val="007B0EE3"/>
    <w:rsid w:val="007B0FB6"/>
    <w:rsid w:val="007B1264"/>
    <w:rsid w:val="007B1534"/>
    <w:rsid w:val="007B17E2"/>
    <w:rsid w:val="007B1853"/>
    <w:rsid w:val="007B1B44"/>
    <w:rsid w:val="007B1EBB"/>
    <w:rsid w:val="007B207A"/>
    <w:rsid w:val="007B2325"/>
    <w:rsid w:val="007B2613"/>
    <w:rsid w:val="007B261C"/>
    <w:rsid w:val="007B2951"/>
    <w:rsid w:val="007B295C"/>
    <w:rsid w:val="007B2BFA"/>
    <w:rsid w:val="007B2FFD"/>
    <w:rsid w:val="007B32A3"/>
    <w:rsid w:val="007B3359"/>
    <w:rsid w:val="007B352D"/>
    <w:rsid w:val="007B3573"/>
    <w:rsid w:val="007B3822"/>
    <w:rsid w:val="007B3830"/>
    <w:rsid w:val="007B392A"/>
    <w:rsid w:val="007B3BBE"/>
    <w:rsid w:val="007B3C2D"/>
    <w:rsid w:val="007B3F5A"/>
    <w:rsid w:val="007B41EA"/>
    <w:rsid w:val="007B457A"/>
    <w:rsid w:val="007B47C7"/>
    <w:rsid w:val="007B4B11"/>
    <w:rsid w:val="007B4F31"/>
    <w:rsid w:val="007B53DC"/>
    <w:rsid w:val="007B5706"/>
    <w:rsid w:val="007B5AC5"/>
    <w:rsid w:val="007B5CFA"/>
    <w:rsid w:val="007B5DAD"/>
    <w:rsid w:val="007B5F5B"/>
    <w:rsid w:val="007B6002"/>
    <w:rsid w:val="007B614D"/>
    <w:rsid w:val="007B631E"/>
    <w:rsid w:val="007B6329"/>
    <w:rsid w:val="007B642D"/>
    <w:rsid w:val="007B648A"/>
    <w:rsid w:val="007B67DB"/>
    <w:rsid w:val="007B6AA5"/>
    <w:rsid w:val="007B6AB4"/>
    <w:rsid w:val="007B6BB5"/>
    <w:rsid w:val="007B6EBB"/>
    <w:rsid w:val="007B6FD1"/>
    <w:rsid w:val="007B720C"/>
    <w:rsid w:val="007B7AD6"/>
    <w:rsid w:val="007B7EA6"/>
    <w:rsid w:val="007C00F2"/>
    <w:rsid w:val="007C0243"/>
    <w:rsid w:val="007C02C6"/>
    <w:rsid w:val="007C0B8F"/>
    <w:rsid w:val="007C0D31"/>
    <w:rsid w:val="007C0F84"/>
    <w:rsid w:val="007C159B"/>
    <w:rsid w:val="007C1C2E"/>
    <w:rsid w:val="007C1FF2"/>
    <w:rsid w:val="007C25C8"/>
    <w:rsid w:val="007C26AD"/>
    <w:rsid w:val="007C27F2"/>
    <w:rsid w:val="007C28B3"/>
    <w:rsid w:val="007C2941"/>
    <w:rsid w:val="007C2DA1"/>
    <w:rsid w:val="007C3627"/>
    <w:rsid w:val="007C3678"/>
    <w:rsid w:val="007C3C29"/>
    <w:rsid w:val="007C4093"/>
    <w:rsid w:val="007C470B"/>
    <w:rsid w:val="007C4BC6"/>
    <w:rsid w:val="007C4C6D"/>
    <w:rsid w:val="007C4D33"/>
    <w:rsid w:val="007C51B5"/>
    <w:rsid w:val="007C527A"/>
    <w:rsid w:val="007C5401"/>
    <w:rsid w:val="007C55CB"/>
    <w:rsid w:val="007C57E8"/>
    <w:rsid w:val="007C57FD"/>
    <w:rsid w:val="007C6A76"/>
    <w:rsid w:val="007C6B7C"/>
    <w:rsid w:val="007C6C95"/>
    <w:rsid w:val="007C6DE8"/>
    <w:rsid w:val="007C6E7D"/>
    <w:rsid w:val="007C72BC"/>
    <w:rsid w:val="007C7972"/>
    <w:rsid w:val="007C7BDE"/>
    <w:rsid w:val="007CDA56"/>
    <w:rsid w:val="007D0163"/>
    <w:rsid w:val="007D0373"/>
    <w:rsid w:val="007D046E"/>
    <w:rsid w:val="007D0806"/>
    <w:rsid w:val="007D080C"/>
    <w:rsid w:val="007D09F0"/>
    <w:rsid w:val="007D0CBE"/>
    <w:rsid w:val="007D14A6"/>
    <w:rsid w:val="007D14D0"/>
    <w:rsid w:val="007D1B2B"/>
    <w:rsid w:val="007D1D58"/>
    <w:rsid w:val="007D1D9D"/>
    <w:rsid w:val="007D1F62"/>
    <w:rsid w:val="007D1FB2"/>
    <w:rsid w:val="007D2291"/>
    <w:rsid w:val="007D22C9"/>
    <w:rsid w:val="007D26D8"/>
    <w:rsid w:val="007D2707"/>
    <w:rsid w:val="007D2852"/>
    <w:rsid w:val="007D28BE"/>
    <w:rsid w:val="007D2A88"/>
    <w:rsid w:val="007D3136"/>
    <w:rsid w:val="007D335B"/>
    <w:rsid w:val="007D3629"/>
    <w:rsid w:val="007D37E7"/>
    <w:rsid w:val="007D3815"/>
    <w:rsid w:val="007D3A83"/>
    <w:rsid w:val="007D3C26"/>
    <w:rsid w:val="007D3CDE"/>
    <w:rsid w:val="007D3D86"/>
    <w:rsid w:val="007D4497"/>
    <w:rsid w:val="007D44FC"/>
    <w:rsid w:val="007D47BC"/>
    <w:rsid w:val="007D47BF"/>
    <w:rsid w:val="007D4EB8"/>
    <w:rsid w:val="007D5437"/>
    <w:rsid w:val="007D54AE"/>
    <w:rsid w:val="007D5D25"/>
    <w:rsid w:val="007D5D34"/>
    <w:rsid w:val="007D5DF9"/>
    <w:rsid w:val="007D5F96"/>
    <w:rsid w:val="007D6082"/>
    <w:rsid w:val="007D6363"/>
    <w:rsid w:val="007D63AB"/>
    <w:rsid w:val="007D66CB"/>
    <w:rsid w:val="007D66D8"/>
    <w:rsid w:val="007D6A1D"/>
    <w:rsid w:val="007D6CC2"/>
    <w:rsid w:val="007D6CF3"/>
    <w:rsid w:val="007D6F4A"/>
    <w:rsid w:val="007D6FCB"/>
    <w:rsid w:val="007D7053"/>
    <w:rsid w:val="007D73DC"/>
    <w:rsid w:val="007D7A70"/>
    <w:rsid w:val="007D7AEF"/>
    <w:rsid w:val="007D7BCC"/>
    <w:rsid w:val="007D7F82"/>
    <w:rsid w:val="007DEA47"/>
    <w:rsid w:val="007DEB03"/>
    <w:rsid w:val="007E00E1"/>
    <w:rsid w:val="007E01AD"/>
    <w:rsid w:val="007E01C9"/>
    <w:rsid w:val="007E0260"/>
    <w:rsid w:val="007E048A"/>
    <w:rsid w:val="007E0620"/>
    <w:rsid w:val="007E076B"/>
    <w:rsid w:val="007E08AF"/>
    <w:rsid w:val="007E0902"/>
    <w:rsid w:val="007E0BF4"/>
    <w:rsid w:val="007E0F2D"/>
    <w:rsid w:val="007E0F4F"/>
    <w:rsid w:val="007E0FCA"/>
    <w:rsid w:val="007E11DD"/>
    <w:rsid w:val="007E1563"/>
    <w:rsid w:val="007E173F"/>
    <w:rsid w:val="007E1BB0"/>
    <w:rsid w:val="007E1FF6"/>
    <w:rsid w:val="007E21B0"/>
    <w:rsid w:val="007E2230"/>
    <w:rsid w:val="007E24D8"/>
    <w:rsid w:val="007E2580"/>
    <w:rsid w:val="007E28CF"/>
    <w:rsid w:val="007E2A7D"/>
    <w:rsid w:val="007E2CB9"/>
    <w:rsid w:val="007E3409"/>
    <w:rsid w:val="007E342E"/>
    <w:rsid w:val="007E3560"/>
    <w:rsid w:val="007E3713"/>
    <w:rsid w:val="007E3979"/>
    <w:rsid w:val="007E3C44"/>
    <w:rsid w:val="007E4290"/>
    <w:rsid w:val="007E4685"/>
    <w:rsid w:val="007E47A3"/>
    <w:rsid w:val="007E47FF"/>
    <w:rsid w:val="007E4CDA"/>
    <w:rsid w:val="007E4D0D"/>
    <w:rsid w:val="007E4D17"/>
    <w:rsid w:val="007E5062"/>
    <w:rsid w:val="007E5078"/>
    <w:rsid w:val="007E547A"/>
    <w:rsid w:val="007E548F"/>
    <w:rsid w:val="007E54EC"/>
    <w:rsid w:val="007E5554"/>
    <w:rsid w:val="007E56E4"/>
    <w:rsid w:val="007E5807"/>
    <w:rsid w:val="007E59FD"/>
    <w:rsid w:val="007E5AB6"/>
    <w:rsid w:val="007E5CB9"/>
    <w:rsid w:val="007E5D5B"/>
    <w:rsid w:val="007E5FE2"/>
    <w:rsid w:val="007E61B5"/>
    <w:rsid w:val="007E6358"/>
    <w:rsid w:val="007E64F0"/>
    <w:rsid w:val="007E655B"/>
    <w:rsid w:val="007E6693"/>
    <w:rsid w:val="007E6A33"/>
    <w:rsid w:val="007E6B71"/>
    <w:rsid w:val="007E6D79"/>
    <w:rsid w:val="007E6D85"/>
    <w:rsid w:val="007E6DDB"/>
    <w:rsid w:val="007E7266"/>
    <w:rsid w:val="007E72ED"/>
    <w:rsid w:val="007E74B2"/>
    <w:rsid w:val="007E750B"/>
    <w:rsid w:val="007E79F4"/>
    <w:rsid w:val="007E7E00"/>
    <w:rsid w:val="007E7EA5"/>
    <w:rsid w:val="007E7F2D"/>
    <w:rsid w:val="007F01CA"/>
    <w:rsid w:val="007F02E0"/>
    <w:rsid w:val="007F0460"/>
    <w:rsid w:val="007F05FC"/>
    <w:rsid w:val="007F0C87"/>
    <w:rsid w:val="007F0F45"/>
    <w:rsid w:val="007F101F"/>
    <w:rsid w:val="007F1116"/>
    <w:rsid w:val="007F1599"/>
    <w:rsid w:val="007F1689"/>
    <w:rsid w:val="007F18C9"/>
    <w:rsid w:val="007F1A8B"/>
    <w:rsid w:val="007F1AE1"/>
    <w:rsid w:val="007F1AFE"/>
    <w:rsid w:val="007F1E3E"/>
    <w:rsid w:val="007F1E55"/>
    <w:rsid w:val="007F204F"/>
    <w:rsid w:val="007F2886"/>
    <w:rsid w:val="007F2924"/>
    <w:rsid w:val="007F2A8D"/>
    <w:rsid w:val="007F2C6D"/>
    <w:rsid w:val="007F3165"/>
    <w:rsid w:val="007F33C5"/>
    <w:rsid w:val="007F3503"/>
    <w:rsid w:val="007F3C32"/>
    <w:rsid w:val="007F3E09"/>
    <w:rsid w:val="007F3E80"/>
    <w:rsid w:val="007F434D"/>
    <w:rsid w:val="007F467B"/>
    <w:rsid w:val="007F4C02"/>
    <w:rsid w:val="007F4C9A"/>
    <w:rsid w:val="007F50CF"/>
    <w:rsid w:val="007F521D"/>
    <w:rsid w:val="007F549E"/>
    <w:rsid w:val="007F5577"/>
    <w:rsid w:val="007F56FC"/>
    <w:rsid w:val="007F57AC"/>
    <w:rsid w:val="007F59B8"/>
    <w:rsid w:val="007F5F03"/>
    <w:rsid w:val="007F617F"/>
    <w:rsid w:val="007F643E"/>
    <w:rsid w:val="007F6DF9"/>
    <w:rsid w:val="007F6FE8"/>
    <w:rsid w:val="007F706C"/>
    <w:rsid w:val="007F7221"/>
    <w:rsid w:val="007F740C"/>
    <w:rsid w:val="007F7C3C"/>
    <w:rsid w:val="00800210"/>
    <w:rsid w:val="00800F0C"/>
    <w:rsid w:val="00801071"/>
    <w:rsid w:val="00801267"/>
    <w:rsid w:val="0080141D"/>
    <w:rsid w:val="0080159D"/>
    <w:rsid w:val="00801785"/>
    <w:rsid w:val="00801A02"/>
    <w:rsid w:val="00801A94"/>
    <w:rsid w:val="00801ACD"/>
    <w:rsid w:val="00801B97"/>
    <w:rsid w:val="008020BA"/>
    <w:rsid w:val="0080258C"/>
    <w:rsid w:val="00802AB4"/>
    <w:rsid w:val="00803181"/>
    <w:rsid w:val="008033FE"/>
    <w:rsid w:val="008034F8"/>
    <w:rsid w:val="008036E7"/>
    <w:rsid w:val="008039C6"/>
    <w:rsid w:val="00803B94"/>
    <w:rsid w:val="00803FE8"/>
    <w:rsid w:val="008040EF"/>
    <w:rsid w:val="008040F2"/>
    <w:rsid w:val="008041BB"/>
    <w:rsid w:val="00804794"/>
    <w:rsid w:val="00804C4A"/>
    <w:rsid w:val="00804E37"/>
    <w:rsid w:val="00805053"/>
    <w:rsid w:val="0080523F"/>
    <w:rsid w:val="00805568"/>
    <w:rsid w:val="008055D6"/>
    <w:rsid w:val="00805677"/>
    <w:rsid w:val="008057B7"/>
    <w:rsid w:val="008057EC"/>
    <w:rsid w:val="00805990"/>
    <w:rsid w:val="00805A3D"/>
    <w:rsid w:val="00805A46"/>
    <w:rsid w:val="00805B57"/>
    <w:rsid w:val="00805DC4"/>
    <w:rsid w:val="00805EC6"/>
    <w:rsid w:val="00806370"/>
    <w:rsid w:val="008064CA"/>
    <w:rsid w:val="00806A1B"/>
    <w:rsid w:val="00806B33"/>
    <w:rsid w:val="00806F14"/>
    <w:rsid w:val="00806F20"/>
    <w:rsid w:val="008076EC"/>
    <w:rsid w:val="008077B4"/>
    <w:rsid w:val="00807AFB"/>
    <w:rsid w:val="00807D98"/>
    <w:rsid w:val="00807E5A"/>
    <w:rsid w:val="00808670"/>
    <w:rsid w:val="0081014A"/>
    <w:rsid w:val="008102ED"/>
    <w:rsid w:val="008105F3"/>
    <w:rsid w:val="0081080B"/>
    <w:rsid w:val="00810A72"/>
    <w:rsid w:val="00810B21"/>
    <w:rsid w:val="00810C1A"/>
    <w:rsid w:val="00810C5A"/>
    <w:rsid w:val="00810DCC"/>
    <w:rsid w:val="008112FC"/>
    <w:rsid w:val="00811906"/>
    <w:rsid w:val="00811B3C"/>
    <w:rsid w:val="00812033"/>
    <w:rsid w:val="0081238A"/>
    <w:rsid w:val="00812A04"/>
    <w:rsid w:val="0081300E"/>
    <w:rsid w:val="008132C7"/>
    <w:rsid w:val="00813507"/>
    <w:rsid w:val="00813AE1"/>
    <w:rsid w:val="00813F15"/>
    <w:rsid w:val="00814087"/>
    <w:rsid w:val="008141B7"/>
    <w:rsid w:val="00814356"/>
    <w:rsid w:val="008143FF"/>
    <w:rsid w:val="00814596"/>
    <w:rsid w:val="0081461C"/>
    <w:rsid w:val="00814797"/>
    <w:rsid w:val="008147EF"/>
    <w:rsid w:val="00814C8B"/>
    <w:rsid w:val="00814D09"/>
    <w:rsid w:val="00814DBE"/>
    <w:rsid w:val="00814FFE"/>
    <w:rsid w:val="00815241"/>
    <w:rsid w:val="008152C7"/>
    <w:rsid w:val="008153F2"/>
    <w:rsid w:val="0081564E"/>
    <w:rsid w:val="00815CEB"/>
    <w:rsid w:val="00815D02"/>
    <w:rsid w:val="00815D07"/>
    <w:rsid w:val="00815D17"/>
    <w:rsid w:val="00815E09"/>
    <w:rsid w:val="008160AB"/>
    <w:rsid w:val="008160FD"/>
    <w:rsid w:val="00816267"/>
    <w:rsid w:val="008162E1"/>
    <w:rsid w:val="00816365"/>
    <w:rsid w:val="00816387"/>
    <w:rsid w:val="008163D6"/>
    <w:rsid w:val="0081663B"/>
    <w:rsid w:val="00816817"/>
    <w:rsid w:val="00816898"/>
    <w:rsid w:val="00816A98"/>
    <w:rsid w:val="00816ACC"/>
    <w:rsid w:val="00816BAB"/>
    <w:rsid w:val="00816DFD"/>
    <w:rsid w:val="008174B5"/>
    <w:rsid w:val="00817562"/>
    <w:rsid w:val="008178F7"/>
    <w:rsid w:val="00817A40"/>
    <w:rsid w:val="00817AB7"/>
    <w:rsid w:val="00817BC0"/>
    <w:rsid w:val="00817F02"/>
    <w:rsid w:val="008200B1"/>
    <w:rsid w:val="00820474"/>
    <w:rsid w:val="008204A4"/>
    <w:rsid w:val="0082089C"/>
    <w:rsid w:val="00820A53"/>
    <w:rsid w:val="00820A76"/>
    <w:rsid w:val="00820B41"/>
    <w:rsid w:val="00820EE4"/>
    <w:rsid w:val="00821116"/>
    <w:rsid w:val="0082116F"/>
    <w:rsid w:val="0082135B"/>
    <w:rsid w:val="0082144F"/>
    <w:rsid w:val="00821506"/>
    <w:rsid w:val="00821773"/>
    <w:rsid w:val="00821ED0"/>
    <w:rsid w:val="00822105"/>
    <w:rsid w:val="008221FB"/>
    <w:rsid w:val="00822276"/>
    <w:rsid w:val="00822AD7"/>
    <w:rsid w:val="00822EA8"/>
    <w:rsid w:val="008234B2"/>
    <w:rsid w:val="008237F3"/>
    <w:rsid w:val="00823830"/>
    <w:rsid w:val="00823907"/>
    <w:rsid w:val="00823993"/>
    <w:rsid w:val="008239A0"/>
    <w:rsid w:val="00823C5E"/>
    <w:rsid w:val="00824AE9"/>
    <w:rsid w:val="00824BD1"/>
    <w:rsid w:val="00824BDE"/>
    <w:rsid w:val="00824C36"/>
    <w:rsid w:val="0082513B"/>
    <w:rsid w:val="008252DF"/>
    <w:rsid w:val="0082541D"/>
    <w:rsid w:val="0082569A"/>
    <w:rsid w:val="008258F2"/>
    <w:rsid w:val="00825BC2"/>
    <w:rsid w:val="00825DEB"/>
    <w:rsid w:val="00826042"/>
    <w:rsid w:val="008262AE"/>
    <w:rsid w:val="008262D5"/>
    <w:rsid w:val="00826318"/>
    <w:rsid w:val="008265E6"/>
    <w:rsid w:val="0082664D"/>
    <w:rsid w:val="0082673B"/>
    <w:rsid w:val="00826EE6"/>
    <w:rsid w:val="00826F15"/>
    <w:rsid w:val="008270F9"/>
    <w:rsid w:val="008274B2"/>
    <w:rsid w:val="008274CC"/>
    <w:rsid w:val="00827583"/>
    <w:rsid w:val="00827789"/>
    <w:rsid w:val="00827B81"/>
    <w:rsid w:val="00827C87"/>
    <w:rsid w:val="00830248"/>
    <w:rsid w:val="00830250"/>
    <w:rsid w:val="00830B23"/>
    <w:rsid w:val="0083100B"/>
    <w:rsid w:val="008310A4"/>
    <w:rsid w:val="0083129C"/>
    <w:rsid w:val="008312DE"/>
    <w:rsid w:val="00831589"/>
    <w:rsid w:val="008317F8"/>
    <w:rsid w:val="0083187F"/>
    <w:rsid w:val="00831A8B"/>
    <w:rsid w:val="00831B4D"/>
    <w:rsid w:val="00831BC4"/>
    <w:rsid w:val="00831DE3"/>
    <w:rsid w:val="00831E16"/>
    <w:rsid w:val="00831EC4"/>
    <w:rsid w:val="00831F26"/>
    <w:rsid w:val="0083256F"/>
    <w:rsid w:val="00832774"/>
    <w:rsid w:val="0083284B"/>
    <w:rsid w:val="00832BAB"/>
    <w:rsid w:val="00832BDC"/>
    <w:rsid w:val="00832BF9"/>
    <w:rsid w:val="00832E95"/>
    <w:rsid w:val="00833153"/>
    <w:rsid w:val="00833409"/>
    <w:rsid w:val="0083354D"/>
    <w:rsid w:val="00833987"/>
    <w:rsid w:val="00833989"/>
    <w:rsid w:val="008339EF"/>
    <w:rsid w:val="00833AD3"/>
    <w:rsid w:val="00833B1E"/>
    <w:rsid w:val="00833C15"/>
    <w:rsid w:val="00834011"/>
    <w:rsid w:val="0083419D"/>
    <w:rsid w:val="00834A13"/>
    <w:rsid w:val="00834DA6"/>
    <w:rsid w:val="00834F11"/>
    <w:rsid w:val="00835023"/>
    <w:rsid w:val="008351A8"/>
    <w:rsid w:val="008351C6"/>
    <w:rsid w:val="008355DB"/>
    <w:rsid w:val="00835CA3"/>
    <w:rsid w:val="00835D1E"/>
    <w:rsid w:val="00836000"/>
    <w:rsid w:val="0083635F"/>
    <w:rsid w:val="00836392"/>
    <w:rsid w:val="008363DB"/>
    <w:rsid w:val="008367DC"/>
    <w:rsid w:val="0083693C"/>
    <w:rsid w:val="008369FF"/>
    <w:rsid w:val="00836D78"/>
    <w:rsid w:val="00836DCE"/>
    <w:rsid w:val="00836F11"/>
    <w:rsid w:val="0083713C"/>
    <w:rsid w:val="0083738E"/>
    <w:rsid w:val="00837557"/>
    <w:rsid w:val="00837E1E"/>
    <w:rsid w:val="008407F2"/>
    <w:rsid w:val="00840893"/>
    <w:rsid w:val="00840C57"/>
    <w:rsid w:val="00840C63"/>
    <w:rsid w:val="008410AD"/>
    <w:rsid w:val="00841353"/>
    <w:rsid w:val="008414BD"/>
    <w:rsid w:val="0084153F"/>
    <w:rsid w:val="008416C9"/>
    <w:rsid w:val="0084195A"/>
    <w:rsid w:val="00841B3C"/>
    <w:rsid w:val="00841CB4"/>
    <w:rsid w:val="00841CF0"/>
    <w:rsid w:val="00841E86"/>
    <w:rsid w:val="0084210C"/>
    <w:rsid w:val="0084243A"/>
    <w:rsid w:val="00842568"/>
    <w:rsid w:val="00842C8C"/>
    <w:rsid w:val="00842DA0"/>
    <w:rsid w:val="00842E99"/>
    <w:rsid w:val="0084300E"/>
    <w:rsid w:val="00843217"/>
    <w:rsid w:val="0084333C"/>
    <w:rsid w:val="008434A4"/>
    <w:rsid w:val="008434E9"/>
    <w:rsid w:val="00843523"/>
    <w:rsid w:val="008439A7"/>
    <w:rsid w:val="00843C15"/>
    <w:rsid w:val="00843D01"/>
    <w:rsid w:val="008440DE"/>
    <w:rsid w:val="00844106"/>
    <w:rsid w:val="008441F8"/>
    <w:rsid w:val="00844383"/>
    <w:rsid w:val="00844404"/>
    <w:rsid w:val="008445A8"/>
    <w:rsid w:val="008445CD"/>
    <w:rsid w:val="00844ABD"/>
    <w:rsid w:val="00845AA9"/>
    <w:rsid w:val="00845BE0"/>
    <w:rsid w:val="00845D33"/>
    <w:rsid w:val="00845D90"/>
    <w:rsid w:val="008464E0"/>
    <w:rsid w:val="0084650D"/>
    <w:rsid w:val="008469A2"/>
    <w:rsid w:val="00846B5A"/>
    <w:rsid w:val="00846B85"/>
    <w:rsid w:val="00846B87"/>
    <w:rsid w:val="00846F36"/>
    <w:rsid w:val="00847019"/>
    <w:rsid w:val="008470E0"/>
    <w:rsid w:val="00847216"/>
    <w:rsid w:val="00847AD0"/>
    <w:rsid w:val="00847C47"/>
    <w:rsid w:val="00847CB7"/>
    <w:rsid w:val="00847EDF"/>
    <w:rsid w:val="008501F5"/>
    <w:rsid w:val="008502E2"/>
    <w:rsid w:val="00850587"/>
    <w:rsid w:val="00850E15"/>
    <w:rsid w:val="00850F90"/>
    <w:rsid w:val="00851163"/>
    <w:rsid w:val="00851360"/>
    <w:rsid w:val="008515B7"/>
    <w:rsid w:val="008517F7"/>
    <w:rsid w:val="008518BC"/>
    <w:rsid w:val="00851A1B"/>
    <w:rsid w:val="00851A9C"/>
    <w:rsid w:val="00851D02"/>
    <w:rsid w:val="00852065"/>
    <w:rsid w:val="008521EB"/>
    <w:rsid w:val="0085236B"/>
    <w:rsid w:val="0085251D"/>
    <w:rsid w:val="00852625"/>
    <w:rsid w:val="008526EE"/>
    <w:rsid w:val="008527FE"/>
    <w:rsid w:val="00852BAF"/>
    <w:rsid w:val="00852DC2"/>
    <w:rsid w:val="00852E50"/>
    <w:rsid w:val="008532BF"/>
    <w:rsid w:val="00853576"/>
    <w:rsid w:val="0085359B"/>
    <w:rsid w:val="00853D40"/>
    <w:rsid w:val="00854176"/>
    <w:rsid w:val="00854278"/>
    <w:rsid w:val="008543BB"/>
    <w:rsid w:val="008548FF"/>
    <w:rsid w:val="0085493B"/>
    <w:rsid w:val="00854B79"/>
    <w:rsid w:val="00854D0F"/>
    <w:rsid w:val="00854D47"/>
    <w:rsid w:val="00854DCC"/>
    <w:rsid w:val="00854FBC"/>
    <w:rsid w:val="008553F3"/>
    <w:rsid w:val="0085544A"/>
    <w:rsid w:val="008555D9"/>
    <w:rsid w:val="00855622"/>
    <w:rsid w:val="00855649"/>
    <w:rsid w:val="008556F5"/>
    <w:rsid w:val="00855766"/>
    <w:rsid w:val="00855946"/>
    <w:rsid w:val="00855C12"/>
    <w:rsid w:val="00855EAA"/>
    <w:rsid w:val="00855F5B"/>
    <w:rsid w:val="008565EA"/>
    <w:rsid w:val="00856699"/>
    <w:rsid w:val="008567A9"/>
    <w:rsid w:val="008569B9"/>
    <w:rsid w:val="00856D3E"/>
    <w:rsid w:val="00856F15"/>
    <w:rsid w:val="00856FCF"/>
    <w:rsid w:val="008570CD"/>
    <w:rsid w:val="0085733B"/>
    <w:rsid w:val="00857365"/>
    <w:rsid w:val="008574AE"/>
    <w:rsid w:val="0085751C"/>
    <w:rsid w:val="00857920"/>
    <w:rsid w:val="00857D66"/>
    <w:rsid w:val="00857DE0"/>
    <w:rsid w:val="008600CE"/>
    <w:rsid w:val="0086036C"/>
    <w:rsid w:val="008608D3"/>
    <w:rsid w:val="008608E0"/>
    <w:rsid w:val="00860A6E"/>
    <w:rsid w:val="00860ABC"/>
    <w:rsid w:val="00860B46"/>
    <w:rsid w:val="00860C29"/>
    <w:rsid w:val="00860D83"/>
    <w:rsid w:val="00860FC5"/>
    <w:rsid w:val="00861084"/>
    <w:rsid w:val="0086131D"/>
    <w:rsid w:val="00861372"/>
    <w:rsid w:val="00861809"/>
    <w:rsid w:val="00861A1E"/>
    <w:rsid w:val="00861C45"/>
    <w:rsid w:val="00861D39"/>
    <w:rsid w:val="00861DF1"/>
    <w:rsid w:val="00862323"/>
    <w:rsid w:val="00862364"/>
    <w:rsid w:val="00862873"/>
    <w:rsid w:val="00862886"/>
    <w:rsid w:val="00862D8F"/>
    <w:rsid w:val="0086357C"/>
    <w:rsid w:val="00863877"/>
    <w:rsid w:val="00863918"/>
    <w:rsid w:val="00863A0D"/>
    <w:rsid w:val="00864019"/>
    <w:rsid w:val="00864373"/>
    <w:rsid w:val="008646C7"/>
    <w:rsid w:val="0086488C"/>
    <w:rsid w:val="00864947"/>
    <w:rsid w:val="00864DBC"/>
    <w:rsid w:val="00864DE0"/>
    <w:rsid w:val="00864E08"/>
    <w:rsid w:val="00864F6E"/>
    <w:rsid w:val="00864F97"/>
    <w:rsid w:val="0086513E"/>
    <w:rsid w:val="008651D0"/>
    <w:rsid w:val="0086532F"/>
    <w:rsid w:val="00865505"/>
    <w:rsid w:val="0086648C"/>
    <w:rsid w:val="008668D8"/>
    <w:rsid w:val="00866A6C"/>
    <w:rsid w:val="00866B7F"/>
    <w:rsid w:val="00866F42"/>
    <w:rsid w:val="00867114"/>
    <w:rsid w:val="0086712E"/>
    <w:rsid w:val="008674AD"/>
    <w:rsid w:val="0086750F"/>
    <w:rsid w:val="008678A4"/>
    <w:rsid w:val="00867F3E"/>
    <w:rsid w:val="008700F7"/>
    <w:rsid w:val="00870190"/>
    <w:rsid w:val="00870646"/>
    <w:rsid w:val="00870677"/>
    <w:rsid w:val="008706DB"/>
    <w:rsid w:val="0087096D"/>
    <w:rsid w:val="008709BC"/>
    <w:rsid w:val="00870AE0"/>
    <w:rsid w:val="008710A9"/>
    <w:rsid w:val="00871237"/>
    <w:rsid w:val="008712A9"/>
    <w:rsid w:val="008714F0"/>
    <w:rsid w:val="008716C1"/>
    <w:rsid w:val="0087171A"/>
    <w:rsid w:val="00871784"/>
    <w:rsid w:val="00871C38"/>
    <w:rsid w:val="00871E7B"/>
    <w:rsid w:val="00871EC0"/>
    <w:rsid w:val="00871ED9"/>
    <w:rsid w:val="008720B6"/>
    <w:rsid w:val="008722C0"/>
    <w:rsid w:val="0087298E"/>
    <w:rsid w:val="00872A27"/>
    <w:rsid w:val="00872EB5"/>
    <w:rsid w:val="008732F1"/>
    <w:rsid w:val="00873790"/>
    <w:rsid w:val="008739CD"/>
    <w:rsid w:val="00873C20"/>
    <w:rsid w:val="00873C55"/>
    <w:rsid w:val="00873CD3"/>
    <w:rsid w:val="00873D57"/>
    <w:rsid w:val="00873D63"/>
    <w:rsid w:val="0087440D"/>
    <w:rsid w:val="00874543"/>
    <w:rsid w:val="00874E97"/>
    <w:rsid w:val="00874F9A"/>
    <w:rsid w:val="0087537D"/>
    <w:rsid w:val="008753EF"/>
    <w:rsid w:val="008759CC"/>
    <w:rsid w:val="00875B50"/>
    <w:rsid w:val="00875CEE"/>
    <w:rsid w:val="00875E55"/>
    <w:rsid w:val="00876957"/>
    <w:rsid w:val="00877155"/>
    <w:rsid w:val="008773B7"/>
    <w:rsid w:val="008775AD"/>
    <w:rsid w:val="00877AE3"/>
    <w:rsid w:val="00877B52"/>
    <w:rsid w:val="00877BF2"/>
    <w:rsid w:val="00880007"/>
    <w:rsid w:val="008800D2"/>
    <w:rsid w:val="008801F5"/>
    <w:rsid w:val="00880266"/>
    <w:rsid w:val="008803F4"/>
    <w:rsid w:val="0088066D"/>
    <w:rsid w:val="00880930"/>
    <w:rsid w:val="00880A93"/>
    <w:rsid w:val="00880AE1"/>
    <w:rsid w:val="00880C53"/>
    <w:rsid w:val="00880C64"/>
    <w:rsid w:val="00880CD1"/>
    <w:rsid w:val="008812A4"/>
    <w:rsid w:val="00881322"/>
    <w:rsid w:val="00881823"/>
    <w:rsid w:val="00881A52"/>
    <w:rsid w:val="00881BB9"/>
    <w:rsid w:val="00881BDD"/>
    <w:rsid w:val="00881D1C"/>
    <w:rsid w:val="00881D55"/>
    <w:rsid w:val="0088225D"/>
    <w:rsid w:val="008822B3"/>
    <w:rsid w:val="008824EC"/>
    <w:rsid w:val="0088252B"/>
    <w:rsid w:val="008829E7"/>
    <w:rsid w:val="00882CC0"/>
    <w:rsid w:val="00882CFC"/>
    <w:rsid w:val="00883350"/>
    <w:rsid w:val="00883A85"/>
    <w:rsid w:val="00883C58"/>
    <w:rsid w:val="00883D5A"/>
    <w:rsid w:val="00883DC5"/>
    <w:rsid w:val="00883F6F"/>
    <w:rsid w:val="008840B3"/>
    <w:rsid w:val="008845A0"/>
    <w:rsid w:val="00884636"/>
    <w:rsid w:val="00884759"/>
    <w:rsid w:val="00884C85"/>
    <w:rsid w:val="00884C95"/>
    <w:rsid w:val="00884D8F"/>
    <w:rsid w:val="0088501E"/>
    <w:rsid w:val="00885215"/>
    <w:rsid w:val="008852C1"/>
    <w:rsid w:val="0088539C"/>
    <w:rsid w:val="008855E4"/>
    <w:rsid w:val="00885ADA"/>
    <w:rsid w:val="00885F85"/>
    <w:rsid w:val="008860E4"/>
    <w:rsid w:val="00886254"/>
    <w:rsid w:val="008865CD"/>
    <w:rsid w:val="008865E8"/>
    <w:rsid w:val="008867CE"/>
    <w:rsid w:val="008869B4"/>
    <w:rsid w:val="008869CC"/>
    <w:rsid w:val="00886A09"/>
    <w:rsid w:val="00886BC0"/>
    <w:rsid w:val="00887255"/>
    <w:rsid w:val="0088729F"/>
    <w:rsid w:val="00887319"/>
    <w:rsid w:val="008873FD"/>
    <w:rsid w:val="00887585"/>
    <w:rsid w:val="00887750"/>
    <w:rsid w:val="00887795"/>
    <w:rsid w:val="008877DA"/>
    <w:rsid w:val="008877EC"/>
    <w:rsid w:val="008877F3"/>
    <w:rsid w:val="00887AAA"/>
    <w:rsid w:val="00887D62"/>
    <w:rsid w:val="00887D92"/>
    <w:rsid w:val="00887DE9"/>
    <w:rsid w:val="00887F42"/>
    <w:rsid w:val="00890077"/>
    <w:rsid w:val="0089008A"/>
    <w:rsid w:val="00890140"/>
    <w:rsid w:val="00890411"/>
    <w:rsid w:val="008904FC"/>
    <w:rsid w:val="008907E0"/>
    <w:rsid w:val="00890AD3"/>
    <w:rsid w:val="00890D0C"/>
    <w:rsid w:val="00890E14"/>
    <w:rsid w:val="00891133"/>
    <w:rsid w:val="00891250"/>
    <w:rsid w:val="008914BB"/>
    <w:rsid w:val="008915E2"/>
    <w:rsid w:val="008917BC"/>
    <w:rsid w:val="0089187C"/>
    <w:rsid w:val="00891A1E"/>
    <w:rsid w:val="00891AEE"/>
    <w:rsid w:val="00891FA1"/>
    <w:rsid w:val="0089204F"/>
    <w:rsid w:val="00892652"/>
    <w:rsid w:val="008927CF"/>
    <w:rsid w:val="008929F7"/>
    <w:rsid w:val="00892D88"/>
    <w:rsid w:val="00892F92"/>
    <w:rsid w:val="008939BD"/>
    <w:rsid w:val="00893A14"/>
    <w:rsid w:val="00893B87"/>
    <w:rsid w:val="00893BEB"/>
    <w:rsid w:val="00894179"/>
    <w:rsid w:val="00894552"/>
    <w:rsid w:val="0089469A"/>
    <w:rsid w:val="0089470F"/>
    <w:rsid w:val="00894B5A"/>
    <w:rsid w:val="00894C57"/>
    <w:rsid w:val="00894E5D"/>
    <w:rsid w:val="00895377"/>
    <w:rsid w:val="00895481"/>
    <w:rsid w:val="00895AEF"/>
    <w:rsid w:val="00895E0F"/>
    <w:rsid w:val="008961AF"/>
    <w:rsid w:val="0089643A"/>
    <w:rsid w:val="00896472"/>
    <w:rsid w:val="00896BAB"/>
    <w:rsid w:val="00896BFB"/>
    <w:rsid w:val="00896C60"/>
    <w:rsid w:val="00896D76"/>
    <w:rsid w:val="00896FEA"/>
    <w:rsid w:val="00897045"/>
    <w:rsid w:val="0089713B"/>
    <w:rsid w:val="00897773"/>
    <w:rsid w:val="00897944"/>
    <w:rsid w:val="008A0022"/>
    <w:rsid w:val="008A0369"/>
    <w:rsid w:val="008A0A0B"/>
    <w:rsid w:val="008A0F60"/>
    <w:rsid w:val="008A0F99"/>
    <w:rsid w:val="008A1230"/>
    <w:rsid w:val="008A14DD"/>
    <w:rsid w:val="008A1A33"/>
    <w:rsid w:val="008A1C0F"/>
    <w:rsid w:val="008A1D63"/>
    <w:rsid w:val="008A1E15"/>
    <w:rsid w:val="008A225A"/>
    <w:rsid w:val="008A229A"/>
    <w:rsid w:val="008A289C"/>
    <w:rsid w:val="008A2B23"/>
    <w:rsid w:val="008A3075"/>
    <w:rsid w:val="008A30EE"/>
    <w:rsid w:val="008A3119"/>
    <w:rsid w:val="008A32CD"/>
    <w:rsid w:val="008A3421"/>
    <w:rsid w:val="008A34BB"/>
    <w:rsid w:val="008A3507"/>
    <w:rsid w:val="008A36C8"/>
    <w:rsid w:val="008A38D7"/>
    <w:rsid w:val="008A391D"/>
    <w:rsid w:val="008A3BB6"/>
    <w:rsid w:val="008A401C"/>
    <w:rsid w:val="008A4088"/>
    <w:rsid w:val="008A432D"/>
    <w:rsid w:val="008A45AE"/>
    <w:rsid w:val="008A475E"/>
    <w:rsid w:val="008A4EDE"/>
    <w:rsid w:val="008A5008"/>
    <w:rsid w:val="008A5218"/>
    <w:rsid w:val="008A5451"/>
    <w:rsid w:val="008A580B"/>
    <w:rsid w:val="008A589B"/>
    <w:rsid w:val="008A5CCF"/>
    <w:rsid w:val="008A5F2B"/>
    <w:rsid w:val="008A60FB"/>
    <w:rsid w:val="008A6216"/>
    <w:rsid w:val="008A62E3"/>
    <w:rsid w:val="008A638B"/>
    <w:rsid w:val="008A6407"/>
    <w:rsid w:val="008A6555"/>
    <w:rsid w:val="008A67A2"/>
    <w:rsid w:val="008A67CA"/>
    <w:rsid w:val="008A699E"/>
    <w:rsid w:val="008A6A73"/>
    <w:rsid w:val="008A6A7B"/>
    <w:rsid w:val="008A6EB6"/>
    <w:rsid w:val="008A75AC"/>
    <w:rsid w:val="008A78D8"/>
    <w:rsid w:val="008A7B46"/>
    <w:rsid w:val="008A7C2E"/>
    <w:rsid w:val="008A7D8C"/>
    <w:rsid w:val="008A7E0A"/>
    <w:rsid w:val="008AB4B3"/>
    <w:rsid w:val="008B0376"/>
    <w:rsid w:val="008B05FB"/>
    <w:rsid w:val="008B067D"/>
    <w:rsid w:val="008B0775"/>
    <w:rsid w:val="008B0D6D"/>
    <w:rsid w:val="008B0ECE"/>
    <w:rsid w:val="008B10E2"/>
    <w:rsid w:val="008B1125"/>
    <w:rsid w:val="008B1423"/>
    <w:rsid w:val="008B1481"/>
    <w:rsid w:val="008B14E7"/>
    <w:rsid w:val="008B14FE"/>
    <w:rsid w:val="008B150A"/>
    <w:rsid w:val="008B158B"/>
    <w:rsid w:val="008B1756"/>
    <w:rsid w:val="008B1B6D"/>
    <w:rsid w:val="008B1D0F"/>
    <w:rsid w:val="008B1DE1"/>
    <w:rsid w:val="008B1F55"/>
    <w:rsid w:val="008B20B9"/>
    <w:rsid w:val="008B2581"/>
    <w:rsid w:val="008B25FB"/>
    <w:rsid w:val="008B262C"/>
    <w:rsid w:val="008B292E"/>
    <w:rsid w:val="008B2951"/>
    <w:rsid w:val="008B2DBA"/>
    <w:rsid w:val="008B2E3C"/>
    <w:rsid w:val="008B3199"/>
    <w:rsid w:val="008B3571"/>
    <w:rsid w:val="008B37E9"/>
    <w:rsid w:val="008B384F"/>
    <w:rsid w:val="008B3952"/>
    <w:rsid w:val="008B395D"/>
    <w:rsid w:val="008B3A8E"/>
    <w:rsid w:val="008B3AB8"/>
    <w:rsid w:val="008B3AD9"/>
    <w:rsid w:val="008B3B70"/>
    <w:rsid w:val="008B3CC2"/>
    <w:rsid w:val="008B3DD0"/>
    <w:rsid w:val="008B44EE"/>
    <w:rsid w:val="008B45B5"/>
    <w:rsid w:val="008B49F7"/>
    <w:rsid w:val="008B4D7C"/>
    <w:rsid w:val="008B4FAA"/>
    <w:rsid w:val="008B5156"/>
    <w:rsid w:val="008B565E"/>
    <w:rsid w:val="008B5704"/>
    <w:rsid w:val="008B57C8"/>
    <w:rsid w:val="008B57C9"/>
    <w:rsid w:val="008B5ED7"/>
    <w:rsid w:val="008B63A5"/>
    <w:rsid w:val="008B6516"/>
    <w:rsid w:val="008B6553"/>
    <w:rsid w:val="008B65A3"/>
    <w:rsid w:val="008B6897"/>
    <w:rsid w:val="008B6A76"/>
    <w:rsid w:val="008B6B10"/>
    <w:rsid w:val="008B708F"/>
    <w:rsid w:val="008B7175"/>
    <w:rsid w:val="008B7317"/>
    <w:rsid w:val="008B74E9"/>
    <w:rsid w:val="008B76A9"/>
    <w:rsid w:val="008B7BB6"/>
    <w:rsid w:val="008B7E1E"/>
    <w:rsid w:val="008B7E4E"/>
    <w:rsid w:val="008C02B0"/>
    <w:rsid w:val="008C0352"/>
    <w:rsid w:val="008C07F4"/>
    <w:rsid w:val="008C0959"/>
    <w:rsid w:val="008C09A6"/>
    <w:rsid w:val="008C0F23"/>
    <w:rsid w:val="008C10F9"/>
    <w:rsid w:val="008C1369"/>
    <w:rsid w:val="008C15A1"/>
    <w:rsid w:val="008C1684"/>
    <w:rsid w:val="008C17F0"/>
    <w:rsid w:val="008C183B"/>
    <w:rsid w:val="008C1A40"/>
    <w:rsid w:val="008C1A99"/>
    <w:rsid w:val="008C1F1A"/>
    <w:rsid w:val="008C1F81"/>
    <w:rsid w:val="008C2374"/>
    <w:rsid w:val="008C246E"/>
    <w:rsid w:val="008C2B68"/>
    <w:rsid w:val="008C2BC6"/>
    <w:rsid w:val="008C2EC5"/>
    <w:rsid w:val="008C3019"/>
    <w:rsid w:val="008C3043"/>
    <w:rsid w:val="008C3435"/>
    <w:rsid w:val="008C39B9"/>
    <w:rsid w:val="008C3A81"/>
    <w:rsid w:val="008C3A9C"/>
    <w:rsid w:val="008C3C7C"/>
    <w:rsid w:val="008C4006"/>
    <w:rsid w:val="008C4177"/>
    <w:rsid w:val="008C4301"/>
    <w:rsid w:val="008C4A88"/>
    <w:rsid w:val="008C4C52"/>
    <w:rsid w:val="008C54C0"/>
    <w:rsid w:val="008C5688"/>
    <w:rsid w:val="008C5898"/>
    <w:rsid w:val="008C5990"/>
    <w:rsid w:val="008C5BFE"/>
    <w:rsid w:val="008C5D2C"/>
    <w:rsid w:val="008C6168"/>
    <w:rsid w:val="008C61BC"/>
    <w:rsid w:val="008C6B01"/>
    <w:rsid w:val="008C6B35"/>
    <w:rsid w:val="008C6BFF"/>
    <w:rsid w:val="008C6C40"/>
    <w:rsid w:val="008C6D5B"/>
    <w:rsid w:val="008C6FF6"/>
    <w:rsid w:val="008C7133"/>
    <w:rsid w:val="008C747D"/>
    <w:rsid w:val="008C7688"/>
    <w:rsid w:val="008C76DB"/>
    <w:rsid w:val="008C781F"/>
    <w:rsid w:val="008C79CF"/>
    <w:rsid w:val="008C7A7A"/>
    <w:rsid w:val="008D00B3"/>
    <w:rsid w:val="008D01DB"/>
    <w:rsid w:val="008D069D"/>
    <w:rsid w:val="008D0C5B"/>
    <w:rsid w:val="008D0EEA"/>
    <w:rsid w:val="008D0FB2"/>
    <w:rsid w:val="008D1447"/>
    <w:rsid w:val="008D161D"/>
    <w:rsid w:val="008D1771"/>
    <w:rsid w:val="008D1824"/>
    <w:rsid w:val="008D19B3"/>
    <w:rsid w:val="008D204F"/>
    <w:rsid w:val="008D20FB"/>
    <w:rsid w:val="008D2731"/>
    <w:rsid w:val="008D2754"/>
    <w:rsid w:val="008D2838"/>
    <w:rsid w:val="008D2A46"/>
    <w:rsid w:val="008D2B39"/>
    <w:rsid w:val="008D2DC1"/>
    <w:rsid w:val="008D39E3"/>
    <w:rsid w:val="008D39EB"/>
    <w:rsid w:val="008D3A58"/>
    <w:rsid w:val="008D3DEA"/>
    <w:rsid w:val="008D3E0B"/>
    <w:rsid w:val="008D4185"/>
    <w:rsid w:val="008D4380"/>
    <w:rsid w:val="008D43CE"/>
    <w:rsid w:val="008D4590"/>
    <w:rsid w:val="008D4CFC"/>
    <w:rsid w:val="008D4F51"/>
    <w:rsid w:val="008D512B"/>
    <w:rsid w:val="008D517C"/>
    <w:rsid w:val="008D51CD"/>
    <w:rsid w:val="008D5757"/>
    <w:rsid w:val="008D5B73"/>
    <w:rsid w:val="008D5C83"/>
    <w:rsid w:val="008D612E"/>
    <w:rsid w:val="008D6A75"/>
    <w:rsid w:val="008D6BD4"/>
    <w:rsid w:val="008D6C29"/>
    <w:rsid w:val="008D6D1F"/>
    <w:rsid w:val="008D6DAF"/>
    <w:rsid w:val="008D728F"/>
    <w:rsid w:val="008D738C"/>
    <w:rsid w:val="008D75CE"/>
    <w:rsid w:val="008D7AFC"/>
    <w:rsid w:val="008D7B63"/>
    <w:rsid w:val="008D7EAC"/>
    <w:rsid w:val="008D7F6F"/>
    <w:rsid w:val="008E00E2"/>
    <w:rsid w:val="008E15C8"/>
    <w:rsid w:val="008E17DA"/>
    <w:rsid w:val="008E1A68"/>
    <w:rsid w:val="008E1AC0"/>
    <w:rsid w:val="008E1C02"/>
    <w:rsid w:val="008E1E41"/>
    <w:rsid w:val="008E200D"/>
    <w:rsid w:val="008E264D"/>
    <w:rsid w:val="008E26BF"/>
    <w:rsid w:val="008E2715"/>
    <w:rsid w:val="008E296E"/>
    <w:rsid w:val="008E2986"/>
    <w:rsid w:val="008E29FD"/>
    <w:rsid w:val="008E2E01"/>
    <w:rsid w:val="008E2E99"/>
    <w:rsid w:val="008E2EAA"/>
    <w:rsid w:val="008E31C6"/>
    <w:rsid w:val="008E3311"/>
    <w:rsid w:val="008E3338"/>
    <w:rsid w:val="008E356E"/>
    <w:rsid w:val="008E389C"/>
    <w:rsid w:val="008E3960"/>
    <w:rsid w:val="008E4233"/>
    <w:rsid w:val="008E433B"/>
    <w:rsid w:val="008E494E"/>
    <w:rsid w:val="008E4B18"/>
    <w:rsid w:val="008E4BFD"/>
    <w:rsid w:val="008E4F38"/>
    <w:rsid w:val="008E4F43"/>
    <w:rsid w:val="008E5031"/>
    <w:rsid w:val="008E50B4"/>
    <w:rsid w:val="008E5233"/>
    <w:rsid w:val="008E5967"/>
    <w:rsid w:val="008E5EA0"/>
    <w:rsid w:val="008E6442"/>
    <w:rsid w:val="008E64D1"/>
    <w:rsid w:val="008E6CA2"/>
    <w:rsid w:val="008E6D51"/>
    <w:rsid w:val="008E6E73"/>
    <w:rsid w:val="008E6ED7"/>
    <w:rsid w:val="008E73B2"/>
    <w:rsid w:val="008E740E"/>
    <w:rsid w:val="008E7447"/>
    <w:rsid w:val="008E7453"/>
    <w:rsid w:val="008E74EE"/>
    <w:rsid w:val="008E7659"/>
    <w:rsid w:val="008E7759"/>
    <w:rsid w:val="008E7CB4"/>
    <w:rsid w:val="008E7D50"/>
    <w:rsid w:val="008EAF03"/>
    <w:rsid w:val="008F0AF1"/>
    <w:rsid w:val="008F0D79"/>
    <w:rsid w:val="008F1062"/>
    <w:rsid w:val="008F11DF"/>
    <w:rsid w:val="008F1398"/>
    <w:rsid w:val="008F13C1"/>
    <w:rsid w:val="008F14A2"/>
    <w:rsid w:val="008F19D2"/>
    <w:rsid w:val="008F1AEA"/>
    <w:rsid w:val="008F1B30"/>
    <w:rsid w:val="008F1EE5"/>
    <w:rsid w:val="008F2275"/>
    <w:rsid w:val="008F23E8"/>
    <w:rsid w:val="008F24C5"/>
    <w:rsid w:val="008F2BCC"/>
    <w:rsid w:val="008F2F68"/>
    <w:rsid w:val="008F3041"/>
    <w:rsid w:val="008F3204"/>
    <w:rsid w:val="008F329B"/>
    <w:rsid w:val="008F32B7"/>
    <w:rsid w:val="008F3383"/>
    <w:rsid w:val="008F3A54"/>
    <w:rsid w:val="008F3C24"/>
    <w:rsid w:val="008F3FBF"/>
    <w:rsid w:val="008F4040"/>
    <w:rsid w:val="008F411C"/>
    <w:rsid w:val="008F414E"/>
    <w:rsid w:val="008F42EB"/>
    <w:rsid w:val="008F4703"/>
    <w:rsid w:val="008F4DBC"/>
    <w:rsid w:val="008F4E62"/>
    <w:rsid w:val="008F4EFC"/>
    <w:rsid w:val="008F4F59"/>
    <w:rsid w:val="008F51B6"/>
    <w:rsid w:val="008F543D"/>
    <w:rsid w:val="008F54DF"/>
    <w:rsid w:val="008F5542"/>
    <w:rsid w:val="008F5764"/>
    <w:rsid w:val="008F5FD0"/>
    <w:rsid w:val="008F627B"/>
    <w:rsid w:val="008F627E"/>
    <w:rsid w:val="008F67B7"/>
    <w:rsid w:val="008F6C0E"/>
    <w:rsid w:val="008F6C13"/>
    <w:rsid w:val="008F6FED"/>
    <w:rsid w:val="008F7172"/>
    <w:rsid w:val="008F7175"/>
    <w:rsid w:val="008F719F"/>
    <w:rsid w:val="008F73EA"/>
    <w:rsid w:val="008F763A"/>
    <w:rsid w:val="008F7A94"/>
    <w:rsid w:val="008F7B7B"/>
    <w:rsid w:val="008F7CC2"/>
    <w:rsid w:val="00900861"/>
    <w:rsid w:val="00900AFA"/>
    <w:rsid w:val="00900C63"/>
    <w:rsid w:val="00900CEE"/>
    <w:rsid w:val="00900D47"/>
    <w:rsid w:val="00900FA4"/>
    <w:rsid w:val="0090114A"/>
    <w:rsid w:val="00901281"/>
    <w:rsid w:val="00901D10"/>
    <w:rsid w:val="00901D1C"/>
    <w:rsid w:val="00901DB8"/>
    <w:rsid w:val="00902049"/>
    <w:rsid w:val="0090248F"/>
    <w:rsid w:val="009027B9"/>
    <w:rsid w:val="00902846"/>
    <w:rsid w:val="0090284F"/>
    <w:rsid w:val="009028A0"/>
    <w:rsid w:val="00902FD1"/>
    <w:rsid w:val="009030F0"/>
    <w:rsid w:val="00903107"/>
    <w:rsid w:val="009032BD"/>
    <w:rsid w:val="00903333"/>
    <w:rsid w:val="00903A5C"/>
    <w:rsid w:val="00903F23"/>
    <w:rsid w:val="00904052"/>
    <w:rsid w:val="009040AE"/>
    <w:rsid w:val="009046E8"/>
    <w:rsid w:val="00904701"/>
    <w:rsid w:val="0090472F"/>
    <w:rsid w:val="00904937"/>
    <w:rsid w:val="00904C71"/>
    <w:rsid w:val="0090532C"/>
    <w:rsid w:val="0090548D"/>
    <w:rsid w:val="009054DF"/>
    <w:rsid w:val="009058D8"/>
    <w:rsid w:val="00905A4D"/>
    <w:rsid w:val="00905D5B"/>
    <w:rsid w:val="00905DA5"/>
    <w:rsid w:val="009061BD"/>
    <w:rsid w:val="009063B7"/>
    <w:rsid w:val="00906402"/>
    <w:rsid w:val="0090652E"/>
    <w:rsid w:val="009067D4"/>
    <w:rsid w:val="009069E9"/>
    <w:rsid w:val="00906BDB"/>
    <w:rsid w:val="00906C5B"/>
    <w:rsid w:val="00906EB5"/>
    <w:rsid w:val="00906FEA"/>
    <w:rsid w:val="0090710F"/>
    <w:rsid w:val="009076C4"/>
    <w:rsid w:val="00907782"/>
    <w:rsid w:val="009078BC"/>
    <w:rsid w:val="00907EBA"/>
    <w:rsid w:val="009100F3"/>
    <w:rsid w:val="00910698"/>
    <w:rsid w:val="009108D9"/>
    <w:rsid w:val="00910C15"/>
    <w:rsid w:val="00910CD6"/>
    <w:rsid w:val="00910F37"/>
    <w:rsid w:val="0091106B"/>
    <w:rsid w:val="00911214"/>
    <w:rsid w:val="00911246"/>
    <w:rsid w:val="009113D0"/>
    <w:rsid w:val="00911578"/>
    <w:rsid w:val="00911682"/>
    <w:rsid w:val="00911A51"/>
    <w:rsid w:val="00911F03"/>
    <w:rsid w:val="009120A4"/>
    <w:rsid w:val="00912398"/>
    <w:rsid w:val="0091252B"/>
    <w:rsid w:val="00912A02"/>
    <w:rsid w:val="00912B92"/>
    <w:rsid w:val="00912BB5"/>
    <w:rsid w:val="00912EFF"/>
    <w:rsid w:val="00913070"/>
    <w:rsid w:val="009137B3"/>
    <w:rsid w:val="00913927"/>
    <w:rsid w:val="00913D27"/>
    <w:rsid w:val="00913DF7"/>
    <w:rsid w:val="00913F15"/>
    <w:rsid w:val="00913FCF"/>
    <w:rsid w:val="00914010"/>
    <w:rsid w:val="0091441C"/>
    <w:rsid w:val="0091457A"/>
    <w:rsid w:val="00914679"/>
    <w:rsid w:val="0091485E"/>
    <w:rsid w:val="00914B2A"/>
    <w:rsid w:val="00914C7C"/>
    <w:rsid w:val="00914D33"/>
    <w:rsid w:val="00914E47"/>
    <w:rsid w:val="00915157"/>
    <w:rsid w:val="00915305"/>
    <w:rsid w:val="00915352"/>
    <w:rsid w:val="00915A5C"/>
    <w:rsid w:val="00915AB1"/>
    <w:rsid w:val="00915F52"/>
    <w:rsid w:val="0091615B"/>
    <w:rsid w:val="009161F2"/>
    <w:rsid w:val="009164CA"/>
    <w:rsid w:val="00916965"/>
    <w:rsid w:val="00916C21"/>
    <w:rsid w:val="009171E2"/>
    <w:rsid w:val="00917490"/>
    <w:rsid w:val="009175EB"/>
    <w:rsid w:val="00917844"/>
    <w:rsid w:val="00917B6C"/>
    <w:rsid w:val="009201F4"/>
    <w:rsid w:val="009205D7"/>
    <w:rsid w:val="00920678"/>
    <w:rsid w:val="009209A1"/>
    <w:rsid w:val="00920C8E"/>
    <w:rsid w:val="00920D28"/>
    <w:rsid w:val="00920EA0"/>
    <w:rsid w:val="00921447"/>
    <w:rsid w:val="00921853"/>
    <w:rsid w:val="00921D67"/>
    <w:rsid w:val="00921D98"/>
    <w:rsid w:val="00921E40"/>
    <w:rsid w:val="00921E68"/>
    <w:rsid w:val="00922158"/>
    <w:rsid w:val="00922284"/>
    <w:rsid w:val="009224EA"/>
    <w:rsid w:val="00922581"/>
    <w:rsid w:val="00922B37"/>
    <w:rsid w:val="00922C7E"/>
    <w:rsid w:val="00922D2B"/>
    <w:rsid w:val="009235E4"/>
    <w:rsid w:val="00923990"/>
    <w:rsid w:val="00923B47"/>
    <w:rsid w:val="00923B90"/>
    <w:rsid w:val="00923CE0"/>
    <w:rsid w:val="009241A1"/>
    <w:rsid w:val="009244E7"/>
    <w:rsid w:val="00924569"/>
    <w:rsid w:val="00924625"/>
    <w:rsid w:val="009248EB"/>
    <w:rsid w:val="00924987"/>
    <w:rsid w:val="00924B9B"/>
    <w:rsid w:val="00924CDC"/>
    <w:rsid w:val="009250E1"/>
    <w:rsid w:val="00925292"/>
    <w:rsid w:val="009255DB"/>
    <w:rsid w:val="00925654"/>
    <w:rsid w:val="00925794"/>
    <w:rsid w:val="00925A22"/>
    <w:rsid w:val="00925BF4"/>
    <w:rsid w:val="00925C6F"/>
    <w:rsid w:val="00925D62"/>
    <w:rsid w:val="00925ED3"/>
    <w:rsid w:val="00925F14"/>
    <w:rsid w:val="00926075"/>
    <w:rsid w:val="009264FD"/>
    <w:rsid w:val="00926544"/>
    <w:rsid w:val="0092676C"/>
    <w:rsid w:val="00926823"/>
    <w:rsid w:val="0092683D"/>
    <w:rsid w:val="00926B4A"/>
    <w:rsid w:val="00926C10"/>
    <w:rsid w:val="00926C1E"/>
    <w:rsid w:val="00926C93"/>
    <w:rsid w:val="00926FC6"/>
    <w:rsid w:val="00927180"/>
    <w:rsid w:val="009273CF"/>
    <w:rsid w:val="00927431"/>
    <w:rsid w:val="00927740"/>
    <w:rsid w:val="009278F1"/>
    <w:rsid w:val="00927BB3"/>
    <w:rsid w:val="00927C2B"/>
    <w:rsid w:val="00927C53"/>
    <w:rsid w:val="00927C56"/>
    <w:rsid w:val="00927DF5"/>
    <w:rsid w:val="00927E17"/>
    <w:rsid w:val="00930314"/>
    <w:rsid w:val="00930EBA"/>
    <w:rsid w:val="00930F3A"/>
    <w:rsid w:val="00930FD9"/>
    <w:rsid w:val="0093105C"/>
    <w:rsid w:val="009312F4"/>
    <w:rsid w:val="009315A0"/>
    <w:rsid w:val="009315A7"/>
    <w:rsid w:val="009318BC"/>
    <w:rsid w:val="00931B55"/>
    <w:rsid w:val="00931EE9"/>
    <w:rsid w:val="00932041"/>
    <w:rsid w:val="00932271"/>
    <w:rsid w:val="009327EB"/>
    <w:rsid w:val="009329D0"/>
    <w:rsid w:val="00932BAB"/>
    <w:rsid w:val="0093307C"/>
    <w:rsid w:val="009331BD"/>
    <w:rsid w:val="009338ED"/>
    <w:rsid w:val="00933C36"/>
    <w:rsid w:val="00933E16"/>
    <w:rsid w:val="00933F75"/>
    <w:rsid w:val="0093445A"/>
    <w:rsid w:val="0093446F"/>
    <w:rsid w:val="009346FA"/>
    <w:rsid w:val="00934B58"/>
    <w:rsid w:val="00934B9C"/>
    <w:rsid w:val="00934C78"/>
    <w:rsid w:val="00934D78"/>
    <w:rsid w:val="00934DCE"/>
    <w:rsid w:val="00934E09"/>
    <w:rsid w:val="0093534D"/>
    <w:rsid w:val="00935382"/>
    <w:rsid w:val="009353B8"/>
    <w:rsid w:val="00935435"/>
    <w:rsid w:val="00935CBB"/>
    <w:rsid w:val="00935F12"/>
    <w:rsid w:val="00935F34"/>
    <w:rsid w:val="0093606C"/>
    <w:rsid w:val="0093611E"/>
    <w:rsid w:val="0093624A"/>
    <w:rsid w:val="009362CA"/>
    <w:rsid w:val="009365CA"/>
    <w:rsid w:val="0093688C"/>
    <w:rsid w:val="00936AEE"/>
    <w:rsid w:val="00936E01"/>
    <w:rsid w:val="009370B2"/>
    <w:rsid w:val="009370EC"/>
    <w:rsid w:val="00937383"/>
    <w:rsid w:val="009373FC"/>
    <w:rsid w:val="00937403"/>
    <w:rsid w:val="009374C0"/>
    <w:rsid w:val="009376AB"/>
    <w:rsid w:val="00937718"/>
    <w:rsid w:val="00937946"/>
    <w:rsid w:val="00937B8A"/>
    <w:rsid w:val="00937CB9"/>
    <w:rsid w:val="00937CE4"/>
    <w:rsid w:val="00937D16"/>
    <w:rsid w:val="00937D66"/>
    <w:rsid w:val="0093FD3F"/>
    <w:rsid w:val="009403B9"/>
    <w:rsid w:val="009406F3"/>
    <w:rsid w:val="0094076E"/>
    <w:rsid w:val="00940A2D"/>
    <w:rsid w:val="00940B3D"/>
    <w:rsid w:val="009418BE"/>
    <w:rsid w:val="009418D4"/>
    <w:rsid w:val="00941C60"/>
    <w:rsid w:val="00941FAE"/>
    <w:rsid w:val="00942008"/>
    <w:rsid w:val="009423F5"/>
    <w:rsid w:val="00942CAD"/>
    <w:rsid w:val="00942D47"/>
    <w:rsid w:val="00942F82"/>
    <w:rsid w:val="0094337B"/>
    <w:rsid w:val="009433B3"/>
    <w:rsid w:val="009436D8"/>
    <w:rsid w:val="009437B3"/>
    <w:rsid w:val="0094383F"/>
    <w:rsid w:val="00943AC1"/>
    <w:rsid w:val="00943B38"/>
    <w:rsid w:val="00943B82"/>
    <w:rsid w:val="00943BD3"/>
    <w:rsid w:val="00943EB5"/>
    <w:rsid w:val="00943EBD"/>
    <w:rsid w:val="0094436D"/>
    <w:rsid w:val="0094468A"/>
    <w:rsid w:val="00944C93"/>
    <w:rsid w:val="00944C9A"/>
    <w:rsid w:val="00944E5C"/>
    <w:rsid w:val="00944F24"/>
    <w:rsid w:val="00944FC3"/>
    <w:rsid w:val="009454C9"/>
    <w:rsid w:val="0094553C"/>
    <w:rsid w:val="0094558D"/>
    <w:rsid w:val="00945A2F"/>
    <w:rsid w:val="00945E91"/>
    <w:rsid w:val="009462FA"/>
    <w:rsid w:val="009462FB"/>
    <w:rsid w:val="00946488"/>
    <w:rsid w:val="009464E0"/>
    <w:rsid w:val="009465DF"/>
    <w:rsid w:val="009467AA"/>
    <w:rsid w:val="00946BDF"/>
    <w:rsid w:val="00946E70"/>
    <w:rsid w:val="009475D9"/>
    <w:rsid w:val="00947782"/>
    <w:rsid w:val="009478BA"/>
    <w:rsid w:val="00947B25"/>
    <w:rsid w:val="00947EC9"/>
    <w:rsid w:val="00947FCB"/>
    <w:rsid w:val="0094FF1E"/>
    <w:rsid w:val="00950288"/>
    <w:rsid w:val="009502CB"/>
    <w:rsid w:val="009503F6"/>
    <w:rsid w:val="00950426"/>
    <w:rsid w:val="009504F7"/>
    <w:rsid w:val="009508A1"/>
    <w:rsid w:val="00950A2E"/>
    <w:rsid w:val="00950D1B"/>
    <w:rsid w:val="00951226"/>
    <w:rsid w:val="00951C47"/>
    <w:rsid w:val="00951E11"/>
    <w:rsid w:val="0095228C"/>
    <w:rsid w:val="009523E6"/>
    <w:rsid w:val="00952460"/>
    <w:rsid w:val="0095252B"/>
    <w:rsid w:val="00952573"/>
    <w:rsid w:val="0095259C"/>
    <w:rsid w:val="0095290D"/>
    <w:rsid w:val="00952A23"/>
    <w:rsid w:val="00952F0D"/>
    <w:rsid w:val="00952FC8"/>
    <w:rsid w:val="009530AC"/>
    <w:rsid w:val="00953280"/>
    <w:rsid w:val="0095386C"/>
    <w:rsid w:val="00953ABD"/>
    <w:rsid w:val="00953E98"/>
    <w:rsid w:val="00953F3A"/>
    <w:rsid w:val="009541D2"/>
    <w:rsid w:val="0095428B"/>
    <w:rsid w:val="009543C3"/>
    <w:rsid w:val="00954C86"/>
    <w:rsid w:val="00954DE9"/>
    <w:rsid w:val="00954EDF"/>
    <w:rsid w:val="009552E9"/>
    <w:rsid w:val="009553A5"/>
    <w:rsid w:val="009554AF"/>
    <w:rsid w:val="00955CA3"/>
    <w:rsid w:val="00955E6D"/>
    <w:rsid w:val="009560AC"/>
    <w:rsid w:val="009562BE"/>
    <w:rsid w:val="00956435"/>
    <w:rsid w:val="009565C5"/>
    <w:rsid w:val="00956CE8"/>
    <w:rsid w:val="00956E50"/>
    <w:rsid w:val="009574BD"/>
    <w:rsid w:val="009579F9"/>
    <w:rsid w:val="00957A8F"/>
    <w:rsid w:val="00957FA4"/>
    <w:rsid w:val="0096006C"/>
    <w:rsid w:val="00960659"/>
    <w:rsid w:val="0096084D"/>
    <w:rsid w:val="00960AF1"/>
    <w:rsid w:val="00960BC3"/>
    <w:rsid w:val="00960D23"/>
    <w:rsid w:val="00960EDD"/>
    <w:rsid w:val="00960EE7"/>
    <w:rsid w:val="00960F1A"/>
    <w:rsid w:val="009617CE"/>
    <w:rsid w:val="00961BFD"/>
    <w:rsid w:val="00961C70"/>
    <w:rsid w:val="00961E14"/>
    <w:rsid w:val="00961FA6"/>
    <w:rsid w:val="009620DC"/>
    <w:rsid w:val="00962293"/>
    <w:rsid w:val="0096276D"/>
    <w:rsid w:val="00962805"/>
    <w:rsid w:val="009629A4"/>
    <w:rsid w:val="00962B86"/>
    <w:rsid w:val="00962EB9"/>
    <w:rsid w:val="00963343"/>
    <w:rsid w:val="009633DC"/>
    <w:rsid w:val="00963872"/>
    <w:rsid w:val="00963B09"/>
    <w:rsid w:val="00963B3D"/>
    <w:rsid w:val="00963B76"/>
    <w:rsid w:val="00963B8B"/>
    <w:rsid w:val="009645AF"/>
    <w:rsid w:val="00964A52"/>
    <w:rsid w:val="00964DA3"/>
    <w:rsid w:val="00964F9B"/>
    <w:rsid w:val="009650C3"/>
    <w:rsid w:val="009655D5"/>
    <w:rsid w:val="009655D9"/>
    <w:rsid w:val="00965B4E"/>
    <w:rsid w:val="00965E5B"/>
    <w:rsid w:val="009661D3"/>
    <w:rsid w:val="00966497"/>
    <w:rsid w:val="00966A03"/>
    <w:rsid w:val="00966ABB"/>
    <w:rsid w:val="00966AC1"/>
    <w:rsid w:val="00966B13"/>
    <w:rsid w:val="00966D9F"/>
    <w:rsid w:val="009671C8"/>
    <w:rsid w:val="0096735D"/>
    <w:rsid w:val="00967A75"/>
    <w:rsid w:val="00967D8E"/>
    <w:rsid w:val="00967DD1"/>
    <w:rsid w:val="0097038B"/>
    <w:rsid w:val="00970612"/>
    <w:rsid w:val="009706F7"/>
    <w:rsid w:val="00970743"/>
    <w:rsid w:val="009708A3"/>
    <w:rsid w:val="00970A4B"/>
    <w:rsid w:val="00970BE1"/>
    <w:rsid w:val="00970C4E"/>
    <w:rsid w:val="0097105C"/>
    <w:rsid w:val="00971303"/>
    <w:rsid w:val="00971327"/>
    <w:rsid w:val="00971333"/>
    <w:rsid w:val="0097143B"/>
    <w:rsid w:val="009716F9"/>
    <w:rsid w:val="0097191B"/>
    <w:rsid w:val="00971A79"/>
    <w:rsid w:val="00971C29"/>
    <w:rsid w:val="00971D12"/>
    <w:rsid w:val="00971DC8"/>
    <w:rsid w:val="00971F26"/>
    <w:rsid w:val="00971FB2"/>
    <w:rsid w:val="00972099"/>
    <w:rsid w:val="00972353"/>
    <w:rsid w:val="00972AAA"/>
    <w:rsid w:val="00972D23"/>
    <w:rsid w:val="00972DB0"/>
    <w:rsid w:val="00972EDD"/>
    <w:rsid w:val="0097316C"/>
    <w:rsid w:val="009735F9"/>
    <w:rsid w:val="00973986"/>
    <w:rsid w:val="00973AFA"/>
    <w:rsid w:val="00973D87"/>
    <w:rsid w:val="00973FF2"/>
    <w:rsid w:val="00974223"/>
    <w:rsid w:val="00974306"/>
    <w:rsid w:val="009745D3"/>
    <w:rsid w:val="00974E52"/>
    <w:rsid w:val="00974F86"/>
    <w:rsid w:val="00975117"/>
    <w:rsid w:val="00975181"/>
    <w:rsid w:val="009752AE"/>
    <w:rsid w:val="0097531B"/>
    <w:rsid w:val="00975321"/>
    <w:rsid w:val="00975631"/>
    <w:rsid w:val="0097576F"/>
    <w:rsid w:val="00975DE8"/>
    <w:rsid w:val="00975F0F"/>
    <w:rsid w:val="00975F4E"/>
    <w:rsid w:val="009761CF"/>
    <w:rsid w:val="00976310"/>
    <w:rsid w:val="0097644A"/>
    <w:rsid w:val="00976649"/>
    <w:rsid w:val="00976771"/>
    <w:rsid w:val="009769CA"/>
    <w:rsid w:val="00976A2E"/>
    <w:rsid w:val="00976A43"/>
    <w:rsid w:val="00976C28"/>
    <w:rsid w:val="009771BB"/>
    <w:rsid w:val="00977387"/>
    <w:rsid w:val="00977855"/>
    <w:rsid w:val="00977891"/>
    <w:rsid w:val="009778B7"/>
    <w:rsid w:val="009778EF"/>
    <w:rsid w:val="00977982"/>
    <w:rsid w:val="009779A4"/>
    <w:rsid w:val="00977A08"/>
    <w:rsid w:val="00977F21"/>
    <w:rsid w:val="0097E166"/>
    <w:rsid w:val="00980420"/>
    <w:rsid w:val="0098053F"/>
    <w:rsid w:val="00980A87"/>
    <w:rsid w:val="00980B8A"/>
    <w:rsid w:val="00980D6D"/>
    <w:rsid w:val="0098104D"/>
    <w:rsid w:val="009810CD"/>
    <w:rsid w:val="00981475"/>
    <w:rsid w:val="009815EF"/>
    <w:rsid w:val="009816CD"/>
    <w:rsid w:val="00981F7D"/>
    <w:rsid w:val="009823C7"/>
    <w:rsid w:val="0098259D"/>
    <w:rsid w:val="0098276C"/>
    <w:rsid w:val="00982847"/>
    <w:rsid w:val="00982992"/>
    <w:rsid w:val="00982B1B"/>
    <w:rsid w:val="00982D15"/>
    <w:rsid w:val="00982ECB"/>
    <w:rsid w:val="00982FAE"/>
    <w:rsid w:val="00983162"/>
    <w:rsid w:val="00983280"/>
    <w:rsid w:val="00983556"/>
    <w:rsid w:val="009836EF"/>
    <w:rsid w:val="00983967"/>
    <w:rsid w:val="00983AA7"/>
    <w:rsid w:val="00983BFA"/>
    <w:rsid w:val="00983E1C"/>
    <w:rsid w:val="00984164"/>
    <w:rsid w:val="009843EE"/>
    <w:rsid w:val="00984596"/>
    <w:rsid w:val="0098465A"/>
    <w:rsid w:val="009846C0"/>
    <w:rsid w:val="009848E9"/>
    <w:rsid w:val="009849FC"/>
    <w:rsid w:val="00984E60"/>
    <w:rsid w:val="009851C2"/>
    <w:rsid w:val="00985220"/>
    <w:rsid w:val="009852F0"/>
    <w:rsid w:val="009853C1"/>
    <w:rsid w:val="00985525"/>
    <w:rsid w:val="0098559E"/>
    <w:rsid w:val="009856DA"/>
    <w:rsid w:val="009857E7"/>
    <w:rsid w:val="00985B29"/>
    <w:rsid w:val="00985B73"/>
    <w:rsid w:val="00985B86"/>
    <w:rsid w:val="00985CEE"/>
    <w:rsid w:val="00986145"/>
    <w:rsid w:val="009862AA"/>
    <w:rsid w:val="0098642B"/>
    <w:rsid w:val="00986512"/>
    <w:rsid w:val="00986936"/>
    <w:rsid w:val="009869C7"/>
    <w:rsid w:val="00986B37"/>
    <w:rsid w:val="00986FCA"/>
    <w:rsid w:val="00987034"/>
    <w:rsid w:val="009872AA"/>
    <w:rsid w:val="00987397"/>
    <w:rsid w:val="009874AF"/>
    <w:rsid w:val="009876F8"/>
    <w:rsid w:val="00987A94"/>
    <w:rsid w:val="00987BF6"/>
    <w:rsid w:val="00987D9E"/>
    <w:rsid w:val="00987DD9"/>
    <w:rsid w:val="00987EBD"/>
    <w:rsid w:val="0099077E"/>
    <w:rsid w:val="00990A7B"/>
    <w:rsid w:val="00990ADE"/>
    <w:rsid w:val="00990B22"/>
    <w:rsid w:val="00990D1A"/>
    <w:rsid w:val="00990E42"/>
    <w:rsid w:val="00991452"/>
    <w:rsid w:val="009914BF"/>
    <w:rsid w:val="009914C5"/>
    <w:rsid w:val="0099174D"/>
    <w:rsid w:val="00992150"/>
    <w:rsid w:val="0099239E"/>
    <w:rsid w:val="009923E5"/>
    <w:rsid w:val="009924F9"/>
    <w:rsid w:val="00992538"/>
    <w:rsid w:val="00992791"/>
    <w:rsid w:val="00992D40"/>
    <w:rsid w:val="00992E24"/>
    <w:rsid w:val="00992F9A"/>
    <w:rsid w:val="0099312E"/>
    <w:rsid w:val="00993360"/>
    <w:rsid w:val="0099352A"/>
    <w:rsid w:val="00993604"/>
    <w:rsid w:val="00993744"/>
    <w:rsid w:val="0099391A"/>
    <w:rsid w:val="00993958"/>
    <w:rsid w:val="00993B45"/>
    <w:rsid w:val="00993B87"/>
    <w:rsid w:val="00993C5B"/>
    <w:rsid w:val="00993E7B"/>
    <w:rsid w:val="00993EF2"/>
    <w:rsid w:val="009940A7"/>
    <w:rsid w:val="009940DA"/>
    <w:rsid w:val="00994205"/>
    <w:rsid w:val="00994589"/>
    <w:rsid w:val="00994835"/>
    <w:rsid w:val="00994996"/>
    <w:rsid w:val="00994F7F"/>
    <w:rsid w:val="00995498"/>
    <w:rsid w:val="00995811"/>
    <w:rsid w:val="00995917"/>
    <w:rsid w:val="00995BFA"/>
    <w:rsid w:val="00995CD1"/>
    <w:rsid w:val="00995D4E"/>
    <w:rsid w:val="00995E83"/>
    <w:rsid w:val="00995FE3"/>
    <w:rsid w:val="009963EB"/>
    <w:rsid w:val="009968CA"/>
    <w:rsid w:val="00996AB9"/>
    <w:rsid w:val="00996AD3"/>
    <w:rsid w:val="00996B52"/>
    <w:rsid w:val="00996BA2"/>
    <w:rsid w:val="00996ECC"/>
    <w:rsid w:val="0099744C"/>
    <w:rsid w:val="00997AEF"/>
    <w:rsid w:val="00997C0D"/>
    <w:rsid w:val="009A001B"/>
    <w:rsid w:val="009A07AF"/>
    <w:rsid w:val="009A0836"/>
    <w:rsid w:val="009A091C"/>
    <w:rsid w:val="009A0957"/>
    <w:rsid w:val="009A0996"/>
    <w:rsid w:val="009A0C16"/>
    <w:rsid w:val="009A0F25"/>
    <w:rsid w:val="009A11EA"/>
    <w:rsid w:val="009A1433"/>
    <w:rsid w:val="009A16B3"/>
    <w:rsid w:val="009A1998"/>
    <w:rsid w:val="009A1B22"/>
    <w:rsid w:val="009A1DCE"/>
    <w:rsid w:val="009A203E"/>
    <w:rsid w:val="009A2295"/>
    <w:rsid w:val="009A2988"/>
    <w:rsid w:val="009A2C55"/>
    <w:rsid w:val="009A2DEB"/>
    <w:rsid w:val="009A2F83"/>
    <w:rsid w:val="009A31B1"/>
    <w:rsid w:val="009A3408"/>
    <w:rsid w:val="009A3776"/>
    <w:rsid w:val="009A38F1"/>
    <w:rsid w:val="009A3957"/>
    <w:rsid w:val="009A39D0"/>
    <w:rsid w:val="009A3A93"/>
    <w:rsid w:val="009A3B70"/>
    <w:rsid w:val="009A3EA9"/>
    <w:rsid w:val="009A3FEA"/>
    <w:rsid w:val="009A44E3"/>
    <w:rsid w:val="009A46A4"/>
    <w:rsid w:val="009A4776"/>
    <w:rsid w:val="009A480A"/>
    <w:rsid w:val="009A4A51"/>
    <w:rsid w:val="009A4AAA"/>
    <w:rsid w:val="009A4D79"/>
    <w:rsid w:val="009A4DEE"/>
    <w:rsid w:val="009A4E78"/>
    <w:rsid w:val="009A540F"/>
    <w:rsid w:val="009A5420"/>
    <w:rsid w:val="009A58CD"/>
    <w:rsid w:val="009A5999"/>
    <w:rsid w:val="009A59BB"/>
    <w:rsid w:val="009A5E9E"/>
    <w:rsid w:val="009A5EBB"/>
    <w:rsid w:val="009A66F7"/>
    <w:rsid w:val="009A690D"/>
    <w:rsid w:val="009A72DA"/>
    <w:rsid w:val="009A76E5"/>
    <w:rsid w:val="009A771E"/>
    <w:rsid w:val="009A776F"/>
    <w:rsid w:val="009A78C7"/>
    <w:rsid w:val="009A7C05"/>
    <w:rsid w:val="009B0261"/>
    <w:rsid w:val="009B0455"/>
    <w:rsid w:val="009B0584"/>
    <w:rsid w:val="009B079F"/>
    <w:rsid w:val="009B0A93"/>
    <w:rsid w:val="009B0AA3"/>
    <w:rsid w:val="009B0C2E"/>
    <w:rsid w:val="009B0D16"/>
    <w:rsid w:val="009B0D34"/>
    <w:rsid w:val="009B0D38"/>
    <w:rsid w:val="009B0DB4"/>
    <w:rsid w:val="009B0EA0"/>
    <w:rsid w:val="009B0F7E"/>
    <w:rsid w:val="009B1317"/>
    <w:rsid w:val="009B166E"/>
    <w:rsid w:val="009B1E4B"/>
    <w:rsid w:val="009B2421"/>
    <w:rsid w:val="009B2422"/>
    <w:rsid w:val="009B25CD"/>
    <w:rsid w:val="009B28C8"/>
    <w:rsid w:val="009B29FC"/>
    <w:rsid w:val="009B2A80"/>
    <w:rsid w:val="009B2D49"/>
    <w:rsid w:val="009B3099"/>
    <w:rsid w:val="009B30F1"/>
    <w:rsid w:val="009B3165"/>
    <w:rsid w:val="009B31B8"/>
    <w:rsid w:val="009B33CA"/>
    <w:rsid w:val="009B3585"/>
    <w:rsid w:val="009B3B81"/>
    <w:rsid w:val="009B3B89"/>
    <w:rsid w:val="009B3BBD"/>
    <w:rsid w:val="009B4455"/>
    <w:rsid w:val="009B44DE"/>
    <w:rsid w:val="009B4B76"/>
    <w:rsid w:val="009B4F5B"/>
    <w:rsid w:val="009B5379"/>
    <w:rsid w:val="009B5601"/>
    <w:rsid w:val="009B57DC"/>
    <w:rsid w:val="009B585C"/>
    <w:rsid w:val="009B59A4"/>
    <w:rsid w:val="009B5AF7"/>
    <w:rsid w:val="009B5B55"/>
    <w:rsid w:val="009B5B5B"/>
    <w:rsid w:val="009B660C"/>
    <w:rsid w:val="009B666B"/>
    <w:rsid w:val="009B67FC"/>
    <w:rsid w:val="009B713E"/>
    <w:rsid w:val="009B75EC"/>
    <w:rsid w:val="009B7601"/>
    <w:rsid w:val="009B7B61"/>
    <w:rsid w:val="009B8317"/>
    <w:rsid w:val="009C0172"/>
    <w:rsid w:val="009C01B3"/>
    <w:rsid w:val="009C0240"/>
    <w:rsid w:val="009C03CB"/>
    <w:rsid w:val="009C0C3F"/>
    <w:rsid w:val="009C111F"/>
    <w:rsid w:val="009C16CB"/>
    <w:rsid w:val="009C1C82"/>
    <w:rsid w:val="009C1D3A"/>
    <w:rsid w:val="009C1D4A"/>
    <w:rsid w:val="009C2568"/>
    <w:rsid w:val="009C2583"/>
    <w:rsid w:val="009C282F"/>
    <w:rsid w:val="009C2C91"/>
    <w:rsid w:val="009C2D03"/>
    <w:rsid w:val="009C2D7D"/>
    <w:rsid w:val="009C2E97"/>
    <w:rsid w:val="009C345C"/>
    <w:rsid w:val="009C3470"/>
    <w:rsid w:val="009C3682"/>
    <w:rsid w:val="009C39AA"/>
    <w:rsid w:val="009C3D60"/>
    <w:rsid w:val="009C3D6E"/>
    <w:rsid w:val="009C3D95"/>
    <w:rsid w:val="009C40FA"/>
    <w:rsid w:val="009C441B"/>
    <w:rsid w:val="009C4425"/>
    <w:rsid w:val="009C455E"/>
    <w:rsid w:val="009C4601"/>
    <w:rsid w:val="009C490C"/>
    <w:rsid w:val="009C4B63"/>
    <w:rsid w:val="009C4E37"/>
    <w:rsid w:val="009C4EAC"/>
    <w:rsid w:val="009C4F37"/>
    <w:rsid w:val="009C53BD"/>
    <w:rsid w:val="009C549F"/>
    <w:rsid w:val="009C57FF"/>
    <w:rsid w:val="009C58AD"/>
    <w:rsid w:val="009C5B0B"/>
    <w:rsid w:val="009C5CFB"/>
    <w:rsid w:val="009C5F9C"/>
    <w:rsid w:val="009C62C2"/>
    <w:rsid w:val="009C67AC"/>
    <w:rsid w:val="009C688C"/>
    <w:rsid w:val="009C69B3"/>
    <w:rsid w:val="009C6A7D"/>
    <w:rsid w:val="009C6CA5"/>
    <w:rsid w:val="009C6D34"/>
    <w:rsid w:val="009C6E35"/>
    <w:rsid w:val="009C6ED0"/>
    <w:rsid w:val="009C77A9"/>
    <w:rsid w:val="009C7972"/>
    <w:rsid w:val="009C7C17"/>
    <w:rsid w:val="009C7C70"/>
    <w:rsid w:val="009C7CB6"/>
    <w:rsid w:val="009D0E0A"/>
    <w:rsid w:val="009D1220"/>
    <w:rsid w:val="009D16A3"/>
    <w:rsid w:val="009D178A"/>
    <w:rsid w:val="009D17F8"/>
    <w:rsid w:val="009D1C96"/>
    <w:rsid w:val="009D1D0C"/>
    <w:rsid w:val="009D1D2C"/>
    <w:rsid w:val="009D1D30"/>
    <w:rsid w:val="009D21BF"/>
    <w:rsid w:val="009D2552"/>
    <w:rsid w:val="009D2633"/>
    <w:rsid w:val="009D279B"/>
    <w:rsid w:val="009D2BE2"/>
    <w:rsid w:val="009D2EB4"/>
    <w:rsid w:val="009D341C"/>
    <w:rsid w:val="009D34AC"/>
    <w:rsid w:val="009D3803"/>
    <w:rsid w:val="009D393B"/>
    <w:rsid w:val="009D3B82"/>
    <w:rsid w:val="009D3FB4"/>
    <w:rsid w:val="009D414A"/>
    <w:rsid w:val="009D4265"/>
    <w:rsid w:val="009D4459"/>
    <w:rsid w:val="009D4593"/>
    <w:rsid w:val="009D45E1"/>
    <w:rsid w:val="009D4690"/>
    <w:rsid w:val="009D4800"/>
    <w:rsid w:val="009D4974"/>
    <w:rsid w:val="009D4A40"/>
    <w:rsid w:val="009D4F1D"/>
    <w:rsid w:val="009D5222"/>
    <w:rsid w:val="009D5AEF"/>
    <w:rsid w:val="009D5E92"/>
    <w:rsid w:val="009D6541"/>
    <w:rsid w:val="009D6C10"/>
    <w:rsid w:val="009D6E53"/>
    <w:rsid w:val="009D7229"/>
    <w:rsid w:val="009D7D72"/>
    <w:rsid w:val="009E0037"/>
    <w:rsid w:val="009E0057"/>
    <w:rsid w:val="009E010F"/>
    <w:rsid w:val="009E0486"/>
    <w:rsid w:val="009E09C3"/>
    <w:rsid w:val="009E0A08"/>
    <w:rsid w:val="009E0B80"/>
    <w:rsid w:val="009E0D83"/>
    <w:rsid w:val="009E0E8F"/>
    <w:rsid w:val="009E0EF1"/>
    <w:rsid w:val="009E1148"/>
    <w:rsid w:val="009E14F7"/>
    <w:rsid w:val="009E189E"/>
    <w:rsid w:val="009E1963"/>
    <w:rsid w:val="009E19F3"/>
    <w:rsid w:val="009E1B0A"/>
    <w:rsid w:val="009E1CDD"/>
    <w:rsid w:val="009E1DEC"/>
    <w:rsid w:val="009E1E86"/>
    <w:rsid w:val="009E26FC"/>
    <w:rsid w:val="009E2CE3"/>
    <w:rsid w:val="009E2D82"/>
    <w:rsid w:val="009E2EDB"/>
    <w:rsid w:val="009E33A1"/>
    <w:rsid w:val="009E350C"/>
    <w:rsid w:val="009E391A"/>
    <w:rsid w:val="009E3F41"/>
    <w:rsid w:val="009E3F87"/>
    <w:rsid w:val="009E44EF"/>
    <w:rsid w:val="009E44F5"/>
    <w:rsid w:val="009E46A1"/>
    <w:rsid w:val="009E4A46"/>
    <w:rsid w:val="009E4C9B"/>
    <w:rsid w:val="009E4CC0"/>
    <w:rsid w:val="009E4F2B"/>
    <w:rsid w:val="009E572C"/>
    <w:rsid w:val="009E57C7"/>
    <w:rsid w:val="009E5824"/>
    <w:rsid w:val="009E5977"/>
    <w:rsid w:val="009E59B0"/>
    <w:rsid w:val="009E5CA5"/>
    <w:rsid w:val="009E5D7C"/>
    <w:rsid w:val="009E5E9B"/>
    <w:rsid w:val="009E61CF"/>
    <w:rsid w:val="009E6395"/>
    <w:rsid w:val="009E6473"/>
    <w:rsid w:val="009E677F"/>
    <w:rsid w:val="009E692D"/>
    <w:rsid w:val="009E69F4"/>
    <w:rsid w:val="009E6BE9"/>
    <w:rsid w:val="009E6D57"/>
    <w:rsid w:val="009E7210"/>
    <w:rsid w:val="009E72BF"/>
    <w:rsid w:val="009E739C"/>
    <w:rsid w:val="009E73FB"/>
    <w:rsid w:val="009E7597"/>
    <w:rsid w:val="009E78B8"/>
    <w:rsid w:val="009E79F0"/>
    <w:rsid w:val="009E7A0C"/>
    <w:rsid w:val="009E7B6B"/>
    <w:rsid w:val="009E7D4D"/>
    <w:rsid w:val="009E7E8B"/>
    <w:rsid w:val="009F009B"/>
    <w:rsid w:val="009F02A7"/>
    <w:rsid w:val="009F0344"/>
    <w:rsid w:val="009F0383"/>
    <w:rsid w:val="009F0394"/>
    <w:rsid w:val="009F0458"/>
    <w:rsid w:val="009F04D4"/>
    <w:rsid w:val="009F0661"/>
    <w:rsid w:val="009F072E"/>
    <w:rsid w:val="009F07AF"/>
    <w:rsid w:val="009F0C8C"/>
    <w:rsid w:val="009F104D"/>
    <w:rsid w:val="009F10A4"/>
    <w:rsid w:val="009F1444"/>
    <w:rsid w:val="009F1487"/>
    <w:rsid w:val="009F1918"/>
    <w:rsid w:val="009F1A45"/>
    <w:rsid w:val="009F1C4E"/>
    <w:rsid w:val="009F1E1D"/>
    <w:rsid w:val="009F1F72"/>
    <w:rsid w:val="009F1F86"/>
    <w:rsid w:val="009F214E"/>
    <w:rsid w:val="009F2BC4"/>
    <w:rsid w:val="009F2BDC"/>
    <w:rsid w:val="009F301E"/>
    <w:rsid w:val="009F3073"/>
    <w:rsid w:val="009F32D8"/>
    <w:rsid w:val="009F3493"/>
    <w:rsid w:val="009F368A"/>
    <w:rsid w:val="009F39AB"/>
    <w:rsid w:val="009F3B4A"/>
    <w:rsid w:val="009F4404"/>
    <w:rsid w:val="009F449B"/>
    <w:rsid w:val="009F4640"/>
    <w:rsid w:val="009F4810"/>
    <w:rsid w:val="009F48D3"/>
    <w:rsid w:val="009F4A61"/>
    <w:rsid w:val="009F4B17"/>
    <w:rsid w:val="009F4B66"/>
    <w:rsid w:val="009F4C79"/>
    <w:rsid w:val="009F4EC6"/>
    <w:rsid w:val="009F51C5"/>
    <w:rsid w:val="009F5224"/>
    <w:rsid w:val="009F5768"/>
    <w:rsid w:val="009F5A96"/>
    <w:rsid w:val="009F6033"/>
    <w:rsid w:val="009F6089"/>
    <w:rsid w:val="009F61E0"/>
    <w:rsid w:val="009F63B2"/>
    <w:rsid w:val="009F65D5"/>
    <w:rsid w:val="009F667A"/>
    <w:rsid w:val="009F6B03"/>
    <w:rsid w:val="009F6B34"/>
    <w:rsid w:val="009F6F02"/>
    <w:rsid w:val="009F7575"/>
    <w:rsid w:val="009F76D4"/>
    <w:rsid w:val="009F7C04"/>
    <w:rsid w:val="009F7D86"/>
    <w:rsid w:val="009F7F0B"/>
    <w:rsid w:val="00A0060A"/>
    <w:rsid w:val="00A00670"/>
    <w:rsid w:val="00A0071D"/>
    <w:rsid w:val="00A007D4"/>
    <w:rsid w:val="00A00AC8"/>
    <w:rsid w:val="00A00E24"/>
    <w:rsid w:val="00A00F1A"/>
    <w:rsid w:val="00A00FD2"/>
    <w:rsid w:val="00A01948"/>
    <w:rsid w:val="00A01AE3"/>
    <w:rsid w:val="00A01AF9"/>
    <w:rsid w:val="00A01BEC"/>
    <w:rsid w:val="00A01CDD"/>
    <w:rsid w:val="00A020FC"/>
    <w:rsid w:val="00A02376"/>
    <w:rsid w:val="00A02BF2"/>
    <w:rsid w:val="00A02F34"/>
    <w:rsid w:val="00A030A4"/>
    <w:rsid w:val="00A03237"/>
    <w:rsid w:val="00A035EC"/>
    <w:rsid w:val="00A03743"/>
    <w:rsid w:val="00A03C8E"/>
    <w:rsid w:val="00A03FE2"/>
    <w:rsid w:val="00A041ED"/>
    <w:rsid w:val="00A043B4"/>
    <w:rsid w:val="00A046B4"/>
    <w:rsid w:val="00A04B1C"/>
    <w:rsid w:val="00A04BF1"/>
    <w:rsid w:val="00A04DEA"/>
    <w:rsid w:val="00A05385"/>
    <w:rsid w:val="00A0541A"/>
    <w:rsid w:val="00A059D2"/>
    <w:rsid w:val="00A059F9"/>
    <w:rsid w:val="00A05B40"/>
    <w:rsid w:val="00A05C7C"/>
    <w:rsid w:val="00A05C86"/>
    <w:rsid w:val="00A060C3"/>
    <w:rsid w:val="00A0610F"/>
    <w:rsid w:val="00A06186"/>
    <w:rsid w:val="00A06195"/>
    <w:rsid w:val="00A06963"/>
    <w:rsid w:val="00A06C45"/>
    <w:rsid w:val="00A06DA4"/>
    <w:rsid w:val="00A0707B"/>
    <w:rsid w:val="00A0735B"/>
    <w:rsid w:val="00A077DE"/>
    <w:rsid w:val="00A07832"/>
    <w:rsid w:val="00A104F0"/>
    <w:rsid w:val="00A107A3"/>
    <w:rsid w:val="00A107C3"/>
    <w:rsid w:val="00A109C5"/>
    <w:rsid w:val="00A10B0F"/>
    <w:rsid w:val="00A10C26"/>
    <w:rsid w:val="00A110CB"/>
    <w:rsid w:val="00A1125E"/>
    <w:rsid w:val="00A11342"/>
    <w:rsid w:val="00A11491"/>
    <w:rsid w:val="00A114C7"/>
    <w:rsid w:val="00A1162F"/>
    <w:rsid w:val="00A11783"/>
    <w:rsid w:val="00A11A39"/>
    <w:rsid w:val="00A11AA5"/>
    <w:rsid w:val="00A11AC4"/>
    <w:rsid w:val="00A11ACF"/>
    <w:rsid w:val="00A11B6C"/>
    <w:rsid w:val="00A11B8B"/>
    <w:rsid w:val="00A11D79"/>
    <w:rsid w:val="00A12103"/>
    <w:rsid w:val="00A124B8"/>
    <w:rsid w:val="00A127E2"/>
    <w:rsid w:val="00A129E0"/>
    <w:rsid w:val="00A12EA2"/>
    <w:rsid w:val="00A12F89"/>
    <w:rsid w:val="00A1306A"/>
    <w:rsid w:val="00A13970"/>
    <w:rsid w:val="00A13A27"/>
    <w:rsid w:val="00A13AF0"/>
    <w:rsid w:val="00A13AF5"/>
    <w:rsid w:val="00A13B50"/>
    <w:rsid w:val="00A14367"/>
    <w:rsid w:val="00A1436C"/>
    <w:rsid w:val="00A14421"/>
    <w:rsid w:val="00A144C8"/>
    <w:rsid w:val="00A146DD"/>
    <w:rsid w:val="00A1493E"/>
    <w:rsid w:val="00A14ACB"/>
    <w:rsid w:val="00A14D3D"/>
    <w:rsid w:val="00A1521F"/>
    <w:rsid w:val="00A152BE"/>
    <w:rsid w:val="00A15329"/>
    <w:rsid w:val="00A1541F"/>
    <w:rsid w:val="00A15479"/>
    <w:rsid w:val="00A15911"/>
    <w:rsid w:val="00A15D9A"/>
    <w:rsid w:val="00A16023"/>
    <w:rsid w:val="00A161E3"/>
    <w:rsid w:val="00A16345"/>
    <w:rsid w:val="00A16352"/>
    <w:rsid w:val="00A1662F"/>
    <w:rsid w:val="00A169E0"/>
    <w:rsid w:val="00A16DB2"/>
    <w:rsid w:val="00A16DB3"/>
    <w:rsid w:val="00A16DB9"/>
    <w:rsid w:val="00A16EB4"/>
    <w:rsid w:val="00A16F65"/>
    <w:rsid w:val="00A17646"/>
    <w:rsid w:val="00A17C04"/>
    <w:rsid w:val="00A17C1E"/>
    <w:rsid w:val="00A17D29"/>
    <w:rsid w:val="00A200FD"/>
    <w:rsid w:val="00A2042C"/>
    <w:rsid w:val="00A20BE8"/>
    <w:rsid w:val="00A20EB6"/>
    <w:rsid w:val="00A211F2"/>
    <w:rsid w:val="00A2121C"/>
    <w:rsid w:val="00A21289"/>
    <w:rsid w:val="00A2175C"/>
    <w:rsid w:val="00A21984"/>
    <w:rsid w:val="00A21AA3"/>
    <w:rsid w:val="00A21D26"/>
    <w:rsid w:val="00A2251A"/>
    <w:rsid w:val="00A225C9"/>
    <w:rsid w:val="00A22830"/>
    <w:rsid w:val="00A228F5"/>
    <w:rsid w:val="00A22AB0"/>
    <w:rsid w:val="00A22E36"/>
    <w:rsid w:val="00A22FE3"/>
    <w:rsid w:val="00A232BE"/>
    <w:rsid w:val="00A23353"/>
    <w:rsid w:val="00A233DE"/>
    <w:rsid w:val="00A236F7"/>
    <w:rsid w:val="00A2391B"/>
    <w:rsid w:val="00A23C59"/>
    <w:rsid w:val="00A23E17"/>
    <w:rsid w:val="00A24072"/>
    <w:rsid w:val="00A242B2"/>
    <w:rsid w:val="00A24436"/>
    <w:rsid w:val="00A2447E"/>
    <w:rsid w:val="00A24704"/>
    <w:rsid w:val="00A24C96"/>
    <w:rsid w:val="00A24E69"/>
    <w:rsid w:val="00A24EF6"/>
    <w:rsid w:val="00A250C3"/>
    <w:rsid w:val="00A2532D"/>
    <w:rsid w:val="00A2542F"/>
    <w:rsid w:val="00A2574B"/>
    <w:rsid w:val="00A257E3"/>
    <w:rsid w:val="00A25922"/>
    <w:rsid w:val="00A259B7"/>
    <w:rsid w:val="00A25C8E"/>
    <w:rsid w:val="00A25DFF"/>
    <w:rsid w:val="00A26138"/>
    <w:rsid w:val="00A2618C"/>
    <w:rsid w:val="00A2636F"/>
    <w:rsid w:val="00A264F1"/>
    <w:rsid w:val="00A26883"/>
    <w:rsid w:val="00A26DF2"/>
    <w:rsid w:val="00A26E61"/>
    <w:rsid w:val="00A26E81"/>
    <w:rsid w:val="00A27136"/>
    <w:rsid w:val="00A27462"/>
    <w:rsid w:val="00A276A8"/>
    <w:rsid w:val="00A278E6"/>
    <w:rsid w:val="00A279A1"/>
    <w:rsid w:val="00A27AAC"/>
    <w:rsid w:val="00A30258"/>
    <w:rsid w:val="00A30336"/>
    <w:rsid w:val="00A305C1"/>
    <w:rsid w:val="00A30625"/>
    <w:rsid w:val="00A309EA"/>
    <w:rsid w:val="00A30B37"/>
    <w:rsid w:val="00A30CEB"/>
    <w:rsid w:val="00A30D4D"/>
    <w:rsid w:val="00A30FB2"/>
    <w:rsid w:val="00A31221"/>
    <w:rsid w:val="00A3135D"/>
    <w:rsid w:val="00A3165C"/>
    <w:rsid w:val="00A31A54"/>
    <w:rsid w:val="00A31C7C"/>
    <w:rsid w:val="00A31EAC"/>
    <w:rsid w:val="00A31F97"/>
    <w:rsid w:val="00A321E4"/>
    <w:rsid w:val="00A323EB"/>
    <w:rsid w:val="00A32548"/>
    <w:rsid w:val="00A32B4C"/>
    <w:rsid w:val="00A32D64"/>
    <w:rsid w:val="00A32E3A"/>
    <w:rsid w:val="00A32EC8"/>
    <w:rsid w:val="00A3304C"/>
    <w:rsid w:val="00A33296"/>
    <w:rsid w:val="00A33481"/>
    <w:rsid w:val="00A33C1F"/>
    <w:rsid w:val="00A33D2A"/>
    <w:rsid w:val="00A33D98"/>
    <w:rsid w:val="00A34195"/>
    <w:rsid w:val="00A34634"/>
    <w:rsid w:val="00A34743"/>
    <w:rsid w:val="00A34958"/>
    <w:rsid w:val="00A34BD7"/>
    <w:rsid w:val="00A34C3A"/>
    <w:rsid w:val="00A34F05"/>
    <w:rsid w:val="00A34F63"/>
    <w:rsid w:val="00A3513B"/>
    <w:rsid w:val="00A35319"/>
    <w:rsid w:val="00A35707"/>
    <w:rsid w:val="00A3584A"/>
    <w:rsid w:val="00A35BE2"/>
    <w:rsid w:val="00A35C0C"/>
    <w:rsid w:val="00A35CA7"/>
    <w:rsid w:val="00A36227"/>
    <w:rsid w:val="00A367F4"/>
    <w:rsid w:val="00A36B93"/>
    <w:rsid w:val="00A36C75"/>
    <w:rsid w:val="00A36CD3"/>
    <w:rsid w:val="00A36FFD"/>
    <w:rsid w:val="00A375CE"/>
    <w:rsid w:val="00A378D4"/>
    <w:rsid w:val="00A37A55"/>
    <w:rsid w:val="00A40236"/>
    <w:rsid w:val="00A40ABB"/>
    <w:rsid w:val="00A40BDA"/>
    <w:rsid w:val="00A40BE9"/>
    <w:rsid w:val="00A40F00"/>
    <w:rsid w:val="00A4122B"/>
    <w:rsid w:val="00A41640"/>
    <w:rsid w:val="00A41851"/>
    <w:rsid w:val="00A41AF5"/>
    <w:rsid w:val="00A41C51"/>
    <w:rsid w:val="00A41EE8"/>
    <w:rsid w:val="00A42195"/>
    <w:rsid w:val="00A42213"/>
    <w:rsid w:val="00A42399"/>
    <w:rsid w:val="00A42AF7"/>
    <w:rsid w:val="00A42D33"/>
    <w:rsid w:val="00A42E9D"/>
    <w:rsid w:val="00A4307E"/>
    <w:rsid w:val="00A4311F"/>
    <w:rsid w:val="00A434FC"/>
    <w:rsid w:val="00A43C71"/>
    <w:rsid w:val="00A43EC2"/>
    <w:rsid w:val="00A43FAB"/>
    <w:rsid w:val="00A44212"/>
    <w:rsid w:val="00A44435"/>
    <w:rsid w:val="00A44868"/>
    <w:rsid w:val="00A449DF"/>
    <w:rsid w:val="00A44C2D"/>
    <w:rsid w:val="00A44D19"/>
    <w:rsid w:val="00A44DEE"/>
    <w:rsid w:val="00A45109"/>
    <w:rsid w:val="00A4535C"/>
    <w:rsid w:val="00A456AA"/>
    <w:rsid w:val="00A45BB4"/>
    <w:rsid w:val="00A45CE1"/>
    <w:rsid w:val="00A45E9A"/>
    <w:rsid w:val="00A45F93"/>
    <w:rsid w:val="00A4664F"/>
    <w:rsid w:val="00A46BAC"/>
    <w:rsid w:val="00A46CF4"/>
    <w:rsid w:val="00A47003"/>
    <w:rsid w:val="00A471A7"/>
    <w:rsid w:val="00A47255"/>
    <w:rsid w:val="00A47397"/>
    <w:rsid w:val="00A476EB"/>
    <w:rsid w:val="00A47BC8"/>
    <w:rsid w:val="00A47C88"/>
    <w:rsid w:val="00A47D4F"/>
    <w:rsid w:val="00A501F3"/>
    <w:rsid w:val="00A5034B"/>
    <w:rsid w:val="00A5049C"/>
    <w:rsid w:val="00A50532"/>
    <w:rsid w:val="00A505E4"/>
    <w:rsid w:val="00A5086A"/>
    <w:rsid w:val="00A50963"/>
    <w:rsid w:val="00A50969"/>
    <w:rsid w:val="00A509A6"/>
    <w:rsid w:val="00A50AF1"/>
    <w:rsid w:val="00A50B61"/>
    <w:rsid w:val="00A50C7B"/>
    <w:rsid w:val="00A51062"/>
    <w:rsid w:val="00A5112F"/>
    <w:rsid w:val="00A5133B"/>
    <w:rsid w:val="00A516A7"/>
    <w:rsid w:val="00A51784"/>
    <w:rsid w:val="00A5185C"/>
    <w:rsid w:val="00A51FC3"/>
    <w:rsid w:val="00A52153"/>
    <w:rsid w:val="00A5215E"/>
    <w:rsid w:val="00A5231A"/>
    <w:rsid w:val="00A524A2"/>
    <w:rsid w:val="00A5259A"/>
    <w:rsid w:val="00A52670"/>
    <w:rsid w:val="00A52819"/>
    <w:rsid w:val="00A52A26"/>
    <w:rsid w:val="00A53215"/>
    <w:rsid w:val="00A534A6"/>
    <w:rsid w:val="00A53539"/>
    <w:rsid w:val="00A53ACD"/>
    <w:rsid w:val="00A53C32"/>
    <w:rsid w:val="00A53F7F"/>
    <w:rsid w:val="00A54279"/>
    <w:rsid w:val="00A5441E"/>
    <w:rsid w:val="00A54750"/>
    <w:rsid w:val="00A5499B"/>
    <w:rsid w:val="00A549F7"/>
    <w:rsid w:val="00A54DD8"/>
    <w:rsid w:val="00A54FE6"/>
    <w:rsid w:val="00A553B4"/>
    <w:rsid w:val="00A55572"/>
    <w:rsid w:val="00A55751"/>
    <w:rsid w:val="00A5581A"/>
    <w:rsid w:val="00A55B54"/>
    <w:rsid w:val="00A55BF9"/>
    <w:rsid w:val="00A560B6"/>
    <w:rsid w:val="00A56529"/>
    <w:rsid w:val="00A56537"/>
    <w:rsid w:val="00A568A2"/>
    <w:rsid w:val="00A56A89"/>
    <w:rsid w:val="00A56BD0"/>
    <w:rsid w:val="00A56FEE"/>
    <w:rsid w:val="00A57263"/>
    <w:rsid w:val="00A572F1"/>
    <w:rsid w:val="00A57356"/>
    <w:rsid w:val="00A574CD"/>
    <w:rsid w:val="00A578F2"/>
    <w:rsid w:val="00A5793A"/>
    <w:rsid w:val="00A57A45"/>
    <w:rsid w:val="00A57BC3"/>
    <w:rsid w:val="00A57D7D"/>
    <w:rsid w:val="00A57FBF"/>
    <w:rsid w:val="00A60009"/>
    <w:rsid w:val="00A600F0"/>
    <w:rsid w:val="00A6021E"/>
    <w:rsid w:val="00A60AAA"/>
    <w:rsid w:val="00A60B12"/>
    <w:rsid w:val="00A60D1A"/>
    <w:rsid w:val="00A611F3"/>
    <w:rsid w:val="00A61ACE"/>
    <w:rsid w:val="00A61CEE"/>
    <w:rsid w:val="00A61D01"/>
    <w:rsid w:val="00A621B2"/>
    <w:rsid w:val="00A624DF"/>
    <w:rsid w:val="00A62AB5"/>
    <w:rsid w:val="00A62B25"/>
    <w:rsid w:val="00A62C1C"/>
    <w:rsid w:val="00A62F16"/>
    <w:rsid w:val="00A6319E"/>
    <w:rsid w:val="00A63498"/>
    <w:rsid w:val="00A634AB"/>
    <w:rsid w:val="00A63959"/>
    <w:rsid w:val="00A639D4"/>
    <w:rsid w:val="00A64136"/>
    <w:rsid w:val="00A641B5"/>
    <w:rsid w:val="00A642B2"/>
    <w:rsid w:val="00A642E7"/>
    <w:rsid w:val="00A64434"/>
    <w:rsid w:val="00A64868"/>
    <w:rsid w:val="00A64E18"/>
    <w:rsid w:val="00A64F02"/>
    <w:rsid w:val="00A64FB3"/>
    <w:rsid w:val="00A64FF7"/>
    <w:rsid w:val="00A650A4"/>
    <w:rsid w:val="00A65587"/>
    <w:rsid w:val="00A655D9"/>
    <w:rsid w:val="00A6564D"/>
    <w:rsid w:val="00A6583E"/>
    <w:rsid w:val="00A65868"/>
    <w:rsid w:val="00A65B42"/>
    <w:rsid w:val="00A65E42"/>
    <w:rsid w:val="00A66104"/>
    <w:rsid w:val="00A663E5"/>
    <w:rsid w:val="00A664E6"/>
    <w:rsid w:val="00A66705"/>
    <w:rsid w:val="00A669E8"/>
    <w:rsid w:val="00A66BD1"/>
    <w:rsid w:val="00A66D57"/>
    <w:rsid w:val="00A66E18"/>
    <w:rsid w:val="00A67049"/>
    <w:rsid w:val="00A67213"/>
    <w:rsid w:val="00A6770D"/>
    <w:rsid w:val="00A67E19"/>
    <w:rsid w:val="00A67E84"/>
    <w:rsid w:val="00A67EE7"/>
    <w:rsid w:val="00A70523"/>
    <w:rsid w:val="00A705DE"/>
    <w:rsid w:val="00A70712"/>
    <w:rsid w:val="00A7074C"/>
    <w:rsid w:val="00A70902"/>
    <w:rsid w:val="00A709B1"/>
    <w:rsid w:val="00A70CF9"/>
    <w:rsid w:val="00A70E62"/>
    <w:rsid w:val="00A70E86"/>
    <w:rsid w:val="00A70F82"/>
    <w:rsid w:val="00A70FED"/>
    <w:rsid w:val="00A710F4"/>
    <w:rsid w:val="00A7116A"/>
    <w:rsid w:val="00A71B7A"/>
    <w:rsid w:val="00A71B9C"/>
    <w:rsid w:val="00A71BAA"/>
    <w:rsid w:val="00A71C61"/>
    <w:rsid w:val="00A724D2"/>
    <w:rsid w:val="00A726CF"/>
    <w:rsid w:val="00A728E4"/>
    <w:rsid w:val="00A72ECD"/>
    <w:rsid w:val="00A72EEB"/>
    <w:rsid w:val="00A73517"/>
    <w:rsid w:val="00A73797"/>
    <w:rsid w:val="00A73AC3"/>
    <w:rsid w:val="00A73B19"/>
    <w:rsid w:val="00A73BC0"/>
    <w:rsid w:val="00A7404C"/>
    <w:rsid w:val="00A7432A"/>
    <w:rsid w:val="00A7481A"/>
    <w:rsid w:val="00A748AA"/>
    <w:rsid w:val="00A74A30"/>
    <w:rsid w:val="00A74F43"/>
    <w:rsid w:val="00A75010"/>
    <w:rsid w:val="00A752C9"/>
    <w:rsid w:val="00A75325"/>
    <w:rsid w:val="00A753B9"/>
    <w:rsid w:val="00A75A98"/>
    <w:rsid w:val="00A75C69"/>
    <w:rsid w:val="00A75CE1"/>
    <w:rsid w:val="00A75D44"/>
    <w:rsid w:val="00A75DDD"/>
    <w:rsid w:val="00A75E31"/>
    <w:rsid w:val="00A75ED2"/>
    <w:rsid w:val="00A760E4"/>
    <w:rsid w:val="00A76168"/>
    <w:rsid w:val="00A761FF"/>
    <w:rsid w:val="00A762CA"/>
    <w:rsid w:val="00A765EE"/>
    <w:rsid w:val="00A7676D"/>
    <w:rsid w:val="00A7692F"/>
    <w:rsid w:val="00A76B78"/>
    <w:rsid w:val="00A76CDB"/>
    <w:rsid w:val="00A76D8C"/>
    <w:rsid w:val="00A77329"/>
    <w:rsid w:val="00A77356"/>
    <w:rsid w:val="00A77591"/>
    <w:rsid w:val="00A775E6"/>
    <w:rsid w:val="00A7780C"/>
    <w:rsid w:val="00A77BA8"/>
    <w:rsid w:val="00A80086"/>
    <w:rsid w:val="00A80215"/>
    <w:rsid w:val="00A80299"/>
    <w:rsid w:val="00A8069E"/>
    <w:rsid w:val="00A808EB"/>
    <w:rsid w:val="00A80A92"/>
    <w:rsid w:val="00A80B83"/>
    <w:rsid w:val="00A80B8A"/>
    <w:rsid w:val="00A8128E"/>
    <w:rsid w:val="00A8147D"/>
    <w:rsid w:val="00A816E4"/>
    <w:rsid w:val="00A81891"/>
    <w:rsid w:val="00A81990"/>
    <w:rsid w:val="00A81A8D"/>
    <w:rsid w:val="00A82110"/>
    <w:rsid w:val="00A82323"/>
    <w:rsid w:val="00A827EA"/>
    <w:rsid w:val="00A829F2"/>
    <w:rsid w:val="00A82BF2"/>
    <w:rsid w:val="00A82F83"/>
    <w:rsid w:val="00A832A6"/>
    <w:rsid w:val="00A83904"/>
    <w:rsid w:val="00A8399C"/>
    <w:rsid w:val="00A83BA4"/>
    <w:rsid w:val="00A83CDF"/>
    <w:rsid w:val="00A84012"/>
    <w:rsid w:val="00A84114"/>
    <w:rsid w:val="00A842A7"/>
    <w:rsid w:val="00A84533"/>
    <w:rsid w:val="00A8465E"/>
    <w:rsid w:val="00A84E30"/>
    <w:rsid w:val="00A84E48"/>
    <w:rsid w:val="00A85291"/>
    <w:rsid w:val="00A852D8"/>
    <w:rsid w:val="00A852F0"/>
    <w:rsid w:val="00A8531E"/>
    <w:rsid w:val="00A854B1"/>
    <w:rsid w:val="00A85525"/>
    <w:rsid w:val="00A8563B"/>
    <w:rsid w:val="00A858CD"/>
    <w:rsid w:val="00A859AB"/>
    <w:rsid w:val="00A85DF3"/>
    <w:rsid w:val="00A8614D"/>
    <w:rsid w:val="00A86338"/>
    <w:rsid w:val="00A8648D"/>
    <w:rsid w:val="00A865B3"/>
    <w:rsid w:val="00A86C7D"/>
    <w:rsid w:val="00A86D24"/>
    <w:rsid w:val="00A86F26"/>
    <w:rsid w:val="00A86F9D"/>
    <w:rsid w:val="00A871F1"/>
    <w:rsid w:val="00A8721A"/>
    <w:rsid w:val="00A87509"/>
    <w:rsid w:val="00A875BF"/>
    <w:rsid w:val="00A8779E"/>
    <w:rsid w:val="00A90335"/>
    <w:rsid w:val="00A90516"/>
    <w:rsid w:val="00A9054E"/>
    <w:rsid w:val="00A90655"/>
    <w:rsid w:val="00A90712"/>
    <w:rsid w:val="00A90A33"/>
    <w:rsid w:val="00A90C31"/>
    <w:rsid w:val="00A90D4C"/>
    <w:rsid w:val="00A90F70"/>
    <w:rsid w:val="00A910E7"/>
    <w:rsid w:val="00A91185"/>
    <w:rsid w:val="00A91446"/>
    <w:rsid w:val="00A9176C"/>
    <w:rsid w:val="00A9181C"/>
    <w:rsid w:val="00A92002"/>
    <w:rsid w:val="00A9210F"/>
    <w:rsid w:val="00A92388"/>
    <w:rsid w:val="00A92806"/>
    <w:rsid w:val="00A92B24"/>
    <w:rsid w:val="00A93003"/>
    <w:rsid w:val="00A934F3"/>
    <w:rsid w:val="00A93792"/>
    <w:rsid w:val="00A93925"/>
    <w:rsid w:val="00A93A9E"/>
    <w:rsid w:val="00A93C44"/>
    <w:rsid w:val="00A93DB2"/>
    <w:rsid w:val="00A93E70"/>
    <w:rsid w:val="00A93F52"/>
    <w:rsid w:val="00A940C1"/>
    <w:rsid w:val="00A9429C"/>
    <w:rsid w:val="00A944E9"/>
    <w:rsid w:val="00A94A8F"/>
    <w:rsid w:val="00A94ABE"/>
    <w:rsid w:val="00A94B27"/>
    <w:rsid w:val="00A94C8C"/>
    <w:rsid w:val="00A94CBB"/>
    <w:rsid w:val="00A94E88"/>
    <w:rsid w:val="00A94F65"/>
    <w:rsid w:val="00A9504C"/>
    <w:rsid w:val="00A951CB"/>
    <w:rsid w:val="00A951FC"/>
    <w:rsid w:val="00A95306"/>
    <w:rsid w:val="00A95852"/>
    <w:rsid w:val="00A95D4B"/>
    <w:rsid w:val="00A96015"/>
    <w:rsid w:val="00A96119"/>
    <w:rsid w:val="00A9632A"/>
    <w:rsid w:val="00A9658A"/>
    <w:rsid w:val="00A96D31"/>
    <w:rsid w:val="00A96D78"/>
    <w:rsid w:val="00A96E27"/>
    <w:rsid w:val="00A96F9E"/>
    <w:rsid w:val="00A97043"/>
    <w:rsid w:val="00A9711B"/>
    <w:rsid w:val="00A97371"/>
    <w:rsid w:val="00A97573"/>
    <w:rsid w:val="00AA021F"/>
    <w:rsid w:val="00AA0384"/>
    <w:rsid w:val="00AA03C4"/>
    <w:rsid w:val="00AA046B"/>
    <w:rsid w:val="00AA053C"/>
    <w:rsid w:val="00AA07E9"/>
    <w:rsid w:val="00AA0B24"/>
    <w:rsid w:val="00AA0C01"/>
    <w:rsid w:val="00AA0CB5"/>
    <w:rsid w:val="00AA0E6C"/>
    <w:rsid w:val="00AA123C"/>
    <w:rsid w:val="00AA1632"/>
    <w:rsid w:val="00AA177C"/>
    <w:rsid w:val="00AA2010"/>
    <w:rsid w:val="00AA2163"/>
    <w:rsid w:val="00AA299B"/>
    <w:rsid w:val="00AA2C04"/>
    <w:rsid w:val="00AA2C59"/>
    <w:rsid w:val="00AA2D1F"/>
    <w:rsid w:val="00AA2F31"/>
    <w:rsid w:val="00AA31BC"/>
    <w:rsid w:val="00AA35F7"/>
    <w:rsid w:val="00AA36B9"/>
    <w:rsid w:val="00AA37AF"/>
    <w:rsid w:val="00AA389C"/>
    <w:rsid w:val="00AA3B6D"/>
    <w:rsid w:val="00AA3D43"/>
    <w:rsid w:val="00AA3DB8"/>
    <w:rsid w:val="00AA40AA"/>
    <w:rsid w:val="00AA4173"/>
    <w:rsid w:val="00AA4468"/>
    <w:rsid w:val="00AA4547"/>
    <w:rsid w:val="00AA480C"/>
    <w:rsid w:val="00AA4827"/>
    <w:rsid w:val="00AA4F17"/>
    <w:rsid w:val="00AA5077"/>
    <w:rsid w:val="00AA50FD"/>
    <w:rsid w:val="00AA52FE"/>
    <w:rsid w:val="00AA599B"/>
    <w:rsid w:val="00AA5AA9"/>
    <w:rsid w:val="00AA5AE6"/>
    <w:rsid w:val="00AA60CE"/>
    <w:rsid w:val="00AA622A"/>
    <w:rsid w:val="00AA64BB"/>
    <w:rsid w:val="00AA69D3"/>
    <w:rsid w:val="00AA6A7B"/>
    <w:rsid w:val="00AA7433"/>
    <w:rsid w:val="00AA74E7"/>
    <w:rsid w:val="00AA7AED"/>
    <w:rsid w:val="00AA7EE3"/>
    <w:rsid w:val="00AA7F5F"/>
    <w:rsid w:val="00AB02F6"/>
    <w:rsid w:val="00AB0404"/>
    <w:rsid w:val="00AB0576"/>
    <w:rsid w:val="00AB075D"/>
    <w:rsid w:val="00AB0788"/>
    <w:rsid w:val="00AB090E"/>
    <w:rsid w:val="00AB090F"/>
    <w:rsid w:val="00AB0D13"/>
    <w:rsid w:val="00AB0E3B"/>
    <w:rsid w:val="00AB0F63"/>
    <w:rsid w:val="00AB115D"/>
    <w:rsid w:val="00AB164D"/>
    <w:rsid w:val="00AB17D0"/>
    <w:rsid w:val="00AB1917"/>
    <w:rsid w:val="00AB1C28"/>
    <w:rsid w:val="00AB1C95"/>
    <w:rsid w:val="00AB1E6B"/>
    <w:rsid w:val="00AB2358"/>
    <w:rsid w:val="00AB2460"/>
    <w:rsid w:val="00AB2665"/>
    <w:rsid w:val="00AB2B32"/>
    <w:rsid w:val="00AB2C54"/>
    <w:rsid w:val="00AB2C6D"/>
    <w:rsid w:val="00AB31F8"/>
    <w:rsid w:val="00AB3335"/>
    <w:rsid w:val="00AB33E9"/>
    <w:rsid w:val="00AB364A"/>
    <w:rsid w:val="00AB3B90"/>
    <w:rsid w:val="00AB3C48"/>
    <w:rsid w:val="00AB3C68"/>
    <w:rsid w:val="00AB4035"/>
    <w:rsid w:val="00AB40CF"/>
    <w:rsid w:val="00AB44D0"/>
    <w:rsid w:val="00AB4563"/>
    <w:rsid w:val="00AB4952"/>
    <w:rsid w:val="00AB4A3A"/>
    <w:rsid w:val="00AB4B6A"/>
    <w:rsid w:val="00AB4CAA"/>
    <w:rsid w:val="00AB4E07"/>
    <w:rsid w:val="00AB5486"/>
    <w:rsid w:val="00AB54A0"/>
    <w:rsid w:val="00AB55B8"/>
    <w:rsid w:val="00AB57B5"/>
    <w:rsid w:val="00AB5CA6"/>
    <w:rsid w:val="00AB5DC8"/>
    <w:rsid w:val="00AB5DED"/>
    <w:rsid w:val="00AB5E80"/>
    <w:rsid w:val="00AB5FE2"/>
    <w:rsid w:val="00AB60DC"/>
    <w:rsid w:val="00AB61B9"/>
    <w:rsid w:val="00AB6280"/>
    <w:rsid w:val="00AB634A"/>
    <w:rsid w:val="00AB6371"/>
    <w:rsid w:val="00AB67CD"/>
    <w:rsid w:val="00AB686E"/>
    <w:rsid w:val="00AB6F01"/>
    <w:rsid w:val="00AB7149"/>
    <w:rsid w:val="00AB71A9"/>
    <w:rsid w:val="00AB7300"/>
    <w:rsid w:val="00AB73CA"/>
    <w:rsid w:val="00AB75E7"/>
    <w:rsid w:val="00AB7619"/>
    <w:rsid w:val="00AB76BA"/>
    <w:rsid w:val="00AB777F"/>
    <w:rsid w:val="00AB799C"/>
    <w:rsid w:val="00AB7A09"/>
    <w:rsid w:val="00AB7B2E"/>
    <w:rsid w:val="00AC01E4"/>
    <w:rsid w:val="00AC0263"/>
    <w:rsid w:val="00AC0540"/>
    <w:rsid w:val="00AC05CC"/>
    <w:rsid w:val="00AC0722"/>
    <w:rsid w:val="00AC0B77"/>
    <w:rsid w:val="00AC0EF1"/>
    <w:rsid w:val="00AC14BE"/>
    <w:rsid w:val="00AC1938"/>
    <w:rsid w:val="00AC1BCA"/>
    <w:rsid w:val="00AC1E7D"/>
    <w:rsid w:val="00AC1F06"/>
    <w:rsid w:val="00AC20FC"/>
    <w:rsid w:val="00AC24AC"/>
    <w:rsid w:val="00AC2609"/>
    <w:rsid w:val="00AC270A"/>
    <w:rsid w:val="00AC278B"/>
    <w:rsid w:val="00AC2C37"/>
    <w:rsid w:val="00AC2E5D"/>
    <w:rsid w:val="00AC32A7"/>
    <w:rsid w:val="00AC32B4"/>
    <w:rsid w:val="00AC3345"/>
    <w:rsid w:val="00AC352D"/>
    <w:rsid w:val="00AC3970"/>
    <w:rsid w:val="00AC4555"/>
    <w:rsid w:val="00AC4719"/>
    <w:rsid w:val="00AC482B"/>
    <w:rsid w:val="00AC4BF5"/>
    <w:rsid w:val="00AC4C0D"/>
    <w:rsid w:val="00AC4C7C"/>
    <w:rsid w:val="00AC4CF7"/>
    <w:rsid w:val="00AC527E"/>
    <w:rsid w:val="00AC5337"/>
    <w:rsid w:val="00AC566D"/>
    <w:rsid w:val="00AC56D3"/>
    <w:rsid w:val="00AC57AB"/>
    <w:rsid w:val="00AC57AC"/>
    <w:rsid w:val="00AC5ADC"/>
    <w:rsid w:val="00AC5FA8"/>
    <w:rsid w:val="00AC63AB"/>
    <w:rsid w:val="00AC667F"/>
    <w:rsid w:val="00AC6AC0"/>
    <w:rsid w:val="00AC7106"/>
    <w:rsid w:val="00AD02FB"/>
    <w:rsid w:val="00AD076B"/>
    <w:rsid w:val="00AD07A8"/>
    <w:rsid w:val="00AD0DDC"/>
    <w:rsid w:val="00AD0F92"/>
    <w:rsid w:val="00AD10F6"/>
    <w:rsid w:val="00AD140C"/>
    <w:rsid w:val="00AD16CB"/>
    <w:rsid w:val="00AD195B"/>
    <w:rsid w:val="00AD1F81"/>
    <w:rsid w:val="00AD2079"/>
    <w:rsid w:val="00AD24D3"/>
    <w:rsid w:val="00AD26FC"/>
    <w:rsid w:val="00AD2B14"/>
    <w:rsid w:val="00AD2C25"/>
    <w:rsid w:val="00AD2EB8"/>
    <w:rsid w:val="00AD2EF9"/>
    <w:rsid w:val="00AD3467"/>
    <w:rsid w:val="00AD36D6"/>
    <w:rsid w:val="00AD3926"/>
    <w:rsid w:val="00AD3A52"/>
    <w:rsid w:val="00AD4095"/>
    <w:rsid w:val="00AD4404"/>
    <w:rsid w:val="00AD4A80"/>
    <w:rsid w:val="00AD4F2D"/>
    <w:rsid w:val="00AD5004"/>
    <w:rsid w:val="00AD5495"/>
    <w:rsid w:val="00AD556F"/>
    <w:rsid w:val="00AD5704"/>
    <w:rsid w:val="00AD5B57"/>
    <w:rsid w:val="00AD5F1A"/>
    <w:rsid w:val="00AD5F5B"/>
    <w:rsid w:val="00AD631F"/>
    <w:rsid w:val="00AD64B5"/>
    <w:rsid w:val="00AD6546"/>
    <w:rsid w:val="00AD6737"/>
    <w:rsid w:val="00AD69A3"/>
    <w:rsid w:val="00AD6C1D"/>
    <w:rsid w:val="00AD6C1F"/>
    <w:rsid w:val="00AD6C6B"/>
    <w:rsid w:val="00AD6D3A"/>
    <w:rsid w:val="00AD6E75"/>
    <w:rsid w:val="00AD6F03"/>
    <w:rsid w:val="00AD7007"/>
    <w:rsid w:val="00AD713B"/>
    <w:rsid w:val="00AD726B"/>
    <w:rsid w:val="00AD73AD"/>
    <w:rsid w:val="00AD753C"/>
    <w:rsid w:val="00AD7734"/>
    <w:rsid w:val="00AD77D7"/>
    <w:rsid w:val="00AD7B7F"/>
    <w:rsid w:val="00AD7D3F"/>
    <w:rsid w:val="00AE006B"/>
    <w:rsid w:val="00AE00DF"/>
    <w:rsid w:val="00AE036C"/>
    <w:rsid w:val="00AE05E8"/>
    <w:rsid w:val="00AE0D4F"/>
    <w:rsid w:val="00AE1408"/>
    <w:rsid w:val="00AE1A62"/>
    <w:rsid w:val="00AE1B15"/>
    <w:rsid w:val="00AE1CD5"/>
    <w:rsid w:val="00AE1EB0"/>
    <w:rsid w:val="00AE1EB7"/>
    <w:rsid w:val="00AE1ECC"/>
    <w:rsid w:val="00AE220E"/>
    <w:rsid w:val="00AE23D7"/>
    <w:rsid w:val="00AE23EE"/>
    <w:rsid w:val="00AE2826"/>
    <w:rsid w:val="00AE3107"/>
    <w:rsid w:val="00AE359C"/>
    <w:rsid w:val="00AE35DE"/>
    <w:rsid w:val="00AE382D"/>
    <w:rsid w:val="00AE3C6E"/>
    <w:rsid w:val="00AE3D94"/>
    <w:rsid w:val="00AE3F96"/>
    <w:rsid w:val="00AE3FC2"/>
    <w:rsid w:val="00AE4284"/>
    <w:rsid w:val="00AE42F0"/>
    <w:rsid w:val="00AE4543"/>
    <w:rsid w:val="00AE4563"/>
    <w:rsid w:val="00AE4659"/>
    <w:rsid w:val="00AE48F7"/>
    <w:rsid w:val="00AE4B13"/>
    <w:rsid w:val="00AE4CB6"/>
    <w:rsid w:val="00AE4CB8"/>
    <w:rsid w:val="00AE4E83"/>
    <w:rsid w:val="00AE4EBD"/>
    <w:rsid w:val="00AE50EA"/>
    <w:rsid w:val="00AE51C1"/>
    <w:rsid w:val="00AE543F"/>
    <w:rsid w:val="00AE5618"/>
    <w:rsid w:val="00AE58C9"/>
    <w:rsid w:val="00AE58F1"/>
    <w:rsid w:val="00AE59CF"/>
    <w:rsid w:val="00AE5C6F"/>
    <w:rsid w:val="00AE5FA5"/>
    <w:rsid w:val="00AE60EA"/>
    <w:rsid w:val="00AE650F"/>
    <w:rsid w:val="00AE6515"/>
    <w:rsid w:val="00AE6527"/>
    <w:rsid w:val="00AE65B8"/>
    <w:rsid w:val="00AE6616"/>
    <w:rsid w:val="00AE68E7"/>
    <w:rsid w:val="00AE690F"/>
    <w:rsid w:val="00AE692F"/>
    <w:rsid w:val="00AE6B86"/>
    <w:rsid w:val="00AE6D11"/>
    <w:rsid w:val="00AE6F53"/>
    <w:rsid w:val="00AE71DB"/>
    <w:rsid w:val="00AE725F"/>
    <w:rsid w:val="00AE75D9"/>
    <w:rsid w:val="00AE76C2"/>
    <w:rsid w:val="00AE7C55"/>
    <w:rsid w:val="00AE7F3A"/>
    <w:rsid w:val="00AF012F"/>
    <w:rsid w:val="00AF0297"/>
    <w:rsid w:val="00AF069C"/>
    <w:rsid w:val="00AF06F8"/>
    <w:rsid w:val="00AF0845"/>
    <w:rsid w:val="00AF09F3"/>
    <w:rsid w:val="00AF0D2E"/>
    <w:rsid w:val="00AF0F45"/>
    <w:rsid w:val="00AF1224"/>
    <w:rsid w:val="00AF1551"/>
    <w:rsid w:val="00AF1A0F"/>
    <w:rsid w:val="00AF1A7B"/>
    <w:rsid w:val="00AF1DD7"/>
    <w:rsid w:val="00AF1DE4"/>
    <w:rsid w:val="00AF1EC7"/>
    <w:rsid w:val="00AF1F95"/>
    <w:rsid w:val="00AF23C2"/>
    <w:rsid w:val="00AF242A"/>
    <w:rsid w:val="00AF24A3"/>
    <w:rsid w:val="00AF26BA"/>
    <w:rsid w:val="00AF277D"/>
    <w:rsid w:val="00AF2900"/>
    <w:rsid w:val="00AF2ACA"/>
    <w:rsid w:val="00AF2D00"/>
    <w:rsid w:val="00AF2E53"/>
    <w:rsid w:val="00AF2E86"/>
    <w:rsid w:val="00AF3049"/>
    <w:rsid w:val="00AF33DF"/>
    <w:rsid w:val="00AF367D"/>
    <w:rsid w:val="00AF3975"/>
    <w:rsid w:val="00AF39EB"/>
    <w:rsid w:val="00AF3B97"/>
    <w:rsid w:val="00AF410F"/>
    <w:rsid w:val="00AF445A"/>
    <w:rsid w:val="00AF466D"/>
    <w:rsid w:val="00AF4943"/>
    <w:rsid w:val="00AF4AF3"/>
    <w:rsid w:val="00AF51D1"/>
    <w:rsid w:val="00AF53C5"/>
    <w:rsid w:val="00AF5871"/>
    <w:rsid w:val="00AF591E"/>
    <w:rsid w:val="00AF5C41"/>
    <w:rsid w:val="00AF5F71"/>
    <w:rsid w:val="00AF5FE7"/>
    <w:rsid w:val="00AF601E"/>
    <w:rsid w:val="00AF6195"/>
    <w:rsid w:val="00AF6A35"/>
    <w:rsid w:val="00AF6ADA"/>
    <w:rsid w:val="00AF723B"/>
    <w:rsid w:val="00AF7813"/>
    <w:rsid w:val="00AF7A42"/>
    <w:rsid w:val="00AF7D58"/>
    <w:rsid w:val="00AF7EB8"/>
    <w:rsid w:val="00B0027B"/>
    <w:rsid w:val="00B002A3"/>
    <w:rsid w:val="00B003E4"/>
    <w:rsid w:val="00B00512"/>
    <w:rsid w:val="00B00782"/>
    <w:rsid w:val="00B00A44"/>
    <w:rsid w:val="00B00AED"/>
    <w:rsid w:val="00B00E62"/>
    <w:rsid w:val="00B00F73"/>
    <w:rsid w:val="00B010B8"/>
    <w:rsid w:val="00B016C2"/>
    <w:rsid w:val="00B01958"/>
    <w:rsid w:val="00B01984"/>
    <w:rsid w:val="00B01A81"/>
    <w:rsid w:val="00B01BCF"/>
    <w:rsid w:val="00B01DC2"/>
    <w:rsid w:val="00B01FD9"/>
    <w:rsid w:val="00B02101"/>
    <w:rsid w:val="00B02191"/>
    <w:rsid w:val="00B02DBC"/>
    <w:rsid w:val="00B02E67"/>
    <w:rsid w:val="00B03048"/>
    <w:rsid w:val="00B035D5"/>
    <w:rsid w:val="00B039CC"/>
    <w:rsid w:val="00B03D55"/>
    <w:rsid w:val="00B03DE6"/>
    <w:rsid w:val="00B03FA3"/>
    <w:rsid w:val="00B041E8"/>
    <w:rsid w:val="00B041F7"/>
    <w:rsid w:val="00B0468B"/>
    <w:rsid w:val="00B04889"/>
    <w:rsid w:val="00B04A92"/>
    <w:rsid w:val="00B04B7C"/>
    <w:rsid w:val="00B04DC5"/>
    <w:rsid w:val="00B05541"/>
    <w:rsid w:val="00B0559D"/>
    <w:rsid w:val="00B055F0"/>
    <w:rsid w:val="00B0576F"/>
    <w:rsid w:val="00B05940"/>
    <w:rsid w:val="00B05C14"/>
    <w:rsid w:val="00B05C1D"/>
    <w:rsid w:val="00B05EB4"/>
    <w:rsid w:val="00B06045"/>
    <w:rsid w:val="00B06285"/>
    <w:rsid w:val="00B0638F"/>
    <w:rsid w:val="00B063B0"/>
    <w:rsid w:val="00B063CB"/>
    <w:rsid w:val="00B065AC"/>
    <w:rsid w:val="00B0674F"/>
    <w:rsid w:val="00B067CA"/>
    <w:rsid w:val="00B06D88"/>
    <w:rsid w:val="00B07280"/>
    <w:rsid w:val="00B0746E"/>
    <w:rsid w:val="00B075B8"/>
    <w:rsid w:val="00B0761D"/>
    <w:rsid w:val="00B07635"/>
    <w:rsid w:val="00B076AB"/>
    <w:rsid w:val="00B077F4"/>
    <w:rsid w:val="00B07A61"/>
    <w:rsid w:val="00B07B2A"/>
    <w:rsid w:val="00B07C52"/>
    <w:rsid w:val="00B07C66"/>
    <w:rsid w:val="00B10229"/>
    <w:rsid w:val="00B1029D"/>
    <w:rsid w:val="00B1046D"/>
    <w:rsid w:val="00B1050C"/>
    <w:rsid w:val="00B10C57"/>
    <w:rsid w:val="00B111F2"/>
    <w:rsid w:val="00B11361"/>
    <w:rsid w:val="00B1176D"/>
    <w:rsid w:val="00B1183A"/>
    <w:rsid w:val="00B11D29"/>
    <w:rsid w:val="00B11D80"/>
    <w:rsid w:val="00B11E3F"/>
    <w:rsid w:val="00B11E94"/>
    <w:rsid w:val="00B11ED5"/>
    <w:rsid w:val="00B12139"/>
    <w:rsid w:val="00B12157"/>
    <w:rsid w:val="00B1227B"/>
    <w:rsid w:val="00B12678"/>
    <w:rsid w:val="00B127D6"/>
    <w:rsid w:val="00B12CFB"/>
    <w:rsid w:val="00B12D2A"/>
    <w:rsid w:val="00B12E9F"/>
    <w:rsid w:val="00B130E4"/>
    <w:rsid w:val="00B13660"/>
    <w:rsid w:val="00B136F2"/>
    <w:rsid w:val="00B13C69"/>
    <w:rsid w:val="00B13CF0"/>
    <w:rsid w:val="00B13EF1"/>
    <w:rsid w:val="00B13F34"/>
    <w:rsid w:val="00B14065"/>
    <w:rsid w:val="00B14A45"/>
    <w:rsid w:val="00B14A6F"/>
    <w:rsid w:val="00B15407"/>
    <w:rsid w:val="00B1550F"/>
    <w:rsid w:val="00B1565E"/>
    <w:rsid w:val="00B1590C"/>
    <w:rsid w:val="00B15926"/>
    <w:rsid w:val="00B15970"/>
    <w:rsid w:val="00B15A6B"/>
    <w:rsid w:val="00B15B12"/>
    <w:rsid w:val="00B15DB4"/>
    <w:rsid w:val="00B1605D"/>
    <w:rsid w:val="00B16788"/>
    <w:rsid w:val="00B16ADC"/>
    <w:rsid w:val="00B16BEA"/>
    <w:rsid w:val="00B16DB3"/>
    <w:rsid w:val="00B16F2E"/>
    <w:rsid w:val="00B16F54"/>
    <w:rsid w:val="00B17127"/>
    <w:rsid w:val="00B172DC"/>
    <w:rsid w:val="00B17440"/>
    <w:rsid w:val="00B17B40"/>
    <w:rsid w:val="00B17DE1"/>
    <w:rsid w:val="00B205E7"/>
    <w:rsid w:val="00B209FD"/>
    <w:rsid w:val="00B20FA1"/>
    <w:rsid w:val="00B210B7"/>
    <w:rsid w:val="00B2121D"/>
    <w:rsid w:val="00B212F4"/>
    <w:rsid w:val="00B214CE"/>
    <w:rsid w:val="00B21725"/>
    <w:rsid w:val="00B21883"/>
    <w:rsid w:val="00B21942"/>
    <w:rsid w:val="00B21AD3"/>
    <w:rsid w:val="00B21C22"/>
    <w:rsid w:val="00B21EB1"/>
    <w:rsid w:val="00B21F18"/>
    <w:rsid w:val="00B21F2F"/>
    <w:rsid w:val="00B224F9"/>
    <w:rsid w:val="00B225BE"/>
    <w:rsid w:val="00B226FA"/>
    <w:rsid w:val="00B227D5"/>
    <w:rsid w:val="00B2290C"/>
    <w:rsid w:val="00B22BA9"/>
    <w:rsid w:val="00B22D58"/>
    <w:rsid w:val="00B22DC2"/>
    <w:rsid w:val="00B22FB6"/>
    <w:rsid w:val="00B233F4"/>
    <w:rsid w:val="00B23671"/>
    <w:rsid w:val="00B23728"/>
    <w:rsid w:val="00B2388A"/>
    <w:rsid w:val="00B238B6"/>
    <w:rsid w:val="00B2397E"/>
    <w:rsid w:val="00B239C7"/>
    <w:rsid w:val="00B23C50"/>
    <w:rsid w:val="00B23E73"/>
    <w:rsid w:val="00B23FC0"/>
    <w:rsid w:val="00B24093"/>
    <w:rsid w:val="00B243E9"/>
    <w:rsid w:val="00B24418"/>
    <w:rsid w:val="00B24425"/>
    <w:rsid w:val="00B24692"/>
    <w:rsid w:val="00B24766"/>
    <w:rsid w:val="00B249ED"/>
    <w:rsid w:val="00B25217"/>
    <w:rsid w:val="00B25277"/>
    <w:rsid w:val="00B252E5"/>
    <w:rsid w:val="00B25A69"/>
    <w:rsid w:val="00B25DB4"/>
    <w:rsid w:val="00B2601B"/>
    <w:rsid w:val="00B26483"/>
    <w:rsid w:val="00B26E01"/>
    <w:rsid w:val="00B2727E"/>
    <w:rsid w:val="00B27296"/>
    <w:rsid w:val="00B275D5"/>
    <w:rsid w:val="00B2766F"/>
    <w:rsid w:val="00B27B11"/>
    <w:rsid w:val="00B27C16"/>
    <w:rsid w:val="00B3008A"/>
    <w:rsid w:val="00B30266"/>
    <w:rsid w:val="00B30344"/>
    <w:rsid w:val="00B3052D"/>
    <w:rsid w:val="00B306A2"/>
    <w:rsid w:val="00B3091B"/>
    <w:rsid w:val="00B30C98"/>
    <w:rsid w:val="00B314D4"/>
    <w:rsid w:val="00B31597"/>
    <w:rsid w:val="00B315FC"/>
    <w:rsid w:val="00B31736"/>
    <w:rsid w:val="00B3183A"/>
    <w:rsid w:val="00B31979"/>
    <w:rsid w:val="00B31DC4"/>
    <w:rsid w:val="00B3219A"/>
    <w:rsid w:val="00B32646"/>
    <w:rsid w:val="00B32667"/>
    <w:rsid w:val="00B336AF"/>
    <w:rsid w:val="00B339E2"/>
    <w:rsid w:val="00B33B53"/>
    <w:rsid w:val="00B33DEF"/>
    <w:rsid w:val="00B33FDA"/>
    <w:rsid w:val="00B3418B"/>
    <w:rsid w:val="00B343F7"/>
    <w:rsid w:val="00B3477D"/>
    <w:rsid w:val="00B34784"/>
    <w:rsid w:val="00B349A9"/>
    <w:rsid w:val="00B34A3B"/>
    <w:rsid w:val="00B3514F"/>
    <w:rsid w:val="00B35655"/>
    <w:rsid w:val="00B356F1"/>
    <w:rsid w:val="00B357DA"/>
    <w:rsid w:val="00B35AEE"/>
    <w:rsid w:val="00B35BD5"/>
    <w:rsid w:val="00B35D04"/>
    <w:rsid w:val="00B35DEB"/>
    <w:rsid w:val="00B35EE5"/>
    <w:rsid w:val="00B36EC9"/>
    <w:rsid w:val="00B372C3"/>
    <w:rsid w:val="00B3750B"/>
    <w:rsid w:val="00B378DD"/>
    <w:rsid w:val="00B379CF"/>
    <w:rsid w:val="00B37D32"/>
    <w:rsid w:val="00B37F71"/>
    <w:rsid w:val="00B402BF"/>
    <w:rsid w:val="00B40524"/>
    <w:rsid w:val="00B4088C"/>
    <w:rsid w:val="00B41086"/>
    <w:rsid w:val="00B412C3"/>
    <w:rsid w:val="00B41459"/>
    <w:rsid w:val="00B41690"/>
    <w:rsid w:val="00B41795"/>
    <w:rsid w:val="00B41A0B"/>
    <w:rsid w:val="00B41BDE"/>
    <w:rsid w:val="00B41DCD"/>
    <w:rsid w:val="00B420A5"/>
    <w:rsid w:val="00B42351"/>
    <w:rsid w:val="00B4242E"/>
    <w:rsid w:val="00B4289A"/>
    <w:rsid w:val="00B42D82"/>
    <w:rsid w:val="00B42D98"/>
    <w:rsid w:val="00B42DF1"/>
    <w:rsid w:val="00B42E17"/>
    <w:rsid w:val="00B43360"/>
    <w:rsid w:val="00B4374F"/>
    <w:rsid w:val="00B439E9"/>
    <w:rsid w:val="00B43A34"/>
    <w:rsid w:val="00B43A77"/>
    <w:rsid w:val="00B44143"/>
    <w:rsid w:val="00B44177"/>
    <w:rsid w:val="00B443EA"/>
    <w:rsid w:val="00B4485D"/>
    <w:rsid w:val="00B44F5B"/>
    <w:rsid w:val="00B45505"/>
    <w:rsid w:val="00B45556"/>
    <w:rsid w:val="00B455D8"/>
    <w:rsid w:val="00B459A1"/>
    <w:rsid w:val="00B45A66"/>
    <w:rsid w:val="00B45A7A"/>
    <w:rsid w:val="00B45ADF"/>
    <w:rsid w:val="00B45CD5"/>
    <w:rsid w:val="00B45D3C"/>
    <w:rsid w:val="00B45DEA"/>
    <w:rsid w:val="00B45EA5"/>
    <w:rsid w:val="00B45FB8"/>
    <w:rsid w:val="00B4604B"/>
    <w:rsid w:val="00B46115"/>
    <w:rsid w:val="00B461A2"/>
    <w:rsid w:val="00B461CD"/>
    <w:rsid w:val="00B4695E"/>
    <w:rsid w:val="00B469C8"/>
    <w:rsid w:val="00B46F1B"/>
    <w:rsid w:val="00B46F7D"/>
    <w:rsid w:val="00B471B1"/>
    <w:rsid w:val="00B47247"/>
    <w:rsid w:val="00B47374"/>
    <w:rsid w:val="00B47825"/>
    <w:rsid w:val="00B4789A"/>
    <w:rsid w:val="00B47A82"/>
    <w:rsid w:val="00B47E9F"/>
    <w:rsid w:val="00B5010F"/>
    <w:rsid w:val="00B5042D"/>
    <w:rsid w:val="00B504E4"/>
    <w:rsid w:val="00B50974"/>
    <w:rsid w:val="00B50AD8"/>
    <w:rsid w:val="00B50C09"/>
    <w:rsid w:val="00B50C32"/>
    <w:rsid w:val="00B50F5D"/>
    <w:rsid w:val="00B50FB0"/>
    <w:rsid w:val="00B51114"/>
    <w:rsid w:val="00B51136"/>
    <w:rsid w:val="00B51182"/>
    <w:rsid w:val="00B51513"/>
    <w:rsid w:val="00B5156F"/>
    <w:rsid w:val="00B51610"/>
    <w:rsid w:val="00B51843"/>
    <w:rsid w:val="00B5189E"/>
    <w:rsid w:val="00B51A8E"/>
    <w:rsid w:val="00B51AEE"/>
    <w:rsid w:val="00B51F4D"/>
    <w:rsid w:val="00B520E9"/>
    <w:rsid w:val="00B5223B"/>
    <w:rsid w:val="00B5244D"/>
    <w:rsid w:val="00B52720"/>
    <w:rsid w:val="00B528E9"/>
    <w:rsid w:val="00B529AC"/>
    <w:rsid w:val="00B52EB0"/>
    <w:rsid w:val="00B52ED3"/>
    <w:rsid w:val="00B53098"/>
    <w:rsid w:val="00B530B4"/>
    <w:rsid w:val="00B531DC"/>
    <w:rsid w:val="00B534C2"/>
    <w:rsid w:val="00B537C1"/>
    <w:rsid w:val="00B53A9D"/>
    <w:rsid w:val="00B53C69"/>
    <w:rsid w:val="00B53CA5"/>
    <w:rsid w:val="00B5425E"/>
    <w:rsid w:val="00B54459"/>
    <w:rsid w:val="00B54789"/>
    <w:rsid w:val="00B54F85"/>
    <w:rsid w:val="00B55314"/>
    <w:rsid w:val="00B55450"/>
    <w:rsid w:val="00B55471"/>
    <w:rsid w:val="00B55994"/>
    <w:rsid w:val="00B55C00"/>
    <w:rsid w:val="00B55D1D"/>
    <w:rsid w:val="00B564A6"/>
    <w:rsid w:val="00B56741"/>
    <w:rsid w:val="00B567FE"/>
    <w:rsid w:val="00B5686E"/>
    <w:rsid w:val="00B56F0F"/>
    <w:rsid w:val="00B56F73"/>
    <w:rsid w:val="00B571CB"/>
    <w:rsid w:val="00B573C4"/>
    <w:rsid w:val="00B57401"/>
    <w:rsid w:val="00B57463"/>
    <w:rsid w:val="00B575CE"/>
    <w:rsid w:val="00B575EC"/>
    <w:rsid w:val="00B5776E"/>
    <w:rsid w:val="00B60130"/>
    <w:rsid w:val="00B602C3"/>
    <w:rsid w:val="00B6090D"/>
    <w:rsid w:val="00B609AF"/>
    <w:rsid w:val="00B60EBE"/>
    <w:rsid w:val="00B60FB2"/>
    <w:rsid w:val="00B61229"/>
    <w:rsid w:val="00B614B1"/>
    <w:rsid w:val="00B61657"/>
    <w:rsid w:val="00B61A0B"/>
    <w:rsid w:val="00B61BA7"/>
    <w:rsid w:val="00B61BBD"/>
    <w:rsid w:val="00B61E24"/>
    <w:rsid w:val="00B6207B"/>
    <w:rsid w:val="00B6219B"/>
    <w:rsid w:val="00B62391"/>
    <w:rsid w:val="00B62616"/>
    <w:rsid w:val="00B62669"/>
    <w:rsid w:val="00B62C08"/>
    <w:rsid w:val="00B62D41"/>
    <w:rsid w:val="00B62DD6"/>
    <w:rsid w:val="00B62F71"/>
    <w:rsid w:val="00B63131"/>
    <w:rsid w:val="00B6316D"/>
    <w:rsid w:val="00B631A0"/>
    <w:rsid w:val="00B63680"/>
    <w:rsid w:val="00B63761"/>
    <w:rsid w:val="00B63BB9"/>
    <w:rsid w:val="00B641F3"/>
    <w:rsid w:val="00B6439B"/>
    <w:rsid w:val="00B645EF"/>
    <w:rsid w:val="00B64785"/>
    <w:rsid w:val="00B64E6D"/>
    <w:rsid w:val="00B65392"/>
    <w:rsid w:val="00B655B8"/>
    <w:rsid w:val="00B65638"/>
    <w:rsid w:val="00B65D65"/>
    <w:rsid w:val="00B660DB"/>
    <w:rsid w:val="00B662D3"/>
    <w:rsid w:val="00B66728"/>
    <w:rsid w:val="00B668AF"/>
    <w:rsid w:val="00B669DD"/>
    <w:rsid w:val="00B66C10"/>
    <w:rsid w:val="00B66C2C"/>
    <w:rsid w:val="00B66CEF"/>
    <w:rsid w:val="00B66D1C"/>
    <w:rsid w:val="00B66F7A"/>
    <w:rsid w:val="00B6733A"/>
    <w:rsid w:val="00B673BF"/>
    <w:rsid w:val="00B673F5"/>
    <w:rsid w:val="00B67A34"/>
    <w:rsid w:val="00B67EA3"/>
    <w:rsid w:val="00B70319"/>
    <w:rsid w:val="00B70386"/>
    <w:rsid w:val="00B705D9"/>
    <w:rsid w:val="00B7072B"/>
    <w:rsid w:val="00B70D1C"/>
    <w:rsid w:val="00B70D83"/>
    <w:rsid w:val="00B70DD0"/>
    <w:rsid w:val="00B70F81"/>
    <w:rsid w:val="00B71516"/>
    <w:rsid w:val="00B716DA"/>
    <w:rsid w:val="00B71E86"/>
    <w:rsid w:val="00B71FC4"/>
    <w:rsid w:val="00B722C5"/>
    <w:rsid w:val="00B72415"/>
    <w:rsid w:val="00B72788"/>
    <w:rsid w:val="00B72942"/>
    <w:rsid w:val="00B72A37"/>
    <w:rsid w:val="00B72AC6"/>
    <w:rsid w:val="00B733C5"/>
    <w:rsid w:val="00B73454"/>
    <w:rsid w:val="00B737D8"/>
    <w:rsid w:val="00B738AC"/>
    <w:rsid w:val="00B7392A"/>
    <w:rsid w:val="00B73998"/>
    <w:rsid w:val="00B739BC"/>
    <w:rsid w:val="00B73A14"/>
    <w:rsid w:val="00B73B34"/>
    <w:rsid w:val="00B73C69"/>
    <w:rsid w:val="00B73D4D"/>
    <w:rsid w:val="00B73E2D"/>
    <w:rsid w:val="00B73ECC"/>
    <w:rsid w:val="00B7413C"/>
    <w:rsid w:val="00B74396"/>
    <w:rsid w:val="00B743F5"/>
    <w:rsid w:val="00B74459"/>
    <w:rsid w:val="00B744EA"/>
    <w:rsid w:val="00B7450E"/>
    <w:rsid w:val="00B747BA"/>
    <w:rsid w:val="00B7488B"/>
    <w:rsid w:val="00B74961"/>
    <w:rsid w:val="00B74970"/>
    <w:rsid w:val="00B74AED"/>
    <w:rsid w:val="00B74E31"/>
    <w:rsid w:val="00B74F63"/>
    <w:rsid w:val="00B755F9"/>
    <w:rsid w:val="00B758C5"/>
    <w:rsid w:val="00B7592F"/>
    <w:rsid w:val="00B76144"/>
    <w:rsid w:val="00B76236"/>
    <w:rsid w:val="00B7657A"/>
    <w:rsid w:val="00B76FED"/>
    <w:rsid w:val="00B77300"/>
    <w:rsid w:val="00B77363"/>
    <w:rsid w:val="00B7744C"/>
    <w:rsid w:val="00B77518"/>
    <w:rsid w:val="00B777EC"/>
    <w:rsid w:val="00B77A92"/>
    <w:rsid w:val="00B77D15"/>
    <w:rsid w:val="00B801E0"/>
    <w:rsid w:val="00B803F4"/>
    <w:rsid w:val="00B804B3"/>
    <w:rsid w:val="00B80673"/>
    <w:rsid w:val="00B80CE6"/>
    <w:rsid w:val="00B80D11"/>
    <w:rsid w:val="00B8102C"/>
    <w:rsid w:val="00B81388"/>
    <w:rsid w:val="00B814B2"/>
    <w:rsid w:val="00B81560"/>
    <w:rsid w:val="00B8160A"/>
    <w:rsid w:val="00B8171B"/>
    <w:rsid w:val="00B8180A"/>
    <w:rsid w:val="00B8190A"/>
    <w:rsid w:val="00B8192D"/>
    <w:rsid w:val="00B81A3C"/>
    <w:rsid w:val="00B81AB3"/>
    <w:rsid w:val="00B81BA0"/>
    <w:rsid w:val="00B81C5B"/>
    <w:rsid w:val="00B81F84"/>
    <w:rsid w:val="00B821CC"/>
    <w:rsid w:val="00B822BD"/>
    <w:rsid w:val="00B82525"/>
    <w:rsid w:val="00B829CE"/>
    <w:rsid w:val="00B82A4C"/>
    <w:rsid w:val="00B82C50"/>
    <w:rsid w:val="00B82DEB"/>
    <w:rsid w:val="00B82EA9"/>
    <w:rsid w:val="00B82EEB"/>
    <w:rsid w:val="00B82FE7"/>
    <w:rsid w:val="00B832C6"/>
    <w:rsid w:val="00B83B21"/>
    <w:rsid w:val="00B83C7B"/>
    <w:rsid w:val="00B83D62"/>
    <w:rsid w:val="00B83E08"/>
    <w:rsid w:val="00B83F99"/>
    <w:rsid w:val="00B840C4"/>
    <w:rsid w:val="00B8484E"/>
    <w:rsid w:val="00B8492D"/>
    <w:rsid w:val="00B84B9F"/>
    <w:rsid w:val="00B84C46"/>
    <w:rsid w:val="00B84DB1"/>
    <w:rsid w:val="00B8565E"/>
    <w:rsid w:val="00B85A76"/>
    <w:rsid w:val="00B85AAA"/>
    <w:rsid w:val="00B85AE1"/>
    <w:rsid w:val="00B85AED"/>
    <w:rsid w:val="00B85CD9"/>
    <w:rsid w:val="00B85D9E"/>
    <w:rsid w:val="00B8605C"/>
    <w:rsid w:val="00B8631C"/>
    <w:rsid w:val="00B8657C"/>
    <w:rsid w:val="00B86D70"/>
    <w:rsid w:val="00B86E79"/>
    <w:rsid w:val="00B87160"/>
    <w:rsid w:val="00B8736C"/>
    <w:rsid w:val="00B87729"/>
    <w:rsid w:val="00B87788"/>
    <w:rsid w:val="00B87789"/>
    <w:rsid w:val="00B87C2B"/>
    <w:rsid w:val="00B87EA8"/>
    <w:rsid w:val="00B87F7D"/>
    <w:rsid w:val="00B903DB"/>
    <w:rsid w:val="00B90718"/>
    <w:rsid w:val="00B907CF"/>
    <w:rsid w:val="00B90AB3"/>
    <w:rsid w:val="00B9116C"/>
    <w:rsid w:val="00B911F9"/>
    <w:rsid w:val="00B914AC"/>
    <w:rsid w:val="00B914BA"/>
    <w:rsid w:val="00B91992"/>
    <w:rsid w:val="00B91B16"/>
    <w:rsid w:val="00B91B59"/>
    <w:rsid w:val="00B91B5D"/>
    <w:rsid w:val="00B91C5F"/>
    <w:rsid w:val="00B91EA6"/>
    <w:rsid w:val="00B92179"/>
    <w:rsid w:val="00B92535"/>
    <w:rsid w:val="00B92554"/>
    <w:rsid w:val="00B926F6"/>
    <w:rsid w:val="00B92AA6"/>
    <w:rsid w:val="00B92AB5"/>
    <w:rsid w:val="00B92ADF"/>
    <w:rsid w:val="00B92E6D"/>
    <w:rsid w:val="00B93415"/>
    <w:rsid w:val="00B93477"/>
    <w:rsid w:val="00B93B24"/>
    <w:rsid w:val="00B93DC1"/>
    <w:rsid w:val="00B94818"/>
    <w:rsid w:val="00B94EEC"/>
    <w:rsid w:val="00B9526F"/>
    <w:rsid w:val="00B95AA4"/>
    <w:rsid w:val="00B95BB8"/>
    <w:rsid w:val="00B95C00"/>
    <w:rsid w:val="00B96130"/>
    <w:rsid w:val="00B9698D"/>
    <w:rsid w:val="00B96BDE"/>
    <w:rsid w:val="00B96C1C"/>
    <w:rsid w:val="00B96F4D"/>
    <w:rsid w:val="00B9713D"/>
    <w:rsid w:val="00B971FA"/>
    <w:rsid w:val="00B974F5"/>
    <w:rsid w:val="00B977A8"/>
    <w:rsid w:val="00B97853"/>
    <w:rsid w:val="00B97999"/>
    <w:rsid w:val="00B97E7E"/>
    <w:rsid w:val="00BA0056"/>
    <w:rsid w:val="00BA02A2"/>
    <w:rsid w:val="00BA0444"/>
    <w:rsid w:val="00BA06F8"/>
    <w:rsid w:val="00BA089E"/>
    <w:rsid w:val="00BA0A19"/>
    <w:rsid w:val="00BA0D85"/>
    <w:rsid w:val="00BA0EAD"/>
    <w:rsid w:val="00BA0F0C"/>
    <w:rsid w:val="00BA132C"/>
    <w:rsid w:val="00BA1361"/>
    <w:rsid w:val="00BA172F"/>
    <w:rsid w:val="00BA17D9"/>
    <w:rsid w:val="00BA1EAE"/>
    <w:rsid w:val="00BA2068"/>
    <w:rsid w:val="00BA20B0"/>
    <w:rsid w:val="00BA20EB"/>
    <w:rsid w:val="00BA2213"/>
    <w:rsid w:val="00BA2258"/>
    <w:rsid w:val="00BA22D8"/>
    <w:rsid w:val="00BA28C9"/>
    <w:rsid w:val="00BA2901"/>
    <w:rsid w:val="00BA2D0F"/>
    <w:rsid w:val="00BA35BE"/>
    <w:rsid w:val="00BA3C07"/>
    <w:rsid w:val="00BA3E45"/>
    <w:rsid w:val="00BA416E"/>
    <w:rsid w:val="00BA43DD"/>
    <w:rsid w:val="00BA4477"/>
    <w:rsid w:val="00BA460B"/>
    <w:rsid w:val="00BA4769"/>
    <w:rsid w:val="00BA4798"/>
    <w:rsid w:val="00BA4926"/>
    <w:rsid w:val="00BA4950"/>
    <w:rsid w:val="00BA4EC2"/>
    <w:rsid w:val="00BA4F92"/>
    <w:rsid w:val="00BA586B"/>
    <w:rsid w:val="00BA589A"/>
    <w:rsid w:val="00BA5A04"/>
    <w:rsid w:val="00BA5C3D"/>
    <w:rsid w:val="00BA5EB2"/>
    <w:rsid w:val="00BA6237"/>
    <w:rsid w:val="00BA692D"/>
    <w:rsid w:val="00BA6F1A"/>
    <w:rsid w:val="00BA70C4"/>
    <w:rsid w:val="00BA7624"/>
    <w:rsid w:val="00BA7673"/>
    <w:rsid w:val="00BA7703"/>
    <w:rsid w:val="00BA7C50"/>
    <w:rsid w:val="00BA7C7F"/>
    <w:rsid w:val="00BA7ED4"/>
    <w:rsid w:val="00BA7F67"/>
    <w:rsid w:val="00BB021A"/>
    <w:rsid w:val="00BB07D7"/>
    <w:rsid w:val="00BB08A3"/>
    <w:rsid w:val="00BB0B7E"/>
    <w:rsid w:val="00BB0C06"/>
    <w:rsid w:val="00BB0E88"/>
    <w:rsid w:val="00BB0F86"/>
    <w:rsid w:val="00BB0FF0"/>
    <w:rsid w:val="00BB1053"/>
    <w:rsid w:val="00BB10E3"/>
    <w:rsid w:val="00BB10E7"/>
    <w:rsid w:val="00BB1184"/>
    <w:rsid w:val="00BB12E5"/>
    <w:rsid w:val="00BB144A"/>
    <w:rsid w:val="00BB148B"/>
    <w:rsid w:val="00BB152C"/>
    <w:rsid w:val="00BB1AE3"/>
    <w:rsid w:val="00BB1B33"/>
    <w:rsid w:val="00BB1BBC"/>
    <w:rsid w:val="00BB1D69"/>
    <w:rsid w:val="00BB1E52"/>
    <w:rsid w:val="00BB1F2E"/>
    <w:rsid w:val="00BB20CC"/>
    <w:rsid w:val="00BB2352"/>
    <w:rsid w:val="00BB27F0"/>
    <w:rsid w:val="00BB3210"/>
    <w:rsid w:val="00BB33C7"/>
    <w:rsid w:val="00BB34F8"/>
    <w:rsid w:val="00BB354E"/>
    <w:rsid w:val="00BB367E"/>
    <w:rsid w:val="00BB39A0"/>
    <w:rsid w:val="00BB3CD7"/>
    <w:rsid w:val="00BB3DAE"/>
    <w:rsid w:val="00BB3DD3"/>
    <w:rsid w:val="00BB3E86"/>
    <w:rsid w:val="00BB3F8C"/>
    <w:rsid w:val="00BB4064"/>
    <w:rsid w:val="00BB43FB"/>
    <w:rsid w:val="00BB4CBD"/>
    <w:rsid w:val="00BB4D6B"/>
    <w:rsid w:val="00BB4DB1"/>
    <w:rsid w:val="00BB4E4C"/>
    <w:rsid w:val="00BB4EDE"/>
    <w:rsid w:val="00BB5554"/>
    <w:rsid w:val="00BB5671"/>
    <w:rsid w:val="00BB5E8D"/>
    <w:rsid w:val="00BB5F2B"/>
    <w:rsid w:val="00BB6040"/>
    <w:rsid w:val="00BB6073"/>
    <w:rsid w:val="00BB6A42"/>
    <w:rsid w:val="00BB6EA4"/>
    <w:rsid w:val="00BB6ECF"/>
    <w:rsid w:val="00BB6F67"/>
    <w:rsid w:val="00BB7199"/>
    <w:rsid w:val="00BB71D5"/>
    <w:rsid w:val="00BB78A6"/>
    <w:rsid w:val="00BB79E5"/>
    <w:rsid w:val="00BB7CCC"/>
    <w:rsid w:val="00BB7E86"/>
    <w:rsid w:val="00BC00C5"/>
    <w:rsid w:val="00BC00F4"/>
    <w:rsid w:val="00BC02FB"/>
    <w:rsid w:val="00BC053F"/>
    <w:rsid w:val="00BC0550"/>
    <w:rsid w:val="00BC0A11"/>
    <w:rsid w:val="00BC0CF8"/>
    <w:rsid w:val="00BC0D7E"/>
    <w:rsid w:val="00BC0E58"/>
    <w:rsid w:val="00BC0FBB"/>
    <w:rsid w:val="00BC109B"/>
    <w:rsid w:val="00BC11E7"/>
    <w:rsid w:val="00BC1587"/>
    <w:rsid w:val="00BC15EF"/>
    <w:rsid w:val="00BC17AA"/>
    <w:rsid w:val="00BC17FA"/>
    <w:rsid w:val="00BC1880"/>
    <w:rsid w:val="00BC1BFD"/>
    <w:rsid w:val="00BC1C9C"/>
    <w:rsid w:val="00BC1CA1"/>
    <w:rsid w:val="00BC1FEB"/>
    <w:rsid w:val="00BC23A3"/>
    <w:rsid w:val="00BC2457"/>
    <w:rsid w:val="00BC25EF"/>
    <w:rsid w:val="00BC261C"/>
    <w:rsid w:val="00BC2731"/>
    <w:rsid w:val="00BC2AC6"/>
    <w:rsid w:val="00BC2D77"/>
    <w:rsid w:val="00BC2FE3"/>
    <w:rsid w:val="00BC3094"/>
    <w:rsid w:val="00BC34BA"/>
    <w:rsid w:val="00BC3886"/>
    <w:rsid w:val="00BC398F"/>
    <w:rsid w:val="00BC3C19"/>
    <w:rsid w:val="00BC3DFE"/>
    <w:rsid w:val="00BC42F2"/>
    <w:rsid w:val="00BC43CB"/>
    <w:rsid w:val="00BC47C9"/>
    <w:rsid w:val="00BC4904"/>
    <w:rsid w:val="00BC4E99"/>
    <w:rsid w:val="00BC4F42"/>
    <w:rsid w:val="00BC5062"/>
    <w:rsid w:val="00BC5283"/>
    <w:rsid w:val="00BC560C"/>
    <w:rsid w:val="00BC5635"/>
    <w:rsid w:val="00BC5724"/>
    <w:rsid w:val="00BC5C28"/>
    <w:rsid w:val="00BC5C8E"/>
    <w:rsid w:val="00BC5D4A"/>
    <w:rsid w:val="00BC61E8"/>
    <w:rsid w:val="00BC64A4"/>
    <w:rsid w:val="00BC6A53"/>
    <w:rsid w:val="00BC6FA2"/>
    <w:rsid w:val="00BC7291"/>
    <w:rsid w:val="00BC780D"/>
    <w:rsid w:val="00BC78A7"/>
    <w:rsid w:val="00BC792A"/>
    <w:rsid w:val="00BC79A3"/>
    <w:rsid w:val="00BC79B4"/>
    <w:rsid w:val="00BC7A2D"/>
    <w:rsid w:val="00BC7ADC"/>
    <w:rsid w:val="00BC7E51"/>
    <w:rsid w:val="00BC7F6E"/>
    <w:rsid w:val="00BCC960"/>
    <w:rsid w:val="00BD0137"/>
    <w:rsid w:val="00BD0515"/>
    <w:rsid w:val="00BD088C"/>
    <w:rsid w:val="00BD0C83"/>
    <w:rsid w:val="00BD1048"/>
    <w:rsid w:val="00BD16FC"/>
    <w:rsid w:val="00BD1966"/>
    <w:rsid w:val="00BD1A02"/>
    <w:rsid w:val="00BD2015"/>
    <w:rsid w:val="00BD20AA"/>
    <w:rsid w:val="00BD20B2"/>
    <w:rsid w:val="00BD2548"/>
    <w:rsid w:val="00BD256C"/>
    <w:rsid w:val="00BD3023"/>
    <w:rsid w:val="00BD3179"/>
    <w:rsid w:val="00BD324F"/>
    <w:rsid w:val="00BD3376"/>
    <w:rsid w:val="00BD3838"/>
    <w:rsid w:val="00BD3C2B"/>
    <w:rsid w:val="00BD3CFF"/>
    <w:rsid w:val="00BD4220"/>
    <w:rsid w:val="00BD42DA"/>
    <w:rsid w:val="00BD463F"/>
    <w:rsid w:val="00BD46AB"/>
    <w:rsid w:val="00BD4774"/>
    <w:rsid w:val="00BD47AD"/>
    <w:rsid w:val="00BD4819"/>
    <w:rsid w:val="00BD4859"/>
    <w:rsid w:val="00BD4B2E"/>
    <w:rsid w:val="00BD4D37"/>
    <w:rsid w:val="00BD5021"/>
    <w:rsid w:val="00BD518C"/>
    <w:rsid w:val="00BD525B"/>
    <w:rsid w:val="00BD549B"/>
    <w:rsid w:val="00BD55A8"/>
    <w:rsid w:val="00BD565C"/>
    <w:rsid w:val="00BD5C0F"/>
    <w:rsid w:val="00BD5DA2"/>
    <w:rsid w:val="00BD5E17"/>
    <w:rsid w:val="00BD60DA"/>
    <w:rsid w:val="00BD62DB"/>
    <w:rsid w:val="00BD675B"/>
    <w:rsid w:val="00BD6A9D"/>
    <w:rsid w:val="00BD6B5E"/>
    <w:rsid w:val="00BD752B"/>
    <w:rsid w:val="00BD754B"/>
    <w:rsid w:val="00BD75AB"/>
    <w:rsid w:val="00BD7726"/>
    <w:rsid w:val="00BD7814"/>
    <w:rsid w:val="00BD7862"/>
    <w:rsid w:val="00BD7C7C"/>
    <w:rsid w:val="00BD7CDD"/>
    <w:rsid w:val="00BD7DE2"/>
    <w:rsid w:val="00BE00F7"/>
    <w:rsid w:val="00BE0134"/>
    <w:rsid w:val="00BE0313"/>
    <w:rsid w:val="00BE053E"/>
    <w:rsid w:val="00BE05BD"/>
    <w:rsid w:val="00BE06F1"/>
    <w:rsid w:val="00BE1183"/>
    <w:rsid w:val="00BE121B"/>
    <w:rsid w:val="00BE12E8"/>
    <w:rsid w:val="00BE13FC"/>
    <w:rsid w:val="00BE181B"/>
    <w:rsid w:val="00BE1A22"/>
    <w:rsid w:val="00BE1EAE"/>
    <w:rsid w:val="00BE2584"/>
    <w:rsid w:val="00BE2655"/>
    <w:rsid w:val="00BE2B30"/>
    <w:rsid w:val="00BE2B3D"/>
    <w:rsid w:val="00BE358A"/>
    <w:rsid w:val="00BE3750"/>
    <w:rsid w:val="00BE3788"/>
    <w:rsid w:val="00BE3CAE"/>
    <w:rsid w:val="00BE41C7"/>
    <w:rsid w:val="00BE4A92"/>
    <w:rsid w:val="00BE4E1D"/>
    <w:rsid w:val="00BE4E7D"/>
    <w:rsid w:val="00BE519B"/>
    <w:rsid w:val="00BE538D"/>
    <w:rsid w:val="00BE54F3"/>
    <w:rsid w:val="00BE5A39"/>
    <w:rsid w:val="00BE5B9B"/>
    <w:rsid w:val="00BE5CBF"/>
    <w:rsid w:val="00BE6105"/>
    <w:rsid w:val="00BE619C"/>
    <w:rsid w:val="00BE61F9"/>
    <w:rsid w:val="00BE6608"/>
    <w:rsid w:val="00BE66D6"/>
    <w:rsid w:val="00BE69AC"/>
    <w:rsid w:val="00BE6BE4"/>
    <w:rsid w:val="00BE7058"/>
    <w:rsid w:val="00BE74F7"/>
    <w:rsid w:val="00BE764C"/>
    <w:rsid w:val="00BE79CA"/>
    <w:rsid w:val="00BE7F59"/>
    <w:rsid w:val="00BF0143"/>
    <w:rsid w:val="00BF0352"/>
    <w:rsid w:val="00BF050B"/>
    <w:rsid w:val="00BF0694"/>
    <w:rsid w:val="00BF0979"/>
    <w:rsid w:val="00BF0AA5"/>
    <w:rsid w:val="00BF0DFC"/>
    <w:rsid w:val="00BF0EAD"/>
    <w:rsid w:val="00BF108A"/>
    <w:rsid w:val="00BF1394"/>
    <w:rsid w:val="00BF17E1"/>
    <w:rsid w:val="00BF1809"/>
    <w:rsid w:val="00BF1B3B"/>
    <w:rsid w:val="00BF2046"/>
    <w:rsid w:val="00BF218E"/>
    <w:rsid w:val="00BF241F"/>
    <w:rsid w:val="00BF2735"/>
    <w:rsid w:val="00BF27DC"/>
    <w:rsid w:val="00BF2919"/>
    <w:rsid w:val="00BF2A3F"/>
    <w:rsid w:val="00BF2ABF"/>
    <w:rsid w:val="00BF2F53"/>
    <w:rsid w:val="00BF387A"/>
    <w:rsid w:val="00BF41E7"/>
    <w:rsid w:val="00BF41F7"/>
    <w:rsid w:val="00BF42A0"/>
    <w:rsid w:val="00BF443E"/>
    <w:rsid w:val="00BF451B"/>
    <w:rsid w:val="00BF46CB"/>
    <w:rsid w:val="00BF4963"/>
    <w:rsid w:val="00BF4F6F"/>
    <w:rsid w:val="00BF5024"/>
    <w:rsid w:val="00BF513D"/>
    <w:rsid w:val="00BF51CB"/>
    <w:rsid w:val="00BF527E"/>
    <w:rsid w:val="00BF54DA"/>
    <w:rsid w:val="00BF5519"/>
    <w:rsid w:val="00BF5591"/>
    <w:rsid w:val="00BF5674"/>
    <w:rsid w:val="00BF58F4"/>
    <w:rsid w:val="00BF59EA"/>
    <w:rsid w:val="00BF5AA2"/>
    <w:rsid w:val="00BF5B99"/>
    <w:rsid w:val="00BF64D5"/>
    <w:rsid w:val="00BF6754"/>
    <w:rsid w:val="00BF6A8E"/>
    <w:rsid w:val="00BF6BE8"/>
    <w:rsid w:val="00BF716A"/>
    <w:rsid w:val="00BF72B0"/>
    <w:rsid w:val="00BF739F"/>
    <w:rsid w:val="00BF73BA"/>
    <w:rsid w:val="00BF7E6B"/>
    <w:rsid w:val="00C002D7"/>
    <w:rsid w:val="00C004E4"/>
    <w:rsid w:val="00C00585"/>
    <w:rsid w:val="00C00841"/>
    <w:rsid w:val="00C00C56"/>
    <w:rsid w:val="00C011F6"/>
    <w:rsid w:val="00C01309"/>
    <w:rsid w:val="00C01430"/>
    <w:rsid w:val="00C018F9"/>
    <w:rsid w:val="00C01A4C"/>
    <w:rsid w:val="00C01B09"/>
    <w:rsid w:val="00C01D3D"/>
    <w:rsid w:val="00C01FE5"/>
    <w:rsid w:val="00C02103"/>
    <w:rsid w:val="00C021B4"/>
    <w:rsid w:val="00C0299B"/>
    <w:rsid w:val="00C02B1B"/>
    <w:rsid w:val="00C02EEB"/>
    <w:rsid w:val="00C02F6B"/>
    <w:rsid w:val="00C02F8F"/>
    <w:rsid w:val="00C0333F"/>
    <w:rsid w:val="00C033AA"/>
    <w:rsid w:val="00C0353D"/>
    <w:rsid w:val="00C03797"/>
    <w:rsid w:val="00C037AC"/>
    <w:rsid w:val="00C039E9"/>
    <w:rsid w:val="00C03C60"/>
    <w:rsid w:val="00C03C6E"/>
    <w:rsid w:val="00C03CBC"/>
    <w:rsid w:val="00C03F1A"/>
    <w:rsid w:val="00C04083"/>
    <w:rsid w:val="00C040DE"/>
    <w:rsid w:val="00C040E8"/>
    <w:rsid w:val="00C0449F"/>
    <w:rsid w:val="00C044A5"/>
    <w:rsid w:val="00C044E4"/>
    <w:rsid w:val="00C04756"/>
    <w:rsid w:val="00C04947"/>
    <w:rsid w:val="00C04B6E"/>
    <w:rsid w:val="00C04D7A"/>
    <w:rsid w:val="00C05704"/>
    <w:rsid w:val="00C05751"/>
    <w:rsid w:val="00C05C65"/>
    <w:rsid w:val="00C05E14"/>
    <w:rsid w:val="00C0606E"/>
    <w:rsid w:val="00C060BA"/>
    <w:rsid w:val="00C06639"/>
    <w:rsid w:val="00C0691A"/>
    <w:rsid w:val="00C06AF3"/>
    <w:rsid w:val="00C06D42"/>
    <w:rsid w:val="00C06DBA"/>
    <w:rsid w:val="00C06F85"/>
    <w:rsid w:val="00C073C1"/>
    <w:rsid w:val="00C073E9"/>
    <w:rsid w:val="00C07461"/>
    <w:rsid w:val="00C07668"/>
    <w:rsid w:val="00C07776"/>
    <w:rsid w:val="00C07845"/>
    <w:rsid w:val="00C07E77"/>
    <w:rsid w:val="00C101A7"/>
    <w:rsid w:val="00C102C9"/>
    <w:rsid w:val="00C1030C"/>
    <w:rsid w:val="00C1035A"/>
    <w:rsid w:val="00C1038D"/>
    <w:rsid w:val="00C10579"/>
    <w:rsid w:val="00C10935"/>
    <w:rsid w:val="00C10FBA"/>
    <w:rsid w:val="00C110CF"/>
    <w:rsid w:val="00C11159"/>
    <w:rsid w:val="00C1131E"/>
    <w:rsid w:val="00C1136D"/>
    <w:rsid w:val="00C114B5"/>
    <w:rsid w:val="00C11657"/>
    <w:rsid w:val="00C116FF"/>
    <w:rsid w:val="00C11AD9"/>
    <w:rsid w:val="00C11AE5"/>
    <w:rsid w:val="00C11C5F"/>
    <w:rsid w:val="00C11CCF"/>
    <w:rsid w:val="00C11FB9"/>
    <w:rsid w:val="00C11FF0"/>
    <w:rsid w:val="00C121A7"/>
    <w:rsid w:val="00C125D3"/>
    <w:rsid w:val="00C12CA9"/>
    <w:rsid w:val="00C12CB0"/>
    <w:rsid w:val="00C12DD9"/>
    <w:rsid w:val="00C12F2D"/>
    <w:rsid w:val="00C13BC0"/>
    <w:rsid w:val="00C13D91"/>
    <w:rsid w:val="00C13FB9"/>
    <w:rsid w:val="00C14311"/>
    <w:rsid w:val="00C143DF"/>
    <w:rsid w:val="00C146AA"/>
    <w:rsid w:val="00C148DC"/>
    <w:rsid w:val="00C1518B"/>
    <w:rsid w:val="00C15431"/>
    <w:rsid w:val="00C155C7"/>
    <w:rsid w:val="00C155DD"/>
    <w:rsid w:val="00C157B1"/>
    <w:rsid w:val="00C1582A"/>
    <w:rsid w:val="00C15F06"/>
    <w:rsid w:val="00C15F94"/>
    <w:rsid w:val="00C167AD"/>
    <w:rsid w:val="00C167F6"/>
    <w:rsid w:val="00C16901"/>
    <w:rsid w:val="00C16CE9"/>
    <w:rsid w:val="00C1726C"/>
    <w:rsid w:val="00C172FF"/>
    <w:rsid w:val="00C174DC"/>
    <w:rsid w:val="00C1781A"/>
    <w:rsid w:val="00C1783B"/>
    <w:rsid w:val="00C17B0C"/>
    <w:rsid w:val="00C17EE5"/>
    <w:rsid w:val="00C1DD6D"/>
    <w:rsid w:val="00C1F657"/>
    <w:rsid w:val="00C20300"/>
    <w:rsid w:val="00C2036B"/>
    <w:rsid w:val="00C2038A"/>
    <w:rsid w:val="00C206B5"/>
    <w:rsid w:val="00C20788"/>
    <w:rsid w:val="00C207B2"/>
    <w:rsid w:val="00C20911"/>
    <w:rsid w:val="00C20AD4"/>
    <w:rsid w:val="00C20DF2"/>
    <w:rsid w:val="00C21100"/>
    <w:rsid w:val="00C218BB"/>
    <w:rsid w:val="00C21B41"/>
    <w:rsid w:val="00C21DA5"/>
    <w:rsid w:val="00C22305"/>
    <w:rsid w:val="00C22819"/>
    <w:rsid w:val="00C2293A"/>
    <w:rsid w:val="00C22B7B"/>
    <w:rsid w:val="00C22CC5"/>
    <w:rsid w:val="00C22E4D"/>
    <w:rsid w:val="00C22E79"/>
    <w:rsid w:val="00C22F71"/>
    <w:rsid w:val="00C2316C"/>
    <w:rsid w:val="00C2336E"/>
    <w:rsid w:val="00C234F7"/>
    <w:rsid w:val="00C236F8"/>
    <w:rsid w:val="00C23AAD"/>
    <w:rsid w:val="00C23B49"/>
    <w:rsid w:val="00C240AE"/>
    <w:rsid w:val="00C24108"/>
    <w:rsid w:val="00C2425D"/>
    <w:rsid w:val="00C2443A"/>
    <w:rsid w:val="00C24664"/>
    <w:rsid w:val="00C246B4"/>
    <w:rsid w:val="00C247F2"/>
    <w:rsid w:val="00C248C8"/>
    <w:rsid w:val="00C24913"/>
    <w:rsid w:val="00C24A8E"/>
    <w:rsid w:val="00C24B5A"/>
    <w:rsid w:val="00C24C5E"/>
    <w:rsid w:val="00C24C69"/>
    <w:rsid w:val="00C25001"/>
    <w:rsid w:val="00C25305"/>
    <w:rsid w:val="00C25945"/>
    <w:rsid w:val="00C25AE6"/>
    <w:rsid w:val="00C25B2B"/>
    <w:rsid w:val="00C25DB6"/>
    <w:rsid w:val="00C25DB9"/>
    <w:rsid w:val="00C25EEA"/>
    <w:rsid w:val="00C261AB"/>
    <w:rsid w:val="00C267C0"/>
    <w:rsid w:val="00C27015"/>
    <w:rsid w:val="00C2733A"/>
    <w:rsid w:val="00C27382"/>
    <w:rsid w:val="00C27446"/>
    <w:rsid w:val="00C277F1"/>
    <w:rsid w:val="00C27D3D"/>
    <w:rsid w:val="00C300C7"/>
    <w:rsid w:val="00C302CF"/>
    <w:rsid w:val="00C303F9"/>
    <w:rsid w:val="00C305EE"/>
    <w:rsid w:val="00C30617"/>
    <w:rsid w:val="00C307B1"/>
    <w:rsid w:val="00C30A07"/>
    <w:rsid w:val="00C30A23"/>
    <w:rsid w:val="00C30A6E"/>
    <w:rsid w:val="00C30AF5"/>
    <w:rsid w:val="00C30C2C"/>
    <w:rsid w:val="00C30C9B"/>
    <w:rsid w:val="00C30DAD"/>
    <w:rsid w:val="00C30FD7"/>
    <w:rsid w:val="00C31046"/>
    <w:rsid w:val="00C3107B"/>
    <w:rsid w:val="00C31168"/>
    <w:rsid w:val="00C311EB"/>
    <w:rsid w:val="00C312D2"/>
    <w:rsid w:val="00C312F5"/>
    <w:rsid w:val="00C321B5"/>
    <w:rsid w:val="00C32238"/>
    <w:rsid w:val="00C32302"/>
    <w:rsid w:val="00C3247D"/>
    <w:rsid w:val="00C325B9"/>
    <w:rsid w:val="00C3286F"/>
    <w:rsid w:val="00C32A02"/>
    <w:rsid w:val="00C32E0F"/>
    <w:rsid w:val="00C331D8"/>
    <w:rsid w:val="00C33591"/>
    <w:rsid w:val="00C335B6"/>
    <w:rsid w:val="00C33769"/>
    <w:rsid w:val="00C338DB"/>
    <w:rsid w:val="00C33B74"/>
    <w:rsid w:val="00C33D89"/>
    <w:rsid w:val="00C3414E"/>
    <w:rsid w:val="00C342AB"/>
    <w:rsid w:val="00C345DB"/>
    <w:rsid w:val="00C3494D"/>
    <w:rsid w:val="00C34C07"/>
    <w:rsid w:val="00C34DFD"/>
    <w:rsid w:val="00C35279"/>
    <w:rsid w:val="00C353CC"/>
    <w:rsid w:val="00C35473"/>
    <w:rsid w:val="00C356EB"/>
    <w:rsid w:val="00C3571A"/>
    <w:rsid w:val="00C35825"/>
    <w:rsid w:val="00C35E3C"/>
    <w:rsid w:val="00C35FD8"/>
    <w:rsid w:val="00C3617E"/>
    <w:rsid w:val="00C36362"/>
    <w:rsid w:val="00C36393"/>
    <w:rsid w:val="00C363A7"/>
    <w:rsid w:val="00C363B0"/>
    <w:rsid w:val="00C36519"/>
    <w:rsid w:val="00C36B8E"/>
    <w:rsid w:val="00C36DEF"/>
    <w:rsid w:val="00C36DF8"/>
    <w:rsid w:val="00C37492"/>
    <w:rsid w:val="00C374BE"/>
    <w:rsid w:val="00C37A09"/>
    <w:rsid w:val="00C37BAF"/>
    <w:rsid w:val="00C37BFB"/>
    <w:rsid w:val="00C37C16"/>
    <w:rsid w:val="00C37F40"/>
    <w:rsid w:val="00C4025B"/>
    <w:rsid w:val="00C40634"/>
    <w:rsid w:val="00C40649"/>
    <w:rsid w:val="00C40773"/>
    <w:rsid w:val="00C408AB"/>
    <w:rsid w:val="00C40A4C"/>
    <w:rsid w:val="00C40B37"/>
    <w:rsid w:val="00C4108D"/>
    <w:rsid w:val="00C4111B"/>
    <w:rsid w:val="00C4131E"/>
    <w:rsid w:val="00C41505"/>
    <w:rsid w:val="00C4183C"/>
    <w:rsid w:val="00C41B37"/>
    <w:rsid w:val="00C424F1"/>
    <w:rsid w:val="00C42577"/>
    <w:rsid w:val="00C4278C"/>
    <w:rsid w:val="00C42831"/>
    <w:rsid w:val="00C4286F"/>
    <w:rsid w:val="00C42E62"/>
    <w:rsid w:val="00C42FC3"/>
    <w:rsid w:val="00C431A4"/>
    <w:rsid w:val="00C4333A"/>
    <w:rsid w:val="00C433AE"/>
    <w:rsid w:val="00C435D6"/>
    <w:rsid w:val="00C441F1"/>
    <w:rsid w:val="00C442CA"/>
    <w:rsid w:val="00C4435F"/>
    <w:rsid w:val="00C444D9"/>
    <w:rsid w:val="00C44553"/>
    <w:rsid w:val="00C44AEE"/>
    <w:rsid w:val="00C44C2F"/>
    <w:rsid w:val="00C44C82"/>
    <w:rsid w:val="00C45793"/>
    <w:rsid w:val="00C458BC"/>
    <w:rsid w:val="00C45990"/>
    <w:rsid w:val="00C45FFE"/>
    <w:rsid w:val="00C46154"/>
    <w:rsid w:val="00C461AA"/>
    <w:rsid w:val="00C466C8"/>
    <w:rsid w:val="00C466FE"/>
    <w:rsid w:val="00C469BD"/>
    <w:rsid w:val="00C46A32"/>
    <w:rsid w:val="00C46C01"/>
    <w:rsid w:val="00C46D48"/>
    <w:rsid w:val="00C4707E"/>
    <w:rsid w:val="00C47101"/>
    <w:rsid w:val="00C47158"/>
    <w:rsid w:val="00C47218"/>
    <w:rsid w:val="00C476F3"/>
    <w:rsid w:val="00C47A82"/>
    <w:rsid w:val="00C47ADC"/>
    <w:rsid w:val="00C47D9A"/>
    <w:rsid w:val="00C47DCC"/>
    <w:rsid w:val="00C47EFF"/>
    <w:rsid w:val="00C50078"/>
    <w:rsid w:val="00C50080"/>
    <w:rsid w:val="00C5019C"/>
    <w:rsid w:val="00C5019D"/>
    <w:rsid w:val="00C502F4"/>
    <w:rsid w:val="00C5030E"/>
    <w:rsid w:val="00C509CC"/>
    <w:rsid w:val="00C50B7D"/>
    <w:rsid w:val="00C50EB7"/>
    <w:rsid w:val="00C512BF"/>
    <w:rsid w:val="00C516AB"/>
    <w:rsid w:val="00C51742"/>
    <w:rsid w:val="00C5180D"/>
    <w:rsid w:val="00C51D1E"/>
    <w:rsid w:val="00C51E51"/>
    <w:rsid w:val="00C52041"/>
    <w:rsid w:val="00C52340"/>
    <w:rsid w:val="00C523D1"/>
    <w:rsid w:val="00C525D2"/>
    <w:rsid w:val="00C526B5"/>
    <w:rsid w:val="00C52999"/>
    <w:rsid w:val="00C52A59"/>
    <w:rsid w:val="00C52C4E"/>
    <w:rsid w:val="00C52FC0"/>
    <w:rsid w:val="00C5303A"/>
    <w:rsid w:val="00C53097"/>
    <w:rsid w:val="00C533DA"/>
    <w:rsid w:val="00C536D2"/>
    <w:rsid w:val="00C53995"/>
    <w:rsid w:val="00C53A31"/>
    <w:rsid w:val="00C54034"/>
    <w:rsid w:val="00C547DA"/>
    <w:rsid w:val="00C54866"/>
    <w:rsid w:val="00C549A2"/>
    <w:rsid w:val="00C549D5"/>
    <w:rsid w:val="00C54C04"/>
    <w:rsid w:val="00C54D0F"/>
    <w:rsid w:val="00C54D1F"/>
    <w:rsid w:val="00C54DC6"/>
    <w:rsid w:val="00C54F0E"/>
    <w:rsid w:val="00C54FED"/>
    <w:rsid w:val="00C55161"/>
    <w:rsid w:val="00C551AA"/>
    <w:rsid w:val="00C5530A"/>
    <w:rsid w:val="00C5571D"/>
    <w:rsid w:val="00C55880"/>
    <w:rsid w:val="00C5589B"/>
    <w:rsid w:val="00C55A62"/>
    <w:rsid w:val="00C55AE3"/>
    <w:rsid w:val="00C55BAF"/>
    <w:rsid w:val="00C56211"/>
    <w:rsid w:val="00C5650D"/>
    <w:rsid w:val="00C56562"/>
    <w:rsid w:val="00C56622"/>
    <w:rsid w:val="00C568DF"/>
    <w:rsid w:val="00C56B8A"/>
    <w:rsid w:val="00C56BD5"/>
    <w:rsid w:val="00C56DA4"/>
    <w:rsid w:val="00C56E61"/>
    <w:rsid w:val="00C576D0"/>
    <w:rsid w:val="00C578F9"/>
    <w:rsid w:val="00C57C7C"/>
    <w:rsid w:val="00C57CC7"/>
    <w:rsid w:val="00C57F36"/>
    <w:rsid w:val="00C57FDA"/>
    <w:rsid w:val="00C600EA"/>
    <w:rsid w:val="00C60468"/>
    <w:rsid w:val="00C60542"/>
    <w:rsid w:val="00C60AD0"/>
    <w:rsid w:val="00C60BB3"/>
    <w:rsid w:val="00C60C90"/>
    <w:rsid w:val="00C60DAD"/>
    <w:rsid w:val="00C6107F"/>
    <w:rsid w:val="00C6136A"/>
    <w:rsid w:val="00C6164A"/>
    <w:rsid w:val="00C61650"/>
    <w:rsid w:val="00C61B5B"/>
    <w:rsid w:val="00C61EDC"/>
    <w:rsid w:val="00C620A6"/>
    <w:rsid w:val="00C62293"/>
    <w:rsid w:val="00C623AD"/>
    <w:rsid w:val="00C62639"/>
    <w:rsid w:val="00C62652"/>
    <w:rsid w:val="00C63209"/>
    <w:rsid w:val="00C6331D"/>
    <w:rsid w:val="00C633AE"/>
    <w:rsid w:val="00C6390F"/>
    <w:rsid w:val="00C63B8D"/>
    <w:rsid w:val="00C63CD2"/>
    <w:rsid w:val="00C64511"/>
    <w:rsid w:val="00C64563"/>
    <w:rsid w:val="00C64927"/>
    <w:rsid w:val="00C6498D"/>
    <w:rsid w:val="00C64F12"/>
    <w:rsid w:val="00C64F8C"/>
    <w:rsid w:val="00C652F8"/>
    <w:rsid w:val="00C653EE"/>
    <w:rsid w:val="00C65431"/>
    <w:rsid w:val="00C65458"/>
    <w:rsid w:val="00C6569A"/>
    <w:rsid w:val="00C65726"/>
    <w:rsid w:val="00C65794"/>
    <w:rsid w:val="00C658F1"/>
    <w:rsid w:val="00C65AAD"/>
    <w:rsid w:val="00C662F3"/>
    <w:rsid w:val="00C66A64"/>
    <w:rsid w:val="00C66EB8"/>
    <w:rsid w:val="00C66F71"/>
    <w:rsid w:val="00C66F8C"/>
    <w:rsid w:val="00C671EB"/>
    <w:rsid w:val="00C67212"/>
    <w:rsid w:val="00C672A5"/>
    <w:rsid w:val="00C674B1"/>
    <w:rsid w:val="00C67517"/>
    <w:rsid w:val="00C675C1"/>
    <w:rsid w:val="00C678B2"/>
    <w:rsid w:val="00C67CCE"/>
    <w:rsid w:val="00C70423"/>
    <w:rsid w:val="00C708BB"/>
    <w:rsid w:val="00C70AB1"/>
    <w:rsid w:val="00C70BE1"/>
    <w:rsid w:val="00C70E53"/>
    <w:rsid w:val="00C70F03"/>
    <w:rsid w:val="00C70F8A"/>
    <w:rsid w:val="00C71272"/>
    <w:rsid w:val="00C7142F"/>
    <w:rsid w:val="00C7143C"/>
    <w:rsid w:val="00C71582"/>
    <w:rsid w:val="00C71DB6"/>
    <w:rsid w:val="00C71F97"/>
    <w:rsid w:val="00C722EE"/>
    <w:rsid w:val="00C72326"/>
    <w:rsid w:val="00C724F1"/>
    <w:rsid w:val="00C727B1"/>
    <w:rsid w:val="00C728BE"/>
    <w:rsid w:val="00C732D9"/>
    <w:rsid w:val="00C7355D"/>
    <w:rsid w:val="00C735FA"/>
    <w:rsid w:val="00C739A9"/>
    <w:rsid w:val="00C73A94"/>
    <w:rsid w:val="00C73BAA"/>
    <w:rsid w:val="00C74195"/>
    <w:rsid w:val="00C741F8"/>
    <w:rsid w:val="00C74445"/>
    <w:rsid w:val="00C74593"/>
    <w:rsid w:val="00C747D3"/>
    <w:rsid w:val="00C74847"/>
    <w:rsid w:val="00C748C2"/>
    <w:rsid w:val="00C74A8F"/>
    <w:rsid w:val="00C74E67"/>
    <w:rsid w:val="00C75092"/>
    <w:rsid w:val="00C750D2"/>
    <w:rsid w:val="00C750DC"/>
    <w:rsid w:val="00C756C7"/>
    <w:rsid w:val="00C7574B"/>
    <w:rsid w:val="00C7577D"/>
    <w:rsid w:val="00C75FC1"/>
    <w:rsid w:val="00C7636C"/>
    <w:rsid w:val="00C765E9"/>
    <w:rsid w:val="00C7662A"/>
    <w:rsid w:val="00C766CA"/>
    <w:rsid w:val="00C76752"/>
    <w:rsid w:val="00C768DD"/>
    <w:rsid w:val="00C7697C"/>
    <w:rsid w:val="00C76C86"/>
    <w:rsid w:val="00C76DEC"/>
    <w:rsid w:val="00C77218"/>
    <w:rsid w:val="00C77517"/>
    <w:rsid w:val="00C77A28"/>
    <w:rsid w:val="00C77A55"/>
    <w:rsid w:val="00C77E57"/>
    <w:rsid w:val="00C77ECE"/>
    <w:rsid w:val="00C8018E"/>
    <w:rsid w:val="00C8049A"/>
    <w:rsid w:val="00C8091F"/>
    <w:rsid w:val="00C80C1C"/>
    <w:rsid w:val="00C80CE9"/>
    <w:rsid w:val="00C80E19"/>
    <w:rsid w:val="00C8147E"/>
    <w:rsid w:val="00C81A2F"/>
    <w:rsid w:val="00C81AD7"/>
    <w:rsid w:val="00C81BAB"/>
    <w:rsid w:val="00C81EE8"/>
    <w:rsid w:val="00C81FA5"/>
    <w:rsid w:val="00C82084"/>
    <w:rsid w:val="00C822C6"/>
    <w:rsid w:val="00C8240C"/>
    <w:rsid w:val="00C82638"/>
    <w:rsid w:val="00C8282D"/>
    <w:rsid w:val="00C8302B"/>
    <w:rsid w:val="00C83302"/>
    <w:rsid w:val="00C8336E"/>
    <w:rsid w:val="00C8342A"/>
    <w:rsid w:val="00C83512"/>
    <w:rsid w:val="00C83819"/>
    <w:rsid w:val="00C839B0"/>
    <w:rsid w:val="00C83A42"/>
    <w:rsid w:val="00C83A73"/>
    <w:rsid w:val="00C843FC"/>
    <w:rsid w:val="00C84981"/>
    <w:rsid w:val="00C849A5"/>
    <w:rsid w:val="00C84BB5"/>
    <w:rsid w:val="00C84C4F"/>
    <w:rsid w:val="00C84D78"/>
    <w:rsid w:val="00C84D90"/>
    <w:rsid w:val="00C8505B"/>
    <w:rsid w:val="00C850A2"/>
    <w:rsid w:val="00C85134"/>
    <w:rsid w:val="00C85184"/>
    <w:rsid w:val="00C85326"/>
    <w:rsid w:val="00C85487"/>
    <w:rsid w:val="00C85C7B"/>
    <w:rsid w:val="00C85DDD"/>
    <w:rsid w:val="00C85DF6"/>
    <w:rsid w:val="00C86180"/>
    <w:rsid w:val="00C86380"/>
    <w:rsid w:val="00C86591"/>
    <w:rsid w:val="00C866C2"/>
    <w:rsid w:val="00C86909"/>
    <w:rsid w:val="00C8716C"/>
    <w:rsid w:val="00C872C9"/>
    <w:rsid w:val="00C8782E"/>
    <w:rsid w:val="00C87EC7"/>
    <w:rsid w:val="00C87F0A"/>
    <w:rsid w:val="00C900F5"/>
    <w:rsid w:val="00C901B1"/>
    <w:rsid w:val="00C90534"/>
    <w:rsid w:val="00C90BA9"/>
    <w:rsid w:val="00C90E13"/>
    <w:rsid w:val="00C90E62"/>
    <w:rsid w:val="00C90FBA"/>
    <w:rsid w:val="00C9117A"/>
    <w:rsid w:val="00C9135A"/>
    <w:rsid w:val="00C9154A"/>
    <w:rsid w:val="00C91C20"/>
    <w:rsid w:val="00C91F3F"/>
    <w:rsid w:val="00C91F45"/>
    <w:rsid w:val="00C91F46"/>
    <w:rsid w:val="00C91F54"/>
    <w:rsid w:val="00C921B4"/>
    <w:rsid w:val="00C9236E"/>
    <w:rsid w:val="00C92445"/>
    <w:rsid w:val="00C9266C"/>
    <w:rsid w:val="00C926D8"/>
    <w:rsid w:val="00C92A4B"/>
    <w:rsid w:val="00C92CA9"/>
    <w:rsid w:val="00C931EB"/>
    <w:rsid w:val="00C93257"/>
    <w:rsid w:val="00C93327"/>
    <w:rsid w:val="00C93331"/>
    <w:rsid w:val="00C93396"/>
    <w:rsid w:val="00C933CC"/>
    <w:rsid w:val="00C936CB"/>
    <w:rsid w:val="00C939E3"/>
    <w:rsid w:val="00C93A01"/>
    <w:rsid w:val="00C93A7B"/>
    <w:rsid w:val="00C93C63"/>
    <w:rsid w:val="00C940EA"/>
    <w:rsid w:val="00C941A5"/>
    <w:rsid w:val="00C9423D"/>
    <w:rsid w:val="00C943C0"/>
    <w:rsid w:val="00C945B0"/>
    <w:rsid w:val="00C9460A"/>
    <w:rsid w:val="00C9464D"/>
    <w:rsid w:val="00C9487F"/>
    <w:rsid w:val="00C94F8F"/>
    <w:rsid w:val="00C951D4"/>
    <w:rsid w:val="00C9539F"/>
    <w:rsid w:val="00C9543F"/>
    <w:rsid w:val="00C95776"/>
    <w:rsid w:val="00C958FB"/>
    <w:rsid w:val="00C95A7D"/>
    <w:rsid w:val="00C95D5D"/>
    <w:rsid w:val="00C95FD2"/>
    <w:rsid w:val="00C95FF0"/>
    <w:rsid w:val="00C95FFB"/>
    <w:rsid w:val="00C9645C"/>
    <w:rsid w:val="00C96D37"/>
    <w:rsid w:val="00C97543"/>
    <w:rsid w:val="00C97981"/>
    <w:rsid w:val="00C97CBC"/>
    <w:rsid w:val="00C97D25"/>
    <w:rsid w:val="00CA014B"/>
    <w:rsid w:val="00CA0155"/>
    <w:rsid w:val="00CA01A2"/>
    <w:rsid w:val="00CA0774"/>
    <w:rsid w:val="00CA07B2"/>
    <w:rsid w:val="00CA088F"/>
    <w:rsid w:val="00CA099E"/>
    <w:rsid w:val="00CA0B84"/>
    <w:rsid w:val="00CA0D07"/>
    <w:rsid w:val="00CA1B7C"/>
    <w:rsid w:val="00CA1CA2"/>
    <w:rsid w:val="00CA1DA8"/>
    <w:rsid w:val="00CA2972"/>
    <w:rsid w:val="00CA2B4C"/>
    <w:rsid w:val="00CA2FB9"/>
    <w:rsid w:val="00CA3059"/>
    <w:rsid w:val="00CA30FD"/>
    <w:rsid w:val="00CA337E"/>
    <w:rsid w:val="00CA34E6"/>
    <w:rsid w:val="00CA35EB"/>
    <w:rsid w:val="00CA36C9"/>
    <w:rsid w:val="00CA36DA"/>
    <w:rsid w:val="00CA38F0"/>
    <w:rsid w:val="00CA3EBC"/>
    <w:rsid w:val="00CA3F59"/>
    <w:rsid w:val="00CA434D"/>
    <w:rsid w:val="00CA4744"/>
    <w:rsid w:val="00CA4751"/>
    <w:rsid w:val="00CA4831"/>
    <w:rsid w:val="00CA48F5"/>
    <w:rsid w:val="00CA4BBA"/>
    <w:rsid w:val="00CA4E30"/>
    <w:rsid w:val="00CA52A3"/>
    <w:rsid w:val="00CA5360"/>
    <w:rsid w:val="00CA5405"/>
    <w:rsid w:val="00CA57E8"/>
    <w:rsid w:val="00CA5B97"/>
    <w:rsid w:val="00CA5DBC"/>
    <w:rsid w:val="00CA6545"/>
    <w:rsid w:val="00CA6753"/>
    <w:rsid w:val="00CA67C0"/>
    <w:rsid w:val="00CA67E2"/>
    <w:rsid w:val="00CA6B78"/>
    <w:rsid w:val="00CA6B95"/>
    <w:rsid w:val="00CA6E3B"/>
    <w:rsid w:val="00CA72F8"/>
    <w:rsid w:val="00CA7317"/>
    <w:rsid w:val="00CA7673"/>
    <w:rsid w:val="00CA77FC"/>
    <w:rsid w:val="00CA7FD7"/>
    <w:rsid w:val="00CB0029"/>
    <w:rsid w:val="00CB0468"/>
    <w:rsid w:val="00CB09D0"/>
    <w:rsid w:val="00CB09E7"/>
    <w:rsid w:val="00CB0A90"/>
    <w:rsid w:val="00CB0C73"/>
    <w:rsid w:val="00CB0E69"/>
    <w:rsid w:val="00CB0F06"/>
    <w:rsid w:val="00CB0F26"/>
    <w:rsid w:val="00CB0F49"/>
    <w:rsid w:val="00CB0F7E"/>
    <w:rsid w:val="00CB1838"/>
    <w:rsid w:val="00CB1C8C"/>
    <w:rsid w:val="00CB227E"/>
    <w:rsid w:val="00CB23F1"/>
    <w:rsid w:val="00CB2BDE"/>
    <w:rsid w:val="00CB2DFB"/>
    <w:rsid w:val="00CB2F48"/>
    <w:rsid w:val="00CB3263"/>
    <w:rsid w:val="00CB341F"/>
    <w:rsid w:val="00CB381A"/>
    <w:rsid w:val="00CB3C46"/>
    <w:rsid w:val="00CB3DA6"/>
    <w:rsid w:val="00CB4122"/>
    <w:rsid w:val="00CB4163"/>
    <w:rsid w:val="00CB441A"/>
    <w:rsid w:val="00CB4635"/>
    <w:rsid w:val="00CB4801"/>
    <w:rsid w:val="00CB4878"/>
    <w:rsid w:val="00CB4931"/>
    <w:rsid w:val="00CB5049"/>
    <w:rsid w:val="00CB514A"/>
    <w:rsid w:val="00CB58FF"/>
    <w:rsid w:val="00CB5BAC"/>
    <w:rsid w:val="00CB5F1F"/>
    <w:rsid w:val="00CB5F29"/>
    <w:rsid w:val="00CB5F5C"/>
    <w:rsid w:val="00CB602E"/>
    <w:rsid w:val="00CB6624"/>
    <w:rsid w:val="00CB664C"/>
    <w:rsid w:val="00CB6E83"/>
    <w:rsid w:val="00CB741E"/>
    <w:rsid w:val="00CB748A"/>
    <w:rsid w:val="00CB74FC"/>
    <w:rsid w:val="00CB79AC"/>
    <w:rsid w:val="00CB79D1"/>
    <w:rsid w:val="00CB7BD9"/>
    <w:rsid w:val="00CB7C25"/>
    <w:rsid w:val="00CC039B"/>
    <w:rsid w:val="00CC0652"/>
    <w:rsid w:val="00CC07C8"/>
    <w:rsid w:val="00CC09B7"/>
    <w:rsid w:val="00CC09DA"/>
    <w:rsid w:val="00CC0A73"/>
    <w:rsid w:val="00CC0AE4"/>
    <w:rsid w:val="00CC0AEB"/>
    <w:rsid w:val="00CC0C56"/>
    <w:rsid w:val="00CC0C88"/>
    <w:rsid w:val="00CC0EAE"/>
    <w:rsid w:val="00CC1206"/>
    <w:rsid w:val="00CC156F"/>
    <w:rsid w:val="00CC15A5"/>
    <w:rsid w:val="00CC1923"/>
    <w:rsid w:val="00CC1C10"/>
    <w:rsid w:val="00CC1C19"/>
    <w:rsid w:val="00CC2290"/>
    <w:rsid w:val="00CC2320"/>
    <w:rsid w:val="00CC2342"/>
    <w:rsid w:val="00CC24F5"/>
    <w:rsid w:val="00CC2765"/>
    <w:rsid w:val="00CC2876"/>
    <w:rsid w:val="00CC2974"/>
    <w:rsid w:val="00CC29A1"/>
    <w:rsid w:val="00CC311E"/>
    <w:rsid w:val="00CC31A1"/>
    <w:rsid w:val="00CC32D1"/>
    <w:rsid w:val="00CC3816"/>
    <w:rsid w:val="00CC3E7D"/>
    <w:rsid w:val="00CC4496"/>
    <w:rsid w:val="00CC4503"/>
    <w:rsid w:val="00CC4508"/>
    <w:rsid w:val="00CC46A8"/>
    <w:rsid w:val="00CC4D32"/>
    <w:rsid w:val="00CC4D4B"/>
    <w:rsid w:val="00CC4D7F"/>
    <w:rsid w:val="00CC4DF7"/>
    <w:rsid w:val="00CC52EF"/>
    <w:rsid w:val="00CC5399"/>
    <w:rsid w:val="00CC5A1B"/>
    <w:rsid w:val="00CC5AF8"/>
    <w:rsid w:val="00CC5D6A"/>
    <w:rsid w:val="00CC6004"/>
    <w:rsid w:val="00CC6365"/>
    <w:rsid w:val="00CC6507"/>
    <w:rsid w:val="00CC6582"/>
    <w:rsid w:val="00CC6BC9"/>
    <w:rsid w:val="00CC6DDF"/>
    <w:rsid w:val="00CC6E79"/>
    <w:rsid w:val="00CC71A3"/>
    <w:rsid w:val="00CC729D"/>
    <w:rsid w:val="00CC73F4"/>
    <w:rsid w:val="00CC7598"/>
    <w:rsid w:val="00CC7A21"/>
    <w:rsid w:val="00CC7CC0"/>
    <w:rsid w:val="00CC7D26"/>
    <w:rsid w:val="00CC7DC4"/>
    <w:rsid w:val="00CC7F11"/>
    <w:rsid w:val="00CC7F38"/>
    <w:rsid w:val="00CD0462"/>
    <w:rsid w:val="00CD075C"/>
    <w:rsid w:val="00CD0E03"/>
    <w:rsid w:val="00CD0E63"/>
    <w:rsid w:val="00CD14E2"/>
    <w:rsid w:val="00CD15BB"/>
    <w:rsid w:val="00CD191E"/>
    <w:rsid w:val="00CD1DE7"/>
    <w:rsid w:val="00CD20D9"/>
    <w:rsid w:val="00CD241C"/>
    <w:rsid w:val="00CD2686"/>
    <w:rsid w:val="00CD28F8"/>
    <w:rsid w:val="00CD2936"/>
    <w:rsid w:val="00CD2B88"/>
    <w:rsid w:val="00CD2B9B"/>
    <w:rsid w:val="00CD2EF2"/>
    <w:rsid w:val="00CD2F79"/>
    <w:rsid w:val="00CD3037"/>
    <w:rsid w:val="00CD3634"/>
    <w:rsid w:val="00CD3672"/>
    <w:rsid w:val="00CD3879"/>
    <w:rsid w:val="00CD3AC3"/>
    <w:rsid w:val="00CD4167"/>
    <w:rsid w:val="00CD420B"/>
    <w:rsid w:val="00CD43EA"/>
    <w:rsid w:val="00CD4406"/>
    <w:rsid w:val="00CD45F2"/>
    <w:rsid w:val="00CD49A9"/>
    <w:rsid w:val="00CD4CE3"/>
    <w:rsid w:val="00CD518B"/>
    <w:rsid w:val="00CD583B"/>
    <w:rsid w:val="00CD59D1"/>
    <w:rsid w:val="00CD6209"/>
    <w:rsid w:val="00CD66C9"/>
    <w:rsid w:val="00CD681C"/>
    <w:rsid w:val="00CD6D0E"/>
    <w:rsid w:val="00CD7306"/>
    <w:rsid w:val="00CD73B5"/>
    <w:rsid w:val="00CD748B"/>
    <w:rsid w:val="00CD7C55"/>
    <w:rsid w:val="00CD7FB2"/>
    <w:rsid w:val="00CDFF1B"/>
    <w:rsid w:val="00CE0252"/>
    <w:rsid w:val="00CE02C8"/>
    <w:rsid w:val="00CE0986"/>
    <w:rsid w:val="00CE0A0E"/>
    <w:rsid w:val="00CE0ABF"/>
    <w:rsid w:val="00CE0B01"/>
    <w:rsid w:val="00CE0C2F"/>
    <w:rsid w:val="00CE0C6F"/>
    <w:rsid w:val="00CE0D2B"/>
    <w:rsid w:val="00CE0F08"/>
    <w:rsid w:val="00CE126D"/>
    <w:rsid w:val="00CE1624"/>
    <w:rsid w:val="00CE19BA"/>
    <w:rsid w:val="00CE19F2"/>
    <w:rsid w:val="00CE1CA7"/>
    <w:rsid w:val="00CE1DC8"/>
    <w:rsid w:val="00CE1DD7"/>
    <w:rsid w:val="00CE1F78"/>
    <w:rsid w:val="00CE29ED"/>
    <w:rsid w:val="00CE2CDB"/>
    <w:rsid w:val="00CE3074"/>
    <w:rsid w:val="00CE3189"/>
    <w:rsid w:val="00CE324E"/>
    <w:rsid w:val="00CE32C5"/>
    <w:rsid w:val="00CE3357"/>
    <w:rsid w:val="00CE33F8"/>
    <w:rsid w:val="00CE3537"/>
    <w:rsid w:val="00CE35C0"/>
    <w:rsid w:val="00CE3603"/>
    <w:rsid w:val="00CE3645"/>
    <w:rsid w:val="00CE38D9"/>
    <w:rsid w:val="00CE3B95"/>
    <w:rsid w:val="00CE3F6B"/>
    <w:rsid w:val="00CE4497"/>
    <w:rsid w:val="00CE46ED"/>
    <w:rsid w:val="00CE4B5D"/>
    <w:rsid w:val="00CE4B67"/>
    <w:rsid w:val="00CE4C08"/>
    <w:rsid w:val="00CE4CC0"/>
    <w:rsid w:val="00CE526C"/>
    <w:rsid w:val="00CE5479"/>
    <w:rsid w:val="00CE59B8"/>
    <w:rsid w:val="00CE5B92"/>
    <w:rsid w:val="00CE5D69"/>
    <w:rsid w:val="00CE60A2"/>
    <w:rsid w:val="00CE6AE8"/>
    <w:rsid w:val="00CE7DD6"/>
    <w:rsid w:val="00CF049A"/>
    <w:rsid w:val="00CF0579"/>
    <w:rsid w:val="00CF05FB"/>
    <w:rsid w:val="00CF0BD9"/>
    <w:rsid w:val="00CF0C8E"/>
    <w:rsid w:val="00CF1034"/>
    <w:rsid w:val="00CF1046"/>
    <w:rsid w:val="00CF110B"/>
    <w:rsid w:val="00CF13BF"/>
    <w:rsid w:val="00CF14C5"/>
    <w:rsid w:val="00CF14F0"/>
    <w:rsid w:val="00CF15EF"/>
    <w:rsid w:val="00CF18B4"/>
    <w:rsid w:val="00CF18CC"/>
    <w:rsid w:val="00CF1B02"/>
    <w:rsid w:val="00CF1BB7"/>
    <w:rsid w:val="00CF1EC7"/>
    <w:rsid w:val="00CF204C"/>
    <w:rsid w:val="00CF22E6"/>
    <w:rsid w:val="00CF271C"/>
    <w:rsid w:val="00CF30F3"/>
    <w:rsid w:val="00CF340F"/>
    <w:rsid w:val="00CF3A35"/>
    <w:rsid w:val="00CF3B84"/>
    <w:rsid w:val="00CF3BCD"/>
    <w:rsid w:val="00CF4262"/>
    <w:rsid w:val="00CF45B4"/>
    <w:rsid w:val="00CF46EE"/>
    <w:rsid w:val="00CF482B"/>
    <w:rsid w:val="00CF4B82"/>
    <w:rsid w:val="00CF51B3"/>
    <w:rsid w:val="00CF5499"/>
    <w:rsid w:val="00CF54C7"/>
    <w:rsid w:val="00CF5669"/>
    <w:rsid w:val="00CF56C3"/>
    <w:rsid w:val="00CF5725"/>
    <w:rsid w:val="00CF5803"/>
    <w:rsid w:val="00CF59F7"/>
    <w:rsid w:val="00CF5CF8"/>
    <w:rsid w:val="00CF6289"/>
    <w:rsid w:val="00CF6887"/>
    <w:rsid w:val="00CF6C15"/>
    <w:rsid w:val="00CF6DA7"/>
    <w:rsid w:val="00CF6F45"/>
    <w:rsid w:val="00CF6F75"/>
    <w:rsid w:val="00CF6FC3"/>
    <w:rsid w:val="00CF73DE"/>
    <w:rsid w:val="00CF76C1"/>
    <w:rsid w:val="00CF7739"/>
    <w:rsid w:val="00CF77F6"/>
    <w:rsid w:val="00D0022A"/>
    <w:rsid w:val="00D004A7"/>
    <w:rsid w:val="00D00AFE"/>
    <w:rsid w:val="00D00D90"/>
    <w:rsid w:val="00D00F64"/>
    <w:rsid w:val="00D017FC"/>
    <w:rsid w:val="00D01CD9"/>
    <w:rsid w:val="00D01CED"/>
    <w:rsid w:val="00D01DB5"/>
    <w:rsid w:val="00D01F51"/>
    <w:rsid w:val="00D01F5E"/>
    <w:rsid w:val="00D024E9"/>
    <w:rsid w:val="00D0256E"/>
    <w:rsid w:val="00D02AAB"/>
    <w:rsid w:val="00D02B86"/>
    <w:rsid w:val="00D02BC0"/>
    <w:rsid w:val="00D02CDB"/>
    <w:rsid w:val="00D02EFA"/>
    <w:rsid w:val="00D02F09"/>
    <w:rsid w:val="00D03066"/>
    <w:rsid w:val="00D031BB"/>
    <w:rsid w:val="00D035CE"/>
    <w:rsid w:val="00D038AF"/>
    <w:rsid w:val="00D038E4"/>
    <w:rsid w:val="00D04323"/>
    <w:rsid w:val="00D047A8"/>
    <w:rsid w:val="00D048EF"/>
    <w:rsid w:val="00D04956"/>
    <w:rsid w:val="00D04C10"/>
    <w:rsid w:val="00D04CE0"/>
    <w:rsid w:val="00D050B6"/>
    <w:rsid w:val="00D0526C"/>
    <w:rsid w:val="00D0550D"/>
    <w:rsid w:val="00D05A8F"/>
    <w:rsid w:val="00D05AF2"/>
    <w:rsid w:val="00D05B48"/>
    <w:rsid w:val="00D05C39"/>
    <w:rsid w:val="00D05E07"/>
    <w:rsid w:val="00D06104"/>
    <w:rsid w:val="00D061D9"/>
    <w:rsid w:val="00D0641C"/>
    <w:rsid w:val="00D0670D"/>
    <w:rsid w:val="00D06B4B"/>
    <w:rsid w:val="00D06D1B"/>
    <w:rsid w:val="00D06DBA"/>
    <w:rsid w:val="00D072AA"/>
    <w:rsid w:val="00D075E8"/>
    <w:rsid w:val="00D07890"/>
    <w:rsid w:val="00D0790D"/>
    <w:rsid w:val="00D07D2A"/>
    <w:rsid w:val="00D07E41"/>
    <w:rsid w:val="00D07EA3"/>
    <w:rsid w:val="00D07F2C"/>
    <w:rsid w:val="00D1034C"/>
    <w:rsid w:val="00D104F0"/>
    <w:rsid w:val="00D10512"/>
    <w:rsid w:val="00D107AC"/>
    <w:rsid w:val="00D10813"/>
    <w:rsid w:val="00D1090E"/>
    <w:rsid w:val="00D10FF7"/>
    <w:rsid w:val="00D11016"/>
    <w:rsid w:val="00D1133F"/>
    <w:rsid w:val="00D1150C"/>
    <w:rsid w:val="00D115E2"/>
    <w:rsid w:val="00D11707"/>
    <w:rsid w:val="00D1196C"/>
    <w:rsid w:val="00D119BF"/>
    <w:rsid w:val="00D11C53"/>
    <w:rsid w:val="00D11EF2"/>
    <w:rsid w:val="00D11F2F"/>
    <w:rsid w:val="00D1201B"/>
    <w:rsid w:val="00D1238A"/>
    <w:rsid w:val="00D12C19"/>
    <w:rsid w:val="00D12CA6"/>
    <w:rsid w:val="00D12D35"/>
    <w:rsid w:val="00D12E25"/>
    <w:rsid w:val="00D12E56"/>
    <w:rsid w:val="00D13269"/>
    <w:rsid w:val="00D139BD"/>
    <w:rsid w:val="00D13C5B"/>
    <w:rsid w:val="00D13C5C"/>
    <w:rsid w:val="00D13CEB"/>
    <w:rsid w:val="00D14078"/>
    <w:rsid w:val="00D140F7"/>
    <w:rsid w:val="00D1417A"/>
    <w:rsid w:val="00D1421A"/>
    <w:rsid w:val="00D15083"/>
    <w:rsid w:val="00D15110"/>
    <w:rsid w:val="00D15727"/>
    <w:rsid w:val="00D15BA5"/>
    <w:rsid w:val="00D15C6F"/>
    <w:rsid w:val="00D1617F"/>
    <w:rsid w:val="00D161D0"/>
    <w:rsid w:val="00D16236"/>
    <w:rsid w:val="00D162EE"/>
    <w:rsid w:val="00D16532"/>
    <w:rsid w:val="00D1658D"/>
    <w:rsid w:val="00D1663B"/>
    <w:rsid w:val="00D169BD"/>
    <w:rsid w:val="00D16D8A"/>
    <w:rsid w:val="00D16DB6"/>
    <w:rsid w:val="00D17477"/>
    <w:rsid w:val="00D1765B"/>
    <w:rsid w:val="00D17B97"/>
    <w:rsid w:val="00D17BEC"/>
    <w:rsid w:val="00D17C83"/>
    <w:rsid w:val="00D17D30"/>
    <w:rsid w:val="00D17EFB"/>
    <w:rsid w:val="00D201B4"/>
    <w:rsid w:val="00D20EC7"/>
    <w:rsid w:val="00D212AE"/>
    <w:rsid w:val="00D21302"/>
    <w:rsid w:val="00D2157A"/>
    <w:rsid w:val="00D21853"/>
    <w:rsid w:val="00D21BB9"/>
    <w:rsid w:val="00D21C73"/>
    <w:rsid w:val="00D21D09"/>
    <w:rsid w:val="00D21D46"/>
    <w:rsid w:val="00D21F13"/>
    <w:rsid w:val="00D22063"/>
    <w:rsid w:val="00D2207A"/>
    <w:rsid w:val="00D22432"/>
    <w:rsid w:val="00D224E6"/>
    <w:rsid w:val="00D2263B"/>
    <w:rsid w:val="00D227DF"/>
    <w:rsid w:val="00D229F1"/>
    <w:rsid w:val="00D22A8E"/>
    <w:rsid w:val="00D22B65"/>
    <w:rsid w:val="00D22C9D"/>
    <w:rsid w:val="00D22FE0"/>
    <w:rsid w:val="00D23049"/>
    <w:rsid w:val="00D2389A"/>
    <w:rsid w:val="00D238F5"/>
    <w:rsid w:val="00D238FC"/>
    <w:rsid w:val="00D23B94"/>
    <w:rsid w:val="00D23C44"/>
    <w:rsid w:val="00D23E5D"/>
    <w:rsid w:val="00D23E9F"/>
    <w:rsid w:val="00D24106"/>
    <w:rsid w:val="00D24586"/>
    <w:rsid w:val="00D245A4"/>
    <w:rsid w:val="00D24623"/>
    <w:rsid w:val="00D246BB"/>
    <w:rsid w:val="00D2478B"/>
    <w:rsid w:val="00D24882"/>
    <w:rsid w:val="00D249C8"/>
    <w:rsid w:val="00D24D26"/>
    <w:rsid w:val="00D24FD0"/>
    <w:rsid w:val="00D25023"/>
    <w:rsid w:val="00D250E5"/>
    <w:rsid w:val="00D2558F"/>
    <w:rsid w:val="00D256C6"/>
    <w:rsid w:val="00D25A37"/>
    <w:rsid w:val="00D25AF7"/>
    <w:rsid w:val="00D25C93"/>
    <w:rsid w:val="00D25FC5"/>
    <w:rsid w:val="00D261B0"/>
    <w:rsid w:val="00D26461"/>
    <w:rsid w:val="00D265FB"/>
    <w:rsid w:val="00D26815"/>
    <w:rsid w:val="00D26D5B"/>
    <w:rsid w:val="00D26E0F"/>
    <w:rsid w:val="00D26E6F"/>
    <w:rsid w:val="00D26FBD"/>
    <w:rsid w:val="00D27006"/>
    <w:rsid w:val="00D27293"/>
    <w:rsid w:val="00D272B7"/>
    <w:rsid w:val="00D273FF"/>
    <w:rsid w:val="00D2767E"/>
    <w:rsid w:val="00D27699"/>
    <w:rsid w:val="00D27966"/>
    <w:rsid w:val="00D279B7"/>
    <w:rsid w:val="00D27CC6"/>
    <w:rsid w:val="00D27E39"/>
    <w:rsid w:val="00D30206"/>
    <w:rsid w:val="00D30320"/>
    <w:rsid w:val="00D3048A"/>
    <w:rsid w:val="00D30500"/>
    <w:rsid w:val="00D306DE"/>
    <w:rsid w:val="00D30E3A"/>
    <w:rsid w:val="00D3105C"/>
    <w:rsid w:val="00D312CC"/>
    <w:rsid w:val="00D312EA"/>
    <w:rsid w:val="00D31433"/>
    <w:rsid w:val="00D31A25"/>
    <w:rsid w:val="00D31AAB"/>
    <w:rsid w:val="00D31DE8"/>
    <w:rsid w:val="00D32315"/>
    <w:rsid w:val="00D3260D"/>
    <w:rsid w:val="00D32E4A"/>
    <w:rsid w:val="00D333FF"/>
    <w:rsid w:val="00D334A8"/>
    <w:rsid w:val="00D335F5"/>
    <w:rsid w:val="00D33614"/>
    <w:rsid w:val="00D33733"/>
    <w:rsid w:val="00D33843"/>
    <w:rsid w:val="00D339CB"/>
    <w:rsid w:val="00D33D9B"/>
    <w:rsid w:val="00D33FC2"/>
    <w:rsid w:val="00D3409C"/>
    <w:rsid w:val="00D340DA"/>
    <w:rsid w:val="00D3486B"/>
    <w:rsid w:val="00D3491B"/>
    <w:rsid w:val="00D34CC0"/>
    <w:rsid w:val="00D35002"/>
    <w:rsid w:val="00D353D3"/>
    <w:rsid w:val="00D3573B"/>
    <w:rsid w:val="00D3575F"/>
    <w:rsid w:val="00D35D47"/>
    <w:rsid w:val="00D3602B"/>
    <w:rsid w:val="00D36210"/>
    <w:rsid w:val="00D363CB"/>
    <w:rsid w:val="00D36424"/>
    <w:rsid w:val="00D364D8"/>
    <w:rsid w:val="00D364D9"/>
    <w:rsid w:val="00D364EB"/>
    <w:rsid w:val="00D3654B"/>
    <w:rsid w:val="00D36A0C"/>
    <w:rsid w:val="00D36BB0"/>
    <w:rsid w:val="00D37210"/>
    <w:rsid w:val="00D373BD"/>
    <w:rsid w:val="00D373CF"/>
    <w:rsid w:val="00D373F3"/>
    <w:rsid w:val="00D375A3"/>
    <w:rsid w:val="00D37809"/>
    <w:rsid w:val="00D378B2"/>
    <w:rsid w:val="00D37B2E"/>
    <w:rsid w:val="00D37C56"/>
    <w:rsid w:val="00D37C5B"/>
    <w:rsid w:val="00D40067"/>
    <w:rsid w:val="00D403E5"/>
    <w:rsid w:val="00D408A4"/>
    <w:rsid w:val="00D40A87"/>
    <w:rsid w:val="00D40C4F"/>
    <w:rsid w:val="00D4110D"/>
    <w:rsid w:val="00D4153A"/>
    <w:rsid w:val="00D415AF"/>
    <w:rsid w:val="00D415D3"/>
    <w:rsid w:val="00D41F69"/>
    <w:rsid w:val="00D41FEA"/>
    <w:rsid w:val="00D42A40"/>
    <w:rsid w:val="00D42D66"/>
    <w:rsid w:val="00D42E58"/>
    <w:rsid w:val="00D42F73"/>
    <w:rsid w:val="00D4344E"/>
    <w:rsid w:val="00D434FD"/>
    <w:rsid w:val="00D439AE"/>
    <w:rsid w:val="00D43D0D"/>
    <w:rsid w:val="00D43E53"/>
    <w:rsid w:val="00D44035"/>
    <w:rsid w:val="00D44045"/>
    <w:rsid w:val="00D44444"/>
    <w:rsid w:val="00D444D5"/>
    <w:rsid w:val="00D4464C"/>
    <w:rsid w:val="00D446E1"/>
    <w:rsid w:val="00D44BEA"/>
    <w:rsid w:val="00D44C01"/>
    <w:rsid w:val="00D44C71"/>
    <w:rsid w:val="00D44D2F"/>
    <w:rsid w:val="00D4510C"/>
    <w:rsid w:val="00D45399"/>
    <w:rsid w:val="00D4558D"/>
    <w:rsid w:val="00D45664"/>
    <w:rsid w:val="00D45856"/>
    <w:rsid w:val="00D45BD5"/>
    <w:rsid w:val="00D4624D"/>
    <w:rsid w:val="00D4632E"/>
    <w:rsid w:val="00D4636C"/>
    <w:rsid w:val="00D46528"/>
    <w:rsid w:val="00D46760"/>
    <w:rsid w:val="00D46987"/>
    <w:rsid w:val="00D46A74"/>
    <w:rsid w:val="00D46C3D"/>
    <w:rsid w:val="00D46E7A"/>
    <w:rsid w:val="00D46F1C"/>
    <w:rsid w:val="00D46FF6"/>
    <w:rsid w:val="00D47105"/>
    <w:rsid w:val="00D47197"/>
    <w:rsid w:val="00D473B6"/>
    <w:rsid w:val="00D479C0"/>
    <w:rsid w:val="00D47D99"/>
    <w:rsid w:val="00D50640"/>
    <w:rsid w:val="00D50877"/>
    <w:rsid w:val="00D509B2"/>
    <w:rsid w:val="00D50C3A"/>
    <w:rsid w:val="00D50C7B"/>
    <w:rsid w:val="00D50E4B"/>
    <w:rsid w:val="00D50ECD"/>
    <w:rsid w:val="00D50F76"/>
    <w:rsid w:val="00D51112"/>
    <w:rsid w:val="00D511AF"/>
    <w:rsid w:val="00D5144C"/>
    <w:rsid w:val="00D5157E"/>
    <w:rsid w:val="00D51B3B"/>
    <w:rsid w:val="00D51C01"/>
    <w:rsid w:val="00D51C51"/>
    <w:rsid w:val="00D52026"/>
    <w:rsid w:val="00D522F2"/>
    <w:rsid w:val="00D52A51"/>
    <w:rsid w:val="00D52CDA"/>
    <w:rsid w:val="00D5339F"/>
    <w:rsid w:val="00D53565"/>
    <w:rsid w:val="00D538B6"/>
    <w:rsid w:val="00D53966"/>
    <w:rsid w:val="00D53C6C"/>
    <w:rsid w:val="00D53D53"/>
    <w:rsid w:val="00D53F11"/>
    <w:rsid w:val="00D540CD"/>
    <w:rsid w:val="00D5418E"/>
    <w:rsid w:val="00D545A9"/>
    <w:rsid w:val="00D5480B"/>
    <w:rsid w:val="00D54818"/>
    <w:rsid w:val="00D54BF1"/>
    <w:rsid w:val="00D54C3F"/>
    <w:rsid w:val="00D54E2B"/>
    <w:rsid w:val="00D54F5A"/>
    <w:rsid w:val="00D553E7"/>
    <w:rsid w:val="00D554A2"/>
    <w:rsid w:val="00D555C8"/>
    <w:rsid w:val="00D556E8"/>
    <w:rsid w:val="00D557E7"/>
    <w:rsid w:val="00D55B5E"/>
    <w:rsid w:val="00D55C4C"/>
    <w:rsid w:val="00D55CA9"/>
    <w:rsid w:val="00D55CB8"/>
    <w:rsid w:val="00D55FE0"/>
    <w:rsid w:val="00D562E6"/>
    <w:rsid w:val="00D564E3"/>
    <w:rsid w:val="00D56533"/>
    <w:rsid w:val="00D5655A"/>
    <w:rsid w:val="00D56773"/>
    <w:rsid w:val="00D569A2"/>
    <w:rsid w:val="00D56C19"/>
    <w:rsid w:val="00D56DC3"/>
    <w:rsid w:val="00D57338"/>
    <w:rsid w:val="00D575DF"/>
    <w:rsid w:val="00D57A07"/>
    <w:rsid w:val="00D57B42"/>
    <w:rsid w:val="00D57F5D"/>
    <w:rsid w:val="00D57F70"/>
    <w:rsid w:val="00D57F71"/>
    <w:rsid w:val="00D60151"/>
    <w:rsid w:val="00D6015A"/>
    <w:rsid w:val="00D60812"/>
    <w:rsid w:val="00D60A0B"/>
    <w:rsid w:val="00D60C91"/>
    <w:rsid w:val="00D60EA4"/>
    <w:rsid w:val="00D60FC3"/>
    <w:rsid w:val="00D61442"/>
    <w:rsid w:val="00D6150A"/>
    <w:rsid w:val="00D616B2"/>
    <w:rsid w:val="00D61F78"/>
    <w:rsid w:val="00D61FFC"/>
    <w:rsid w:val="00D62229"/>
    <w:rsid w:val="00D62445"/>
    <w:rsid w:val="00D627E8"/>
    <w:rsid w:val="00D62829"/>
    <w:rsid w:val="00D62898"/>
    <w:rsid w:val="00D62941"/>
    <w:rsid w:val="00D62CF3"/>
    <w:rsid w:val="00D62E9F"/>
    <w:rsid w:val="00D630B2"/>
    <w:rsid w:val="00D63331"/>
    <w:rsid w:val="00D633B3"/>
    <w:rsid w:val="00D63943"/>
    <w:rsid w:val="00D6402A"/>
    <w:rsid w:val="00D64620"/>
    <w:rsid w:val="00D6469E"/>
    <w:rsid w:val="00D64A38"/>
    <w:rsid w:val="00D64CDE"/>
    <w:rsid w:val="00D6537B"/>
    <w:rsid w:val="00D655CF"/>
    <w:rsid w:val="00D66453"/>
    <w:rsid w:val="00D666DC"/>
    <w:rsid w:val="00D6672C"/>
    <w:rsid w:val="00D66A09"/>
    <w:rsid w:val="00D66E2A"/>
    <w:rsid w:val="00D6718C"/>
    <w:rsid w:val="00D67425"/>
    <w:rsid w:val="00D675C1"/>
    <w:rsid w:val="00D678AB"/>
    <w:rsid w:val="00D67999"/>
    <w:rsid w:val="00D679A8"/>
    <w:rsid w:val="00D67AF8"/>
    <w:rsid w:val="00D7005D"/>
    <w:rsid w:val="00D70214"/>
    <w:rsid w:val="00D70422"/>
    <w:rsid w:val="00D70961"/>
    <w:rsid w:val="00D70972"/>
    <w:rsid w:val="00D70B2A"/>
    <w:rsid w:val="00D70F3B"/>
    <w:rsid w:val="00D70F99"/>
    <w:rsid w:val="00D71688"/>
    <w:rsid w:val="00D71836"/>
    <w:rsid w:val="00D718E1"/>
    <w:rsid w:val="00D71942"/>
    <w:rsid w:val="00D71F41"/>
    <w:rsid w:val="00D71FDD"/>
    <w:rsid w:val="00D722FB"/>
    <w:rsid w:val="00D7242B"/>
    <w:rsid w:val="00D72639"/>
    <w:rsid w:val="00D72901"/>
    <w:rsid w:val="00D72911"/>
    <w:rsid w:val="00D731B2"/>
    <w:rsid w:val="00D73427"/>
    <w:rsid w:val="00D744FD"/>
    <w:rsid w:val="00D745CD"/>
    <w:rsid w:val="00D7485C"/>
    <w:rsid w:val="00D74871"/>
    <w:rsid w:val="00D74B79"/>
    <w:rsid w:val="00D74B95"/>
    <w:rsid w:val="00D74C7C"/>
    <w:rsid w:val="00D75222"/>
    <w:rsid w:val="00D752C3"/>
    <w:rsid w:val="00D75364"/>
    <w:rsid w:val="00D753F7"/>
    <w:rsid w:val="00D7544D"/>
    <w:rsid w:val="00D754D5"/>
    <w:rsid w:val="00D7559F"/>
    <w:rsid w:val="00D75A7F"/>
    <w:rsid w:val="00D75B32"/>
    <w:rsid w:val="00D75BAD"/>
    <w:rsid w:val="00D75BBD"/>
    <w:rsid w:val="00D76063"/>
    <w:rsid w:val="00D76615"/>
    <w:rsid w:val="00D766F6"/>
    <w:rsid w:val="00D766FE"/>
    <w:rsid w:val="00D76905"/>
    <w:rsid w:val="00D76B4F"/>
    <w:rsid w:val="00D76D47"/>
    <w:rsid w:val="00D770CA"/>
    <w:rsid w:val="00D77486"/>
    <w:rsid w:val="00D777C6"/>
    <w:rsid w:val="00D77A84"/>
    <w:rsid w:val="00D77D0E"/>
    <w:rsid w:val="00D77F46"/>
    <w:rsid w:val="00D80000"/>
    <w:rsid w:val="00D8000C"/>
    <w:rsid w:val="00D801C4"/>
    <w:rsid w:val="00D80665"/>
    <w:rsid w:val="00D8098B"/>
    <w:rsid w:val="00D80C11"/>
    <w:rsid w:val="00D80E55"/>
    <w:rsid w:val="00D8142B"/>
    <w:rsid w:val="00D814BC"/>
    <w:rsid w:val="00D814FD"/>
    <w:rsid w:val="00D816F0"/>
    <w:rsid w:val="00D81753"/>
    <w:rsid w:val="00D81BFB"/>
    <w:rsid w:val="00D8244E"/>
    <w:rsid w:val="00D8252D"/>
    <w:rsid w:val="00D82591"/>
    <w:rsid w:val="00D82C24"/>
    <w:rsid w:val="00D82D99"/>
    <w:rsid w:val="00D83DF3"/>
    <w:rsid w:val="00D841F5"/>
    <w:rsid w:val="00D8473D"/>
    <w:rsid w:val="00D848CB"/>
    <w:rsid w:val="00D8495E"/>
    <w:rsid w:val="00D84C1B"/>
    <w:rsid w:val="00D84C86"/>
    <w:rsid w:val="00D84DF6"/>
    <w:rsid w:val="00D84FBA"/>
    <w:rsid w:val="00D851EE"/>
    <w:rsid w:val="00D8526E"/>
    <w:rsid w:val="00D85330"/>
    <w:rsid w:val="00D85377"/>
    <w:rsid w:val="00D853A2"/>
    <w:rsid w:val="00D853DA"/>
    <w:rsid w:val="00D854F8"/>
    <w:rsid w:val="00D85610"/>
    <w:rsid w:val="00D856EF"/>
    <w:rsid w:val="00D8573D"/>
    <w:rsid w:val="00D8578C"/>
    <w:rsid w:val="00D85FBA"/>
    <w:rsid w:val="00D864A2"/>
    <w:rsid w:val="00D86A8A"/>
    <w:rsid w:val="00D86B0B"/>
    <w:rsid w:val="00D86BFC"/>
    <w:rsid w:val="00D86C9D"/>
    <w:rsid w:val="00D86EA3"/>
    <w:rsid w:val="00D87171"/>
    <w:rsid w:val="00D873AF"/>
    <w:rsid w:val="00D874A4"/>
    <w:rsid w:val="00D87712"/>
    <w:rsid w:val="00D87DB9"/>
    <w:rsid w:val="00D90163"/>
    <w:rsid w:val="00D901A6"/>
    <w:rsid w:val="00D90217"/>
    <w:rsid w:val="00D90517"/>
    <w:rsid w:val="00D90A90"/>
    <w:rsid w:val="00D90BF0"/>
    <w:rsid w:val="00D90E4D"/>
    <w:rsid w:val="00D9111A"/>
    <w:rsid w:val="00D91252"/>
    <w:rsid w:val="00D91ADF"/>
    <w:rsid w:val="00D91AE4"/>
    <w:rsid w:val="00D91CFB"/>
    <w:rsid w:val="00D922C7"/>
    <w:rsid w:val="00D922F7"/>
    <w:rsid w:val="00D92338"/>
    <w:rsid w:val="00D928F0"/>
    <w:rsid w:val="00D92C96"/>
    <w:rsid w:val="00D92CCC"/>
    <w:rsid w:val="00D930F2"/>
    <w:rsid w:val="00D9327D"/>
    <w:rsid w:val="00D93649"/>
    <w:rsid w:val="00D93BB8"/>
    <w:rsid w:val="00D93CB4"/>
    <w:rsid w:val="00D93DDE"/>
    <w:rsid w:val="00D93EBC"/>
    <w:rsid w:val="00D9409A"/>
    <w:rsid w:val="00D94160"/>
    <w:rsid w:val="00D94638"/>
    <w:rsid w:val="00D946E8"/>
    <w:rsid w:val="00D94C67"/>
    <w:rsid w:val="00D94D4F"/>
    <w:rsid w:val="00D95035"/>
    <w:rsid w:val="00D9529D"/>
    <w:rsid w:val="00D952AF"/>
    <w:rsid w:val="00D952ED"/>
    <w:rsid w:val="00D9553C"/>
    <w:rsid w:val="00D956BD"/>
    <w:rsid w:val="00D95AC8"/>
    <w:rsid w:val="00D95ADF"/>
    <w:rsid w:val="00D95B9A"/>
    <w:rsid w:val="00D95D20"/>
    <w:rsid w:val="00D95D63"/>
    <w:rsid w:val="00D962E5"/>
    <w:rsid w:val="00D9658E"/>
    <w:rsid w:val="00D96593"/>
    <w:rsid w:val="00D96947"/>
    <w:rsid w:val="00D96950"/>
    <w:rsid w:val="00D96B50"/>
    <w:rsid w:val="00D96E11"/>
    <w:rsid w:val="00D96EB8"/>
    <w:rsid w:val="00D9702F"/>
    <w:rsid w:val="00D97044"/>
    <w:rsid w:val="00D9705B"/>
    <w:rsid w:val="00D976BE"/>
    <w:rsid w:val="00D979A6"/>
    <w:rsid w:val="00D97A96"/>
    <w:rsid w:val="00D97E1F"/>
    <w:rsid w:val="00D97ECB"/>
    <w:rsid w:val="00D97F86"/>
    <w:rsid w:val="00D97F93"/>
    <w:rsid w:val="00DA0071"/>
    <w:rsid w:val="00DA032A"/>
    <w:rsid w:val="00DA072C"/>
    <w:rsid w:val="00DA0A31"/>
    <w:rsid w:val="00DA0E25"/>
    <w:rsid w:val="00DA12DE"/>
    <w:rsid w:val="00DA1446"/>
    <w:rsid w:val="00DA17C0"/>
    <w:rsid w:val="00DA1D54"/>
    <w:rsid w:val="00DA1E77"/>
    <w:rsid w:val="00DA1FF1"/>
    <w:rsid w:val="00DA20D9"/>
    <w:rsid w:val="00DA258A"/>
    <w:rsid w:val="00DA2612"/>
    <w:rsid w:val="00DA26A9"/>
    <w:rsid w:val="00DA2CC0"/>
    <w:rsid w:val="00DA2F88"/>
    <w:rsid w:val="00DA319E"/>
    <w:rsid w:val="00DA3282"/>
    <w:rsid w:val="00DA36AE"/>
    <w:rsid w:val="00DA381A"/>
    <w:rsid w:val="00DA38E8"/>
    <w:rsid w:val="00DA3B7A"/>
    <w:rsid w:val="00DA3B7E"/>
    <w:rsid w:val="00DA3BDE"/>
    <w:rsid w:val="00DA4606"/>
    <w:rsid w:val="00DA4700"/>
    <w:rsid w:val="00DA47B9"/>
    <w:rsid w:val="00DA488C"/>
    <w:rsid w:val="00DA4A43"/>
    <w:rsid w:val="00DA4B37"/>
    <w:rsid w:val="00DA4B7C"/>
    <w:rsid w:val="00DA545F"/>
    <w:rsid w:val="00DA5480"/>
    <w:rsid w:val="00DA556F"/>
    <w:rsid w:val="00DA5B91"/>
    <w:rsid w:val="00DA5C64"/>
    <w:rsid w:val="00DA5D74"/>
    <w:rsid w:val="00DA5F01"/>
    <w:rsid w:val="00DA60CA"/>
    <w:rsid w:val="00DA60DF"/>
    <w:rsid w:val="00DA62A3"/>
    <w:rsid w:val="00DA640E"/>
    <w:rsid w:val="00DA6B2F"/>
    <w:rsid w:val="00DA6CDB"/>
    <w:rsid w:val="00DA6E92"/>
    <w:rsid w:val="00DA707F"/>
    <w:rsid w:val="00DA71F1"/>
    <w:rsid w:val="00DA7333"/>
    <w:rsid w:val="00DA742C"/>
    <w:rsid w:val="00DA7519"/>
    <w:rsid w:val="00DA75E7"/>
    <w:rsid w:val="00DA768F"/>
    <w:rsid w:val="00DA77AE"/>
    <w:rsid w:val="00DA787E"/>
    <w:rsid w:val="00DA78B0"/>
    <w:rsid w:val="00DB0037"/>
    <w:rsid w:val="00DB0588"/>
    <w:rsid w:val="00DB05C4"/>
    <w:rsid w:val="00DB0E77"/>
    <w:rsid w:val="00DB105C"/>
    <w:rsid w:val="00DB117E"/>
    <w:rsid w:val="00DB142D"/>
    <w:rsid w:val="00DB1520"/>
    <w:rsid w:val="00DB1891"/>
    <w:rsid w:val="00DB1BAA"/>
    <w:rsid w:val="00DB1BCA"/>
    <w:rsid w:val="00DB1CDE"/>
    <w:rsid w:val="00DB1EE6"/>
    <w:rsid w:val="00DB1F6D"/>
    <w:rsid w:val="00DB2240"/>
    <w:rsid w:val="00DB293B"/>
    <w:rsid w:val="00DB2D1A"/>
    <w:rsid w:val="00DB30B3"/>
    <w:rsid w:val="00DB32C2"/>
    <w:rsid w:val="00DB3B65"/>
    <w:rsid w:val="00DB3C7D"/>
    <w:rsid w:val="00DB3C86"/>
    <w:rsid w:val="00DB3F34"/>
    <w:rsid w:val="00DB404C"/>
    <w:rsid w:val="00DB4095"/>
    <w:rsid w:val="00DB40D6"/>
    <w:rsid w:val="00DB426D"/>
    <w:rsid w:val="00DB436F"/>
    <w:rsid w:val="00DB448E"/>
    <w:rsid w:val="00DB4732"/>
    <w:rsid w:val="00DB52EB"/>
    <w:rsid w:val="00DB5671"/>
    <w:rsid w:val="00DB5833"/>
    <w:rsid w:val="00DB5A0D"/>
    <w:rsid w:val="00DB5A4C"/>
    <w:rsid w:val="00DB5D80"/>
    <w:rsid w:val="00DB6189"/>
    <w:rsid w:val="00DB6391"/>
    <w:rsid w:val="00DB68EE"/>
    <w:rsid w:val="00DB6B88"/>
    <w:rsid w:val="00DB712E"/>
    <w:rsid w:val="00DB71D6"/>
    <w:rsid w:val="00DB725A"/>
    <w:rsid w:val="00DB7438"/>
    <w:rsid w:val="00DB7515"/>
    <w:rsid w:val="00DB7D3B"/>
    <w:rsid w:val="00DB7EE1"/>
    <w:rsid w:val="00DB7FF3"/>
    <w:rsid w:val="00DC0994"/>
    <w:rsid w:val="00DC09EE"/>
    <w:rsid w:val="00DC0A72"/>
    <w:rsid w:val="00DC0AF9"/>
    <w:rsid w:val="00DC0B61"/>
    <w:rsid w:val="00DC103D"/>
    <w:rsid w:val="00DC1080"/>
    <w:rsid w:val="00DC12AB"/>
    <w:rsid w:val="00DC14ED"/>
    <w:rsid w:val="00DC17FD"/>
    <w:rsid w:val="00DC1DBF"/>
    <w:rsid w:val="00DC22C2"/>
    <w:rsid w:val="00DC2395"/>
    <w:rsid w:val="00DC2A83"/>
    <w:rsid w:val="00DC2C7F"/>
    <w:rsid w:val="00DC2D5D"/>
    <w:rsid w:val="00DC2F94"/>
    <w:rsid w:val="00DC348A"/>
    <w:rsid w:val="00DC34CA"/>
    <w:rsid w:val="00DC3922"/>
    <w:rsid w:val="00DC3B79"/>
    <w:rsid w:val="00DC3C16"/>
    <w:rsid w:val="00DC3CE6"/>
    <w:rsid w:val="00DC3DD6"/>
    <w:rsid w:val="00DC3E04"/>
    <w:rsid w:val="00DC408F"/>
    <w:rsid w:val="00DC4171"/>
    <w:rsid w:val="00DC41B0"/>
    <w:rsid w:val="00DC43E0"/>
    <w:rsid w:val="00DC47A4"/>
    <w:rsid w:val="00DC4925"/>
    <w:rsid w:val="00DC49BC"/>
    <w:rsid w:val="00DC51EF"/>
    <w:rsid w:val="00DC5544"/>
    <w:rsid w:val="00DC55A8"/>
    <w:rsid w:val="00DC5748"/>
    <w:rsid w:val="00DC57B0"/>
    <w:rsid w:val="00DC584D"/>
    <w:rsid w:val="00DC5999"/>
    <w:rsid w:val="00DC6123"/>
    <w:rsid w:val="00DC6203"/>
    <w:rsid w:val="00DC6771"/>
    <w:rsid w:val="00DC6ACD"/>
    <w:rsid w:val="00DC6B66"/>
    <w:rsid w:val="00DC6B81"/>
    <w:rsid w:val="00DC6F9A"/>
    <w:rsid w:val="00DC724A"/>
    <w:rsid w:val="00DC736B"/>
    <w:rsid w:val="00DC73A0"/>
    <w:rsid w:val="00DC73C8"/>
    <w:rsid w:val="00DC73D7"/>
    <w:rsid w:val="00DC7893"/>
    <w:rsid w:val="00DC78FA"/>
    <w:rsid w:val="00DC7B85"/>
    <w:rsid w:val="00DC7DA5"/>
    <w:rsid w:val="00DD030D"/>
    <w:rsid w:val="00DD04CC"/>
    <w:rsid w:val="00DD060B"/>
    <w:rsid w:val="00DD06E6"/>
    <w:rsid w:val="00DD0AFA"/>
    <w:rsid w:val="00DD0C56"/>
    <w:rsid w:val="00DD1026"/>
    <w:rsid w:val="00DD10AB"/>
    <w:rsid w:val="00DD12D2"/>
    <w:rsid w:val="00DD1717"/>
    <w:rsid w:val="00DD1A03"/>
    <w:rsid w:val="00DD1B14"/>
    <w:rsid w:val="00DD1BBE"/>
    <w:rsid w:val="00DD1E21"/>
    <w:rsid w:val="00DD1E2C"/>
    <w:rsid w:val="00DD1F0B"/>
    <w:rsid w:val="00DD20F7"/>
    <w:rsid w:val="00DD2118"/>
    <w:rsid w:val="00DD2129"/>
    <w:rsid w:val="00DD2280"/>
    <w:rsid w:val="00DD236E"/>
    <w:rsid w:val="00DD2942"/>
    <w:rsid w:val="00DD2997"/>
    <w:rsid w:val="00DD2B62"/>
    <w:rsid w:val="00DD2BFD"/>
    <w:rsid w:val="00DD2EE0"/>
    <w:rsid w:val="00DD2FFB"/>
    <w:rsid w:val="00DD30FE"/>
    <w:rsid w:val="00DD3755"/>
    <w:rsid w:val="00DD375A"/>
    <w:rsid w:val="00DD3926"/>
    <w:rsid w:val="00DD3A5C"/>
    <w:rsid w:val="00DD3BA8"/>
    <w:rsid w:val="00DD3DDD"/>
    <w:rsid w:val="00DD401C"/>
    <w:rsid w:val="00DD4034"/>
    <w:rsid w:val="00DD426C"/>
    <w:rsid w:val="00DD45DA"/>
    <w:rsid w:val="00DD47DD"/>
    <w:rsid w:val="00DD4842"/>
    <w:rsid w:val="00DD4877"/>
    <w:rsid w:val="00DD4D58"/>
    <w:rsid w:val="00DD4DC7"/>
    <w:rsid w:val="00DD4E1F"/>
    <w:rsid w:val="00DD5200"/>
    <w:rsid w:val="00DD5702"/>
    <w:rsid w:val="00DD5754"/>
    <w:rsid w:val="00DD5A08"/>
    <w:rsid w:val="00DD5B77"/>
    <w:rsid w:val="00DD5DE2"/>
    <w:rsid w:val="00DD681F"/>
    <w:rsid w:val="00DD6835"/>
    <w:rsid w:val="00DD6879"/>
    <w:rsid w:val="00DD6883"/>
    <w:rsid w:val="00DD6905"/>
    <w:rsid w:val="00DD7587"/>
    <w:rsid w:val="00DD78C5"/>
    <w:rsid w:val="00DD7A3D"/>
    <w:rsid w:val="00DD7BBD"/>
    <w:rsid w:val="00DD7CAC"/>
    <w:rsid w:val="00DD7D3A"/>
    <w:rsid w:val="00DD7EDD"/>
    <w:rsid w:val="00DE0456"/>
    <w:rsid w:val="00DE045F"/>
    <w:rsid w:val="00DE04A4"/>
    <w:rsid w:val="00DE07C7"/>
    <w:rsid w:val="00DE07DA"/>
    <w:rsid w:val="00DE1724"/>
    <w:rsid w:val="00DE1858"/>
    <w:rsid w:val="00DE1CBA"/>
    <w:rsid w:val="00DE24FE"/>
    <w:rsid w:val="00DE28D7"/>
    <w:rsid w:val="00DE2C1B"/>
    <w:rsid w:val="00DE2EFB"/>
    <w:rsid w:val="00DE3024"/>
    <w:rsid w:val="00DE3053"/>
    <w:rsid w:val="00DE37DC"/>
    <w:rsid w:val="00DE386F"/>
    <w:rsid w:val="00DE3894"/>
    <w:rsid w:val="00DE3915"/>
    <w:rsid w:val="00DE39A9"/>
    <w:rsid w:val="00DE3D6A"/>
    <w:rsid w:val="00DE4091"/>
    <w:rsid w:val="00DE4215"/>
    <w:rsid w:val="00DE44FA"/>
    <w:rsid w:val="00DE4A50"/>
    <w:rsid w:val="00DE4BF3"/>
    <w:rsid w:val="00DE4C74"/>
    <w:rsid w:val="00DE4E86"/>
    <w:rsid w:val="00DE51BE"/>
    <w:rsid w:val="00DE5255"/>
    <w:rsid w:val="00DE550A"/>
    <w:rsid w:val="00DE584B"/>
    <w:rsid w:val="00DE5A65"/>
    <w:rsid w:val="00DE5D4F"/>
    <w:rsid w:val="00DE5D61"/>
    <w:rsid w:val="00DE6023"/>
    <w:rsid w:val="00DE607D"/>
    <w:rsid w:val="00DE625E"/>
    <w:rsid w:val="00DE63CE"/>
    <w:rsid w:val="00DE661D"/>
    <w:rsid w:val="00DE6768"/>
    <w:rsid w:val="00DE737F"/>
    <w:rsid w:val="00DE7694"/>
    <w:rsid w:val="00DE773D"/>
    <w:rsid w:val="00DE7997"/>
    <w:rsid w:val="00DE7B0F"/>
    <w:rsid w:val="00DF0253"/>
    <w:rsid w:val="00DF02E6"/>
    <w:rsid w:val="00DF05ED"/>
    <w:rsid w:val="00DF0676"/>
    <w:rsid w:val="00DF0A8B"/>
    <w:rsid w:val="00DF0DE0"/>
    <w:rsid w:val="00DF0DEB"/>
    <w:rsid w:val="00DF11C2"/>
    <w:rsid w:val="00DF1579"/>
    <w:rsid w:val="00DF15DD"/>
    <w:rsid w:val="00DF1B1F"/>
    <w:rsid w:val="00DF1C0F"/>
    <w:rsid w:val="00DF1FBA"/>
    <w:rsid w:val="00DF25D1"/>
    <w:rsid w:val="00DF26B5"/>
    <w:rsid w:val="00DF2708"/>
    <w:rsid w:val="00DF2783"/>
    <w:rsid w:val="00DF282D"/>
    <w:rsid w:val="00DF2962"/>
    <w:rsid w:val="00DF2F58"/>
    <w:rsid w:val="00DF30D3"/>
    <w:rsid w:val="00DF33E3"/>
    <w:rsid w:val="00DF3481"/>
    <w:rsid w:val="00DF34E1"/>
    <w:rsid w:val="00DF35FB"/>
    <w:rsid w:val="00DF38CA"/>
    <w:rsid w:val="00DF3903"/>
    <w:rsid w:val="00DF3A0E"/>
    <w:rsid w:val="00DF3ACD"/>
    <w:rsid w:val="00DF3BAF"/>
    <w:rsid w:val="00DF3EBF"/>
    <w:rsid w:val="00DF3F82"/>
    <w:rsid w:val="00DF40AF"/>
    <w:rsid w:val="00DF4205"/>
    <w:rsid w:val="00DF494C"/>
    <w:rsid w:val="00DF4981"/>
    <w:rsid w:val="00DF49EE"/>
    <w:rsid w:val="00DF4CCF"/>
    <w:rsid w:val="00DF50C0"/>
    <w:rsid w:val="00DF5476"/>
    <w:rsid w:val="00DF58D0"/>
    <w:rsid w:val="00DF5FE0"/>
    <w:rsid w:val="00DF6180"/>
    <w:rsid w:val="00DF63DF"/>
    <w:rsid w:val="00DF6436"/>
    <w:rsid w:val="00DF64D1"/>
    <w:rsid w:val="00DF656F"/>
    <w:rsid w:val="00DF69B8"/>
    <w:rsid w:val="00DF6FC2"/>
    <w:rsid w:val="00DF7188"/>
    <w:rsid w:val="00DF7250"/>
    <w:rsid w:val="00DF725F"/>
    <w:rsid w:val="00DF73CA"/>
    <w:rsid w:val="00DF73E9"/>
    <w:rsid w:val="00DF7410"/>
    <w:rsid w:val="00DF7692"/>
    <w:rsid w:val="00DF78FC"/>
    <w:rsid w:val="00DF7FB6"/>
    <w:rsid w:val="00E00005"/>
    <w:rsid w:val="00E001C9"/>
    <w:rsid w:val="00E003E7"/>
    <w:rsid w:val="00E004CB"/>
    <w:rsid w:val="00E0068F"/>
    <w:rsid w:val="00E00B7E"/>
    <w:rsid w:val="00E00DB1"/>
    <w:rsid w:val="00E0106F"/>
    <w:rsid w:val="00E01124"/>
    <w:rsid w:val="00E011E1"/>
    <w:rsid w:val="00E0145D"/>
    <w:rsid w:val="00E0157A"/>
    <w:rsid w:val="00E016F1"/>
    <w:rsid w:val="00E017B5"/>
    <w:rsid w:val="00E01C33"/>
    <w:rsid w:val="00E01F61"/>
    <w:rsid w:val="00E02103"/>
    <w:rsid w:val="00E0244A"/>
    <w:rsid w:val="00E02640"/>
    <w:rsid w:val="00E02763"/>
    <w:rsid w:val="00E02903"/>
    <w:rsid w:val="00E02A92"/>
    <w:rsid w:val="00E02C69"/>
    <w:rsid w:val="00E03014"/>
    <w:rsid w:val="00E031A5"/>
    <w:rsid w:val="00E033A4"/>
    <w:rsid w:val="00E038EC"/>
    <w:rsid w:val="00E03C4B"/>
    <w:rsid w:val="00E03DF3"/>
    <w:rsid w:val="00E041BF"/>
    <w:rsid w:val="00E042D0"/>
    <w:rsid w:val="00E045AD"/>
    <w:rsid w:val="00E04616"/>
    <w:rsid w:val="00E04693"/>
    <w:rsid w:val="00E04993"/>
    <w:rsid w:val="00E04A9A"/>
    <w:rsid w:val="00E04CED"/>
    <w:rsid w:val="00E04F83"/>
    <w:rsid w:val="00E052F1"/>
    <w:rsid w:val="00E05366"/>
    <w:rsid w:val="00E059D4"/>
    <w:rsid w:val="00E05AFF"/>
    <w:rsid w:val="00E05C2D"/>
    <w:rsid w:val="00E05D7E"/>
    <w:rsid w:val="00E05E58"/>
    <w:rsid w:val="00E060DD"/>
    <w:rsid w:val="00E060EE"/>
    <w:rsid w:val="00E062D3"/>
    <w:rsid w:val="00E063B0"/>
    <w:rsid w:val="00E06411"/>
    <w:rsid w:val="00E0659D"/>
    <w:rsid w:val="00E0676C"/>
    <w:rsid w:val="00E06CB4"/>
    <w:rsid w:val="00E06DD5"/>
    <w:rsid w:val="00E075B4"/>
    <w:rsid w:val="00E07CFF"/>
    <w:rsid w:val="00E10098"/>
    <w:rsid w:val="00E104A4"/>
    <w:rsid w:val="00E104E5"/>
    <w:rsid w:val="00E10A02"/>
    <w:rsid w:val="00E10A42"/>
    <w:rsid w:val="00E10A79"/>
    <w:rsid w:val="00E10AD2"/>
    <w:rsid w:val="00E10C70"/>
    <w:rsid w:val="00E1118F"/>
    <w:rsid w:val="00E11230"/>
    <w:rsid w:val="00E115BC"/>
    <w:rsid w:val="00E115C5"/>
    <w:rsid w:val="00E11657"/>
    <w:rsid w:val="00E11676"/>
    <w:rsid w:val="00E116DB"/>
    <w:rsid w:val="00E11701"/>
    <w:rsid w:val="00E11790"/>
    <w:rsid w:val="00E11914"/>
    <w:rsid w:val="00E11A0D"/>
    <w:rsid w:val="00E11B6E"/>
    <w:rsid w:val="00E11CB6"/>
    <w:rsid w:val="00E11D18"/>
    <w:rsid w:val="00E11E55"/>
    <w:rsid w:val="00E12304"/>
    <w:rsid w:val="00E1253D"/>
    <w:rsid w:val="00E12626"/>
    <w:rsid w:val="00E126D7"/>
    <w:rsid w:val="00E12DB9"/>
    <w:rsid w:val="00E12DBF"/>
    <w:rsid w:val="00E12DE2"/>
    <w:rsid w:val="00E12E2C"/>
    <w:rsid w:val="00E130AF"/>
    <w:rsid w:val="00E13397"/>
    <w:rsid w:val="00E133F1"/>
    <w:rsid w:val="00E1366A"/>
    <w:rsid w:val="00E137AD"/>
    <w:rsid w:val="00E1391A"/>
    <w:rsid w:val="00E13A2E"/>
    <w:rsid w:val="00E13CC2"/>
    <w:rsid w:val="00E13D4B"/>
    <w:rsid w:val="00E13DC4"/>
    <w:rsid w:val="00E14627"/>
    <w:rsid w:val="00E146A5"/>
    <w:rsid w:val="00E147CD"/>
    <w:rsid w:val="00E14C81"/>
    <w:rsid w:val="00E15104"/>
    <w:rsid w:val="00E15426"/>
    <w:rsid w:val="00E154B6"/>
    <w:rsid w:val="00E1598B"/>
    <w:rsid w:val="00E15A23"/>
    <w:rsid w:val="00E15ABB"/>
    <w:rsid w:val="00E15BBF"/>
    <w:rsid w:val="00E160A6"/>
    <w:rsid w:val="00E160AA"/>
    <w:rsid w:val="00E1612C"/>
    <w:rsid w:val="00E16277"/>
    <w:rsid w:val="00E162CA"/>
    <w:rsid w:val="00E16356"/>
    <w:rsid w:val="00E16373"/>
    <w:rsid w:val="00E1693A"/>
    <w:rsid w:val="00E16CE1"/>
    <w:rsid w:val="00E1702F"/>
    <w:rsid w:val="00E1762D"/>
    <w:rsid w:val="00E176B9"/>
    <w:rsid w:val="00E17955"/>
    <w:rsid w:val="00E179EA"/>
    <w:rsid w:val="00E17C56"/>
    <w:rsid w:val="00E17F6E"/>
    <w:rsid w:val="00E20171"/>
    <w:rsid w:val="00E2020B"/>
    <w:rsid w:val="00E20343"/>
    <w:rsid w:val="00E20434"/>
    <w:rsid w:val="00E2057D"/>
    <w:rsid w:val="00E20A36"/>
    <w:rsid w:val="00E20AB2"/>
    <w:rsid w:val="00E20B84"/>
    <w:rsid w:val="00E210A3"/>
    <w:rsid w:val="00E2158A"/>
    <w:rsid w:val="00E2162D"/>
    <w:rsid w:val="00E2164B"/>
    <w:rsid w:val="00E216AF"/>
    <w:rsid w:val="00E2188F"/>
    <w:rsid w:val="00E21900"/>
    <w:rsid w:val="00E21F07"/>
    <w:rsid w:val="00E22821"/>
    <w:rsid w:val="00E229C6"/>
    <w:rsid w:val="00E22A07"/>
    <w:rsid w:val="00E22B33"/>
    <w:rsid w:val="00E22C99"/>
    <w:rsid w:val="00E22E63"/>
    <w:rsid w:val="00E2329C"/>
    <w:rsid w:val="00E23523"/>
    <w:rsid w:val="00E23A90"/>
    <w:rsid w:val="00E23B48"/>
    <w:rsid w:val="00E2408A"/>
    <w:rsid w:val="00E24601"/>
    <w:rsid w:val="00E24C56"/>
    <w:rsid w:val="00E24CF0"/>
    <w:rsid w:val="00E24FF1"/>
    <w:rsid w:val="00E252A3"/>
    <w:rsid w:val="00E2539B"/>
    <w:rsid w:val="00E2575B"/>
    <w:rsid w:val="00E25837"/>
    <w:rsid w:val="00E259C6"/>
    <w:rsid w:val="00E25C7F"/>
    <w:rsid w:val="00E25E88"/>
    <w:rsid w:val="00E2619F"/>
    <w:rsid w:val="00E26323"/>
    <w:rsid w:val="00E26446"/>
    <w:rsid w:val="00E268BD"/>
    <w:rsid w:val="00E26B5E"/>
    <w:rsid w:val="00E26E4A"/>
    <w:rsid w:val="00E2750B"/>
    <w:rsid w:val="00E27750"/>
    <w:rsid w:val="00E27ACA"/>
    <w:rsid w:val="00E27CD2"/>
    <w:rsid w:val="00E27D3C"/>
    <w:rsid w:val="00E27EE3"/>
    <w:rsid w:val="00E302FC"/>
    <w:rsid w:val="00E3044D"/>
    <w:rsid w:val="00E305AF"/>
    <w:rsid w:val="00E30796"/>
    <w:rsid w:val="00E308C4"/>
    <w:rsid w:val="00E312BC"/>
    <w:rsid w:val="00E31892"/>
    <w:rsid w:val="00E3192B"/>
    <w:rsid w:val="00E319A2"/>
    <w:rsid w:val="00E31A36"/>
    <w:rsid w:val="00E31AA1"/>
    <w:rsid w:val="00E31F92"/>
    <w:rsid w:val="00E322B9"/>
    <w:rsid w:val="00E322F5"/>
    <w:rsid w:val="00E3295C"/>
    <w:rsid w:val="00E3348E"/>
    <w:rsid w:val="00E33983"/>
    <w:rsid w:val="00E33A1B"/>
    <w:rsid w:val="00E33AC1"/>
    <w:rsid w:val="00E33C83"/>
    <w:rsid w:val="00E33CAA"/>
    <w:rsid w:val="00E33CB0"/>
    <w:rsid w:val="00E33EF2"/>
    <w:rsid w:val="00E34016"/>
    <w:rsid w:val="00E341C4"/>
    <w:rsid w:val="00E3439E"/>
    <w:rsid w:val="00E34411"/>
    <w:rsid w:val="00E3443C"/>
    <w:rsid w:val="00E34740"/>
    <w:rsid w:val="00E34804"/>
    <w:rsid w:val="00E34A3A"/>
    <w:rsid w:val="00E34A88"/>
    <w:rsid w:val="00E34ADB"/>
    <w:rsid w:val="00E34C12"/>
    <w:rsid w:val="00E34FC9"/>
    <w:rsid w:val="00E35151"/>
    <w:rsid w:val="00E351E4"/>
    <w:rsid w:val="00E35247"/>
    <w:rsid w:val="00E355B6"/>
    <w:rsid w:val="00E35771"/>
    <w:rsid w:val="00E35785"/>
    <w:rsid w:val="00E35AD1"/>
    <w:rsid w:val="00E35AFA"/>
    <w:rsid w:val="00E35D30"/>
    <w:rsid w:val="00E35D5F"/>
    <w:rsid w:val="00E35EA9"/>
    <w:rsid w:val="00E35FD5"/>
    <w:rsid w:val="00E361C0"/>
    <w:rsid w:val="00E3625F"/>
    <w:rsid w:val="00E366F7"/>
    <w:rsid w:val="00E36BF3"/>
    <w:rsid w:val="00E36C7A"/>
    <w:rsid w:val="00E36CC1"/>
    <w:rsid w:val="00E36E3C"/>
    <w:rsid w:val="00E37279"/>
    <w:rsid w:val="00E373C0"/>
    <w:rsid w:val="00E3753E"/>
    <w:rsid w:val="00E377C8"/>
    <w:rsid w:val="00E37868"/>
    <w:rsid w:val="00E37943"/>
    <w:rsid w:val="00E37BAE"/>
    <w:rsid w:val="00E37ED7"/>
    <w:rsid w:val="00E4003B"/>
    <w:rsid w:val="00E40154"/>
    <w:rsid w:val="00E4018D"/>
    <w:rsid w:val="00E405E7"/>
    <w:rsid w:val="00E406DA"/>
    <w:rsid w:val="00E407AD"/>
    <w:rsid w:val="00E40A93"/>
    <w:rsid w:val="00E40F23"/>
    <w:rsid w:val="00E410CB"/>
    <w:rsid w:val="00E4134E"/>
    <w:rsid w:val="00E41468"/>
    <w:rsid w:val="00E4147E"/>
    <w:rsid w:val="00E4189E"/>
    <w:rsid w:val="00E41990"/>
    <w:rsid w:val="00E41B9C"/>
    <w:rsid w:val="00E41FB5"/>
    <w:rsid w:val="00E4260D"/>
    <w:rsid w:val="00E42756"/>
    <w:rsid w:val="00E4292D"/>
    <w:rsid w:val="00E42957"/>
    <w:rsid w:val="00E4299B"/>
    <w:rsid w:val="00E42E2A"/>
    <w:rsid w:val="00E43350"/>
    <w:rsid w:val="00E43364"/>
    <w:rsid w:val="00E4354A"/>
    <w:rsid w:val="00E4397C"/>
    <w:rsid w:val="00E43DA9"/>
    <w:rsid w:val="00E43DD6"/>
    <w:rsid w:val="00E4400F"/>
    <w:rsid w:val="00E444F1"/>
    <w:rsid w:val="00E4458B"/>
    <w:rsid w:val="00E446A3"/>
    <w:rsid w:val="00E44812"/>
    <w:rsid w:val="00E448A7"/>
    <w:rsid w:val="00E4492A"/>
    <w:rsid w:val="00E44945"/>
    <w:rsid w:val="00E44ADA"/>
    <w:rsid w:val="00E44B61"/>
    <w:rsid w:val="00E44F79"/>
    <w:rsid w:val="00E451BB"/>
    <w:rsid w:val="00E4520C"/>
    <w:rsid w:val="00E45379"/>
    <w:rsid w:val="00E45731"/>
    <w:rsid w:val="00E457F9"/>
    <w:rsid w:val="00E458D1"/>
    <w:rsid w:val="00E45A3F"/>
    <w:rsid w:val="00E45A5D"/>
    <w:rsid w:val="00E45A89"/>
    <w:rsid w:val="00E45BDC"/>
    <w:rsid w:val="00E45C67"/>
    <w:rsid w:val="00E45CC2"/>
    <w:rsid w:val="00E45E4E"/>
    <w:rsid w:val="00E45F8B"/>
    <w:rsid w:val="00E4611F"/>
    <w:rsid w:val="00E46143"/>
    <w:rsid w:val="00E461A2"/>
    <w:rsid w:val="00E4636E"/>
    <w:rsid w:val="00E46681"/>
    <w:rsid w:val="00E4674C"/>
    <w:rsid w:val="00E467FC"/>
    <w:rsid w:val="00E46887"/>
    <w:rsid w:val="00E46A7B"/>
    <w:rsid w:val="00E46C38"/>
    <w:rsid w:val="00E46D1E"/>
    <w:rsid w:val="00E46EC8"/>
    <w:rsid w:val="00E47411"/>
    <w:rsid w:val="00E474AB"/>
    <w:rsid w:val="00E4768E"/>
    <w:rsid w:val="00E478F1"/>
    <w:rsid w:val="00E47A8D"/>
    <w:rsid w:val="00E50294"/>
    <w:rsid w:val="00E505A6"/>
    <w:rsid w:val="00E505F7"/>
    <w:rsid w:val="00E50C55"/>
    <w:rsid w:val="00E50D66"/>
    <w:rsid w:val="00E51098"/>
    <w:rsid w:val="00E5113F"/>
    <w:rsid w:val="00E51448"/>
    <w:rsid w:val="00E514A8"/>
    <w:rsid w:val="00E5162F"/>
    <w:rsid w:val="00E51675"/>
    <w:rsid w:val="00E51902"/>
    <w:rsid w:val="00E519DB"/>
    <w:rsid w:val="00E51AE3"/>
    <w:rsid w:val="00E51C2B"/>
    <w:rsid w:val="00E51D58"/>
    <w:rsid w:val="00E51D6D"/>
    <w:rsid w:val="00E51E91"/>
    <w:rsid w:val="00E5232E"/>
    <w:rsid w:val="00E5271C"/>
    <w:rsid w:val="00E52746"/>
    <w:rsid w:val="00E52755"/>
    <w:rsid w:val="00E5282C"/>
    <w:rsid w:val="00E52979"/>
    <w:rsid w:val="00E52CC6"/>
    <w:rsid w:val="00E52E25"/>
    <w:rsid w:val="00E52EB5"/>
    <w:rsid w:val="00E52F02"/>
    <w:rsid w:val="00E52FEE"/>
    <w:rsid w:val="00E52FF7"/>
    <w:rsid w:val="00E53242"/>
    <w:rsid w:val="00E53432"/>
    <w:rsid w:val="00E53502"/>
    <w:rsid w:val="00E5351C"/>
    <w:rsid w:val="00E53763"/>
    <w:rsid w:val="00E5380F"/>
    <w:rsid w:val="00E53CC1"/>
    <w:rsid w:val="00E53D44"/>
    <w:rsid w:val="00E541BC"/>
    <w:rsid w:val="00E54231"/>
    <w:rsid w:val="00E5459E"/>
    <w:rsid w:val="00E545E2"/>
    <w:rsid w:val="00E547C6"/>
    <w:rsid w:val="00E5487A"/>
    <w:rsid w:val="00E549AE"/>
    <w:rsid w:val="00E54AB6"/>
    <w:rsid w:val="00E54BC3"/>
    <w:rsid w:val="00E54BC6"/>
    <w:rsid w:val="00E54EA1"/>
    <w:rsid w:val="00E550E1"/>
    <w:rsid w:val="00E55109"/>
    <w:rsid w:val="00E5517B"/>
    <w:rsid w:val="00E558C2"/>
    <w:rsid w:val="00E55B86"/>
    <w:rsid w:val="00E55BC4"/>
    <w:rsid w:val="00E55C54"/>
    <w:rsid w:val="00E55CB8"/>
    <w:rsid w:val="00E55D5F"/>
    <w:rsid w:val="00E56117"/>
    <w:rsid w:val="00E5644D"/>
    <w:rsid w:val="00E5649D"/>
    <w:rsid w:val="00E56566"/>
    <w:rsid w:val="00E56644"/>
    <w:rsid w:val="00E56673"/>
    <w:rsid w:val="00E566F5"/>
    <w:rsid w:val="00E56AD5"/>
    <w:rsid w:val="00E56D88"/>
    <w:rsid w:val="00E56DB9"/>
    <w:rsid w:val="00E56F92"/>
    <w:rsid w:val="00E5721E"/>
    <w:rsid w:val="00E57288"/>
    <w:rsid w:val="00E57605"/>
    <w:rsid w:val="00E57B01"/>
    <w:rsid w:val="00E57B3F"/>
    <w:rsid w:val="00E57BA6"/>
    <w:rsid w:val="00E57E17"/>
    <w:rsid w:val="00E6001F"/>
    <w:rsid w:val="00E6016C"/>
    <w:rsid w:val="00E60225"/>
    <w:rsid w:val="00E6027A"/>
    <w:rsid w:val="00E60492"/>
    <w:rsid w:val="00E6058E"/>
    <w:rsid w:val="00E607FA"/>
    <w:rsid w:val="00E60BCE"/>
    <w:rsid w:val="00E61251"/>
    <w:rsid w:val="00E6143D"/>
    <w:rsid w:val="00E614AB"/>
    <w:rsid w:val="00E61707"/>
    <w:rsid w:val="00E619C0"/>
    <w:rsid w:val="00E61A5D"/>
    <w:rsid w:val="00E61DDC"/>
    <w:rsid w:val="00E61FCB"/>
    <w:rsid w:val="00E62368"/>
    <w:rsid w:val="00E623E4"/>
    <w:rsid w:val="00E62608"/>
    <w:rsid w:val="00E6267E"/>
    <w:rsid w:val="00E62885"/>
    <w:rsid w:val="00E62A61"/>
    <w:rsid w:val="00E62BE7"/>
    <w:rsid w:val="00E6316C"/>
    <w:rsid w:val="00E631F5"/>
    <w:rsid w:val="00E63432"/>
    <w:rsid w:val="00E635E2"/>
    <w:rsid w:val="00E636AA"/>
    <w:rsid w:val="00E639E5"/>
    <w:rsid w:val="00E63A9E"/>
    <w:rsid w:val="00E63B63"/>
    <w:rsid w:val="00E63E3A"/>
    <w:rsid w:val="00E6405F"/>
    <w:rsid w:val="00E641F1"/>
    <w:rsid w:val="00E641F9"/>
    <w:rsid w:val="00E6424F"/>
    <w:rsid w:val="00E64383"/>
    <w:rsid w:val="00E647D6"/>
    <w:rsid w:val="00E649BD"/>
    <w:rsid w:val="00E64AAC"/>
    <w:rsid w:val="00E64B3F"/>
    <w:rsid w:val="00E65241"/>
    <w:rsid w:val="00E6524A"/>
    <w:rsid w:val="00E65876"/>
    <w:rsid w:val="00E65A5F"/>
    <w:rsid w:val="00E65DA3"/>
    <w:rsid w:val="00E65F9B"/>
    <w:rsid w:val="00E65FE8"/>
    <w:rsid w:val="00E6615C"/>
    <w:rsid w:val="00E66165"/>
    <w:rsid w:val="00E66264"/>
    <w:rsid w:val="00E6640A"/>
    <w:rsid w:val="00E66A21"/>
    <w:rsid w:val="00E66A37"/>
    <w:rsid w:val="00E66CAE"/>
    <w:rsid w:val="00E67073"/>
    <w:rsid w:val="00E671E3"/>
    <w:rsid w:val="00E67215"/>
    <w:rsid w:val="00E6724B"/>
    <w:rsid w:val="00E67373"/>
    <w:rsid w:val="00E6739C"/>
    <w:rsid w:val="00E67568"/>
    <w:rsid w:val="00E67912"/>
    <w:rsid w:val="00E67BAB"/>
    <w:rsid w:val="00E67D45"/>
    <w:rsid w:val="00E67FED"/>
    <w:rsid w:val="00E703BA"/>
    <w:rsid w:val="00E70448"/>
    <w:rsid w:val="00E70493"/>
    <w:rsid w:val="00E707E9"/>
    <w:rsid w:val="00E710FB"/>
    <w:rsid w:val="00E71274"/>
    <w:rsid w:val="00E71513"/>
    <w:rsid w:val="00E71651"/>
    <w:rsid w:val="00E7170C"/>
    <w:rsid w:val="00E71774"/>
    <w:rsid w:val="00E71894"/>
    <w:rsid w:val="00E71B5B"/>
    <w:rsid w:val="00E7233B"/>
    <w:rsid w:val="00E7239B"/>
    <w:rsid w:val="00E724D1"/>
    <w:rsid w:val="00E72640"/>
    <w:rsid w:val="00E7270F"/>
    <w:rsid w:val="00E728AB"/>
    <w:rsid w:val="00E72BE5"/>
    <w:rsid w:val="00E72C95"/>
    <w:rsid w:val="00E72E18"/>
    <w:rsid w:val="00E72F19"/>
    <w:rsid w:val="00E734AB"/>
    <w:rsid w:val="00E734C9"/>
    <w:rsid w:val="00E735FF"/>
    <w:rsid w:val="00E7388A"/>
    <w:rsid w:val="00E738C7"/>
    <w:rsid w:val="00E73A73"/>
    <w:rsid w:val="00E73B09"/>
    <w:rsid w:val="00E73F4F"/>
    <w:rsid w:val="00E73F64"/>
    <w:rsid w:val="00E74237"/>
    <w:rsid w:val="00E74353"/>
    <w:rsid w:val="00E7443C"/>
    <w:rsid w:val="00E745A9"/>
    <w:rsid w:val="00E74809"/>
    <w:rsid w:val="00E748D2"/>
    <w:rsid w:val="00E74B8E"/>
    <w:rsid w:val="00E74C44"/>
    <w:rsid w:val="00E74CC4"/>
    <w:rsid w:val="00E74DFA"/>
    <w:rsid w:val="00E74F5E"/>
    <w:rsid w:val="00E74FA6"/>
    <w:rsid w:val="00E7523C"/>
    <w:rsid w:val="00E75402"/>
    <w:rsid w:val="00E75457"/>
    <w:rsid w:val="00E75AAA"/>
    <w:rsid w:val="00E75BD4"/>
    <w:rsid w:val="00E75F0C"/>
    <w:rsid w:val="00E75F46"/>
    <w:rsid w:val="00E75FFD"/>
    <w:rsid w:val="00E760A2"/>
    <w:rsid w:val="00E769BD"/>
    <w:rsid w:val="00E76A05"/>
    <w:rsid w:val="00E76AA4"/>
    <w:rsid w:val="00E76CAA"/>
    <w:rsid w:val="00E76E3D"/>
    <w:rsid w:val="00E76EB4"/>
    <w:rsid w:val="00E76F27"/>
    <w:rsid w:val="00E773E7"/>
    <w:rsid w:val="00E7751B"/>
    <w:rsid w:val="00E77A9F"/>
    <w:rsid w:val="00E802AD"/>
    <w:rsid w:val="00E80892"/>
    <w:rsid w:val="00E80947"/>
    <w:rsid w:val="00E80A5B"/>
    <w:rsid w:val="00E80D31"/>
    <w:rsid w:val="00E80E80"/>
    <w:rsid w:val="00E81014"/>
    <w:rsid w:val="00E811C8"/>
    <w:rsid w:val="00E81A65"/>
    <w:rsid w:val="00E81BB8"/>
    <w:rsid w:val="00E82268"/>
    <w:rsid w:val="00E82279"/>
    <w:rsid w:val="00E8233F"/>
    <w:rsid w:val="00E82A2E"/>
    <w:rsid w:val="00E832D6"/>
    <w:rsid w:val="00E83703"/>
    <w:rsid w:val="00E837DD"/>
    <w:rsid w:val="00E83EE0"/>
    <w:rsid w:val="00E83F57"/>
    <w:rsid w:val="00E8436B"/>
    <w:rsid w:val="00E844F8"/>
    <w:rsid w:val="00E844FE"/>
    <w:rsid w:val="00E845C2"/>
    <w:rsid w:val="00E848EF"/>
    <w:rsid w:val="00E84BA5"/>
    <w:rsid w:val="00E85130"/>
    <w:rsid w:val="00E8527A"/>
    <w:rsid w:val="00E8537F"/>
    <w:rsid w:val="00E8545B"/>
    <w:rsid w:val="00E8572F"/>
    <w:rsid w:val="00E85737"/>
    <w:rsid w:val="00E85776"/>
    <w:rsid w:val="00E85792"/>
    <w:rsid w:val="00E85B64"/>
    <w:rsid w:val="00E85CAD"/>
    <w:rsid w:val="00E85CF1"/>
    <w:rsid w:val="00E85EE0"/>
    <w:rsid w:val="00E85F4D"/>
    <w:rsid w:val="00E8640B"/>
    <w:rsid w:val="00E864F5"/>
    <w:rsid w:val="00E864F6"/>
    <w:rsid w:val="00E866B5"/>
    <w:rsid w:val="00E86B50"/>
    <w:rsid w:val="00E86DBC"/>
    <w:rsid w:val="00E872F7"/>
    <w:rsid w:val="00E873C3"/>
    <w:rsid w:val="00E87425"/>
    <w:rsid w:val="00E875FA"/>
    <w:rsid w:val="00E876B7"/>
    <w:rsid w:val="00E877A0"/>
    <w:rsid w:val="00E879AB"/>
    <w:rsid w:val="00E87B72"/>
    <w:rsid w:val="00E87BAC"/>
    <w:rsid w:val="00E87E92"/>
    <w:rsid w:val="00E8E6C0"/>
    <w:rsid w:val="00E9029D"/>
    <w:rsid w:val="00E902E8"/>
    <w:rsid w:val="00E9048F"/>
    <w:rsid w:val="00E905A4"/>
    <w:rsid w:val="00E9076C"/>
    <w:rsid w:val="00E90C79"/>
    <w:rsid w:val="00E90FE6"/>
    <w:rsid w:val="00E911CA"/>
    <w:rsid w:val="00E91A4D"/>
    <w:rsid w:val="00E91D9F"/>
    <w:rsid w:val="00E91E23"/>
    <w:rsid w:val="00E91E27"/>
    <w:rsid w:val="00E9206F"/>
    <w:rsid w:val="00E923C5"/>
    <w:rsid w:val="00E925B8"/>
    <w:rsid w:val="00E92765"/>
    <w:rsid w:val="00E92822"/>
    <w:rsid w:val="00E92C3F"/>
    <w:rsid w:val="00E92E56"/>
    <w:rsid w:val="00E933E4"/>
    <w:rsid w:val="00E936C1"/>
    <w:rsid w:val="00E938FF"/>
    <w:rsid w:val="00E939C7"/>
    <w:rsid w:val="00E939EF"/>
    <w:rsid w:val="00E93A11"/>
    <w:rsid w:val="00E93A30"/>
    <w:rsid w:val="00E941B9"/>
    <w:rsid w:val="00E9436A"/>
    <w:rsid w:val="00E943FF"/>
    <w:rsid w:val="00E944B0"/>
    <w:rsid w:val="00E94702"/>
    <w:rsid w:val="00E9482A"/>
    <w:rsid w:val="00E951CD"/>
    <w:rsid w:val="00E95443"/>
    <w:rsid w:val="00E95549"/>
    <w:rsid w:val="00E95680"/>
    <w:rsid w:val="00E956C4"/>
    <w:rsid w:val="00E95703"/>
    <w:rsid w:val="00E957ED"/>
    <w:rsid w:val="00E9581D"/>
    <w:rsid w:val="00E95BA2"/>
    <w:rsid w:val="00E95C5A"/>
    <w:rsid w:val="00E95D68"/>
    <w:rsid w:val="00E96482"/>
    <w:rsid w:val="00E96669"/>
    <w:rsid w:val="00E968D5"/>
    <w:rsid w:val="00E96D43"/>
    <w:rsid w:val="00E96D59"/>
    <w:rsid w:val="00E96DB0"/>
    <w:rsid w:val="00E96F05"/>
    <w:rsid w:val="00E97278"/>
    <w:rsid w:val="00E97C92"/>
    <w:rsid w:val="00E97DE1"/>
    <w:rsid w:val="00E97F45"/>
    <w:rsid w:val="00EA03B0"/>
    <w:rsid w:val="00EA0675"/>
    <w:rsid w:val="00EA06DD"/>
    <w:rsid w:val="00EA0719"/>
    <w:rsid w:val="00EA0776"/>
    <w:rsid w:val="00EA0985"/>
    <w:rsid w:val="00EA0A7C"/>
    <w:rsid w:val="00EA0C70"/>
    <w:rsid w:val="00EA0D39"/>
    <w:rsid w:val="00EA0D4D"/>
    <w:rsid w:val="00EA0DCA"/>
    <w:rsid w:val="00EA0E11"/>
    <w:rsid w:val="00EA131E"/>
    <w:rsid w:val="00EA1426"/>
    <w:rsid w:val="00EA1472"/>
    <w:rsid w:val="00EA1DB8"/>
    <w:rsid w:val="00EA1E1B"/>
    <w:rsid w:val="00EA2340"/>
    <w:rsid w:val="00EA240D"/>
    <w:rsid w:val="00EA26A4"/>
    <w:rsid w:val="00EA27BE"/>
    <w:rsid w:val="00EA288D"/>
    <w:rsid w:val="00EA294F"/>
    <w:rsid w:val="00EA2CD6"/>
    <w:rsid w:val="00EA2D32"/>
    <w:rsid w:val="00EA2FE1"/>
    <w:rsid w:val="00EA30C5"/>
    <w:rsid w:val="00EA3256"/>
    <w:rsid w:val="00EA390D"/>
    <w:rsid w:val="00EA3C76"/>
    <w:rsid w:val="00EA3D28"/>
    <w:rsid w:val="00EA403A"/>
    <w:rsid w:val="00EA407E"/>
    <w:rsid w:val="00EA48AA"/>
    <w:rsid w:val="00EA4948"/>
    <w:rsid w:val="00EA4DF4"/>
    <w:rsid w:val="00EA4FE6"/>
    <w:rsid w:val="00EA59B1"/>
    <w:rsid w:val="00EA5D2B"/>
    <w:rsid w:val="00EA5FFD"/>
    <w:rsid w:val="00EA601D"/>
    <w:rsid w:val="00EA6021"/>
    <w:rsid w:val="00EA6231"/>
    <w:rsid w:val="00EA65CC"/>
    <w:rsid w:val="00EA6955"/>
    <w:rsid w:val="00EA69C2"/>
    <w:rsid w:val="00EA6A2D"/>
    <w:rsid w:val="00EA6B35"/>
    <w:rsid w:val="00EA6FD6"/>
    <w:rsid w:val="00EA71D2"/>
    <w:rsid w:val="00EA72DE"/>
    <w:rsid w:val="00EA76AB"/>
    <w:rsid w:val="00EA76EE"/>
    <w:rsid w:val="00EA7A90"/>
    <w:rsid w:val="00EA7C92"/>
    <w:rsid w:val="00EA7D08"/>
    <w:rsid w:val="00EA7E67"/>
    <w:rsid w:val="00EA7EC8"/>
    <w:rsid w:val="00EB00FE"/>
    <w:rsid w:val="00EB02F1"/>
    <w:rsid w:val="00EB0773"/>
    <w:rsid w:val="00EB0BE5"/>
    <w:rsid w:val="00EB1072"/>
    <w:rsid w:val="00EB12B1"/>
    <w:rsid w:val="00EB13C5"/>
    <w:rsid w:val="00EB150C"/>
    <w:rsid w:val="00EB15D5"/>
    <w:rsid w:val="00EB1727"/>
    <w:rsid w:val="00EB1856"/>
    <w:rsid w:val="00EB19BD"/>
    <w:rsid w:val="00EB1B4E"/>
    <w:rsid w:val="00EB1D72"/>
    <w:rsid w:val="00EB1E1E"/>
    <w:rsid w:val="00EB1F72"/>
    <w:rsid w:val="00EB20D8"/>
    <w:rsid w:val="00EB231C"/>
    <w:rsid w:val="00EB282C"/>
    <w:rsid w:val="00EB2D86"/>
    <w:rsid w:val="00EB2E33"/>
    <w:rsid w:val="00EB31F6"/>
    <w:rsid w:val="00EB382D"/>
    <w:rsid w:val="00EB3A19"/>
    <w:rsid w:val="00EB3B53"/>
    <w:rsid w:val="00EB3E40"/>
    <w:rsid w:val="00EB3E50"/>
    <w:rsid w:val="00EB3E60"/>
    <w:rsid w:val="00EB3EAE"/>
    <w:rsid w:val="00EB3F44"/>
    <w:rsid w:val="00EB442F"/>
    <w:rsid w:val="00EB4AAB"/>
    <w:rsid w:val="00EB4B1F"/>
    <w:rsid w:val="00EB4F20"/>
    <w:rsid w:val="00EB51D1"/>
    <w:rsid w:val="00EB54D4"/>
    <w:rsid w:val="00EB5971"/>
    <w:rsid w:val="00EB5E04"/>
    <w:rsid w:val="00EB5F45"/>
    <w:rsid w:val="00EB626C"/>
    <w:rsid w:val="00EB62DA"/>
    <w:rsid w:val="00EB6B58"/>
    <w:rsid w:val="00EB6CB9"/>
    <w:rsid w:val="00EB6DE4"/>
    <w:rsid w:val="00EB6FA2"/>
    <w:rsid w:val="00EB71B7"/>
    <w:rsid w:val="00EB734E"/>
    <w:rsid w:val="00EB74A7"/>
    <w:rsid w:val="00EB7601"/>
    <w:rsid w:val="00EB760D"/>
    <w:rsid w:val="00EB77C0"/>
    <w:rsid w:val="00EB7A00"/>
    <w:rsid w:val="00EB7B76"/>
    <w:rsid w:val="00EB7D0C"/>
    <w:rsid w:val="00EB7D20"/>
    <w:rsid w:val="00EC00A2"/>
    <w:rsid w:val="00EC00E7"/>
    <w:rsid w:val="00EC0453"/>
    <w:rsid w:val="00EC071E"/>
    <w:rsid w:val="00EC0828"/>
    <w:rsid w:val="00EC0FCF"/>
    <w:rsid w:val="00EC1083"/>
    <w:rsid w:val="00EC1333"/>
    <w:rsid w:val="00EC1375"/>
    <w:rsid w:val="00EC13AD"/>
    <w:rsid w:val="00EC1460"/>
    <w:rsid w:val="00EC16FB"/>
    <w:rsid w:val="00EC18CC"/>
    <w:rsid w:val="00EC1987"/>
    <w:rsid w:val="00EC1998"/>
    <w:rsid w:val="00EC19D1"/>
    <w:rsid w:val="00EC2480"/>
    <w:rsid w:val="00EC266F"/>
    <w:rsid w:val="00EC2671"/>
    <w:rsid w:val="00EC2692"/>
    <w:rsid w:val="00EC26EE"/>
    <w:rsid w:val="00EC2AA4"/>
    <w:rsid w:val="00EC2D49"/>
    <w:rsid w:val="00EC30BB"/>
    <w:rsid w:val="00EC3678"/>
    <w:rsid w:val="00EC383D"/>
    <w:rsid w:val="00EC400A"/>
    <w:rsid w:val="00EC463E"/>
    <w:rsid w:val="00EC4AED"/>
    <w:rsid w:val="00EC4D9B"/>
    <w:rsid w:val="00EC5086"/>
    <w:rsid w:val="00EC55BC"/>
    <w:rsid w:val="00EC5E21"/>
    <w:rsid w:val="00EC5F9E"/>
    <w:rsid w:val="00EC637D"/>
    <w:rsid w:val="00EC6398"/>
    <w:rsid w:val="00EC63A2"/>
    <w:rsid w:val="00EC6494"/>
    <w:rsid w:val="00EC68A5"/>
    <w:rsid w:val="00EC6912"/>
    <w:rsid w:val="00EC6A30"/>
    <w:rsid w:val="00EC6D51"/>
    <w:rsid w:val="00EC6D9C"/>
    <w:rsid w:val="00EC6F01"/>
    <w:rsid w:val="00EC728D"/>
    <w:rsid w:val="00EC7524"/>
    <w:rsid w:val="00EC79E6"/>
    <w:rsid w:val="00EC7B68"/>
    <w:rsid w:val="00EC7C67"/>
    <w:rsid w:val="00EC7CB5"/>
    <w:rsid w:val="00EC7F73"/>
    <w:rsid w:val="00EC7FF8"/>
    <w:rsid w:val="00ED0057"/>
    <w:rsid w:val="00ED00FE"/>
    <w:rsid w:val="00ED01F8"/>
    <w:rsid w:val="00ED05BD"/>
    <w:rsid w:val="00ED086C"/>
    <w:rsid w:val="00ED0ECD"/>
    <w:rsid w:val="00ED10FA"/>
    <w:rsid w:val="00ED1890"/>
    <w:rsid w:val="00ED1DB5"/>
    <w:rsid w:val="00ED1E24"/>
    <w:rsid w:val="00ED1E6D"/>
    <w:rsid w:val="00ED215C"/>
    <w:rsid w:val="00ED238C"/>
    <w:rsid w:val="00ED23A1"/>
    <w:rsid w:val="00ED23AE"/>
    <w:rsid w:val="00ED2475"/>
    <w:rsid w:val="00ED26F8"/>
    <w:rsid w:val="00ED27E7"/>
    <w:rsid w:val="00ED288B"/>
    <w:rsid w:val="00ED2994"/>
    <w:rsid w:val="00ED29F6"/>
    <w:rsid w:val="00ED2B39"/>
    <w:rsid w:val="00ED2CCD"/>
    <w:rsid w:val="00ED2F42"/>
    <w:rsid w:val="00ED3049"/>
    <w:rsid w:val="00ED31E0"/>
    <w:rsid w:val="00ED3785"/>
    <w:rsid w:val="00ED37D8"/>
    <w:rsid w:val="00ED37FA"/>
    <w:rsid w:val="00ED39BB"/>
    <w:rsid w:val="00ED3A53"/>
    <w:rsid w:val="00ED3AF7"/>
    <w:rsid w:val="00ED3B8E"/>
    <w:rsid w:val="00ED3DC7"/>
    <w:rsid w:val="00ED4284"/>
    <w:rsid w:val="00ED4539"/>
    <w:rsid w:val="00ED46AD"/>
    <w:rsid w:val="00ED4714"/>
    <w:rsid w:val="00ED48A5"/>
    <w:rsid w:val="00ED4CC8"/>
    <w:rsid w:val="00ED4DBB"/>
    <w:rsid w:val="00ED4DCA"/>
    <w:rsid w:val="00ED5273"/>
    <w:rsid w:val="00ED52FB"/>
    <w:rsid w:val="00ED531A"/>
    <w:rsid w:val="00ED5386"/>
    <w:rsid w:val="00ED5403"/>
    <w:rsid w:val="00ED5A22"/>
    <w:rsid w:val="00ED5A8D"/>
    <w:rsid w:val="00ED5AEF"/>
    <w:rsid w:val="00ED5EA7"/>
    <w:rsid w:val="00ED62A2"/>
    <w:rsid w:val="00ED648F"/>
    <w:rsid w:val="00ED668C"/>
    <w:rsid w:val="00ED6703"/>
    <w:rsid w:val="00ED6799"/>
    <w:rsid w:val="00ED6A5F"/>
    <w:rsid w:val="00ED6AC5"/>
    <w:rsid w:val="00ED6C28"/>
    <w:rsid w:val="00ED7473"/>
    <w:rsid w:val="00ED7567"/>
    <w:rsid w:val="00ED76BD"/>
    <w:rsid w:val="00ED77D0"/>
    <w:rsid w:val="00ED78D8"/>
    <w:rsid w:val="00ED7943"/>
    <w:rsid w:val="00EE051A"/>
    <w:rsid w:val="00EE0825"/>
    <w:rsid w:val="00EE09FA"/>
    <w:rsid w:val="00EE0CAA"/>
    <w:rsid w:val="00EE0E92"/>
    <w:rsid w:val="00EE0EDB"/>
    <w:rsid w:val="00EE1215"/>
    <w:rsid w:val="00EE1856"/>
    <w:rsid w:val="00EE1B9D"/>
    <w:rsid w:val="00EE1BE3"/>
    <w:rsid w:val="00EE1BE4"/>
    <w:rsid w:val="00EE1C12"/>
    <w:rsid w:val="00EE2011"/>
    <w:rsid w:val="00EE2070"/>
    <w:rsid w:val="00EE224C"/>
    <w:rsid w:val="00EE254D"/>
    <w:rsid w:val="00EE2791"/>
    <w:rsid w:val="00EE2A1E"/>
    <w:rsid w:val="00EE2A38"/>
    <w:rsid w:val="00EE2C97"/>
    <w:rsid w:val="00EE3083"/>
    <w:rsid w:val="00EE30C3"/>
    <w:rsid w:val="00EE3286"/>
    <w:rsid w:val="00EE3565"/>
    <w:rsid w:val="00EE36AA"/>
    <w:rsid w:val="00EE3720"/>
    <w:rsid w:val="00EE3725"/>
    <w:rsid w:val="00EE38EE"/>
    <w:rsid w:val="00EE3EC3"/>
    <w:rsid w:val="00EE4038"/>
    <w:rsid w:val="00EE4071"/>
    <w:rsid w:val="00EE44AF"/>
    <w:rsid w:val="00EE4668"/>
    <w:rsid w:val="00EE47F8"/>
    <w:rsid w:val="00EE4A91"/>
    <w:rsid w:val="00EE4E01"/>
    <w:rsid w:val="00EE50B5"/>
    <w:rsid w:val="00EE512A"/>
    <w:rsid w:val="00EE5333"/>
    <w:rsid w:val="00EE5509"/>
    <w:rsid w:val="00EE58E5"/>
    <w:rsid w:val="00EE5EF6"/>
    <w:rsid w:val="00EE5F26"/>
    <w:rsid w:val="00EE5FA6"/>
    <w:rsid w:val="00EE6288"/>
    <w:rsid w:val="00EE66F2"/>
    <w:rsid w:val="00EE698A"/>
    <w:rsid w:val="00EE6A6B"/>
    <w:rsid w:val="00EE6A93"/>
    <w:rsid w:val="00EE6C28"/>
    <w:rsid w:val="00EE6C8B"/>
    <w:rsid w:val="00EE772F"/>
    <w:rsid w:val="00EE79E9"/>
    <w:rsid w:val="00EE7C86"/>
    <w:rsid w:val="00EE7D79"/>
    <w:rsid w:val="00EE7F8F"/>
    <w:rsid w:val="00EF0250"/>
    <w:rsid w:val="00EF0599"/>
    <w:rsid w:val="00EF0733"/>
    <w:rsid w:val="00EF0CCE"/>
    <w:rsid w:val="00EF0E3A"/>
    <w:rsid w:val="00EF0F56"/>
    <w:rsid w:val="00EF112F"/>
    <w:rsid w:val="00EF11E7"/>
    <w:rsid w:val="00EF1360"/>
    <w:rsid w:val="00EF139F"/>
    <w:rsid w:val="00EF13CF"/>
    <w:rsid w:val="00EF13F1"/>
    <w:rsid w:val="00EF19F0"/>
    <w:rsid w:val="00EF1CC8"/>
    <w:rsid w:val="00EF1EB2"/>
    <w:rsid w:val="00EF1EDA"/>
    <w:rsid w:val="00EF1EE7"/>
    <w:rsid w:val="00EF2079"/>
    <w:rsid w:val="00EF2141"/>
    <w:rsid w:val="00EF2403"/>
    <w:rsid w:val="00EF2452"/>
    <w:rsid w:val="00EF2CE0"/>
    <w:rsid w:val="00EF2EAF"/>
    <w:rsid w:val="00EF310A"/>
    <w:rsid w:val="00EF31A3"/>
    <w:rsid w:val="00EF32BB"/>
    <w:rsid w:val="00EF36A3"/>
    <w:rsid w:val="00EF374A"/>
    <w:rsid w:val="00EF38F8"/>
    <w:rsid w:val="00EF395A"/>
    <w:rsid w:val="00EF3A27"/>
    <w:rsid w:val="00EF3B6F"/>
    <w:rsid w:val="00EF3C4E"/>
    <w:rsid w:val="00EF3D8D"/>
    <w:rsid w:val="00EF3F1A"/>
    <w:rsid w:val="00EF4252"/>
    <w:rsid w:val="00EF491A"/>
    <w:rsid w:val="00EF4932"/>
    <w:rsid w:val="00EF49C0"/>
    <w:rsid w:val="00EF4FD6"/>
    <w:rsid w:val="00EF52AF"/>
    <w:rsid w:val="00EF54F1"/>
    <w:rsid w:val="00EF59BB"/>
    <w:rsid w:val="00EF5B9F"/>
    <w:rsid w:val="00EF5FB9"/>
    <w:rsid w:val="00EF61AF"/>
    <w:rsid w:val="00EF6C26"/>
    <w:rsid w:val="00EF6C2F"/>
    <w:rsid w:val="00EF6FEC"/>
    <w:rsid w:val="00EF7104"/>
    <w:rsid w:val="00EF7755"/>
    <w:rsid w:val="00F002BB"/>
    <w:rsid w:val="00F00685"/>
    <w:rsid w:val="00F00EA8"/>
    <w:rsid w:val="00F01317"/>
    <w:rsid w:val="00F01322"/>
    <w:rsid w:val="00F014A1"/>
    <w:rsid w:val="00F0177A"/>
    <w:rsid w:val="00F01C3D"/>
    <w:rsid w:val="00F01EA9"/>
    <w:rsid w:val="00F02222"/>
    <w:rsid w:val="00F025B5"/>
    <w:rsid w:val="00F02A7F"/>
    <w:rsid w:val="00F02AA3"/>
    <w:rsid w:val="00F02B09"/>
    <w:rsid w:val="00F02B26"/>
    <w:rsid w:val="00F02CEF"/>
    <w:rsid w:val="00F03280"/>
    <w:rsid w:val="00F03613"/>
    <w:rsid w:val="00F036A1"/>
    <w:rsid w:val="00F037CC"/>
    <w:rsid w:val="00F03974"/>
    <w:rsid w:val="00F03AAB"/>
    <w:rsid w:val="00F03B21"/>
    <w:rsid w:val="00F042B7"/>
    <w:rsid w:val="00F04704"/>
    <w:rsid w:val="00F047A6"/>
    <w:rsid w:val="00F04A25"/>
    <w:rsid w:val="00F04A69"/>
    <w:rsid w:val="00F04FEC"/>
    <w:rsid w:val="00F0533F"/>
    <w:rsid w:val="00F0583D"/>
    <w:rsid w:val="00F0590C"/>
    <w:rsid w:val="00F059A7"/>
    <w:rsid w:val="00F06002"/>
    <w:rsid w:val="00F06092"/>
    <w:rsid w:val="00F060BB"/>
    <w:rsid w:val="00F060C3"/>
    <w:rsid w:val="00F0634F"/>
    <w:rsid w:val="00F065A3"/>
    <w:rsid w:val="00F067AD"/>
    <w:rsid w:val="00F067AF"/>
    <w:rsid w:val="00F06819"/>
    <w:rsid w:val="00F06890"/>
    <w:rsid w:val="00F068A9"/>
    <w:rsid w:val="00F06A2C"/>
    <w:rsid w:val="00F07134"/>
    <w:rsid w:val="00F073EA"/>
    <w:rsid w:val="00F07612"/>
    <w:rsid w:val="00F0766F"/>
    <w:rsid w:val="00F07C18"/>
    <w:rsid w:val="00F07D52"/>
    <w:rsid w:val="00F1014C"/>
    <w:rsid w:val="00F1050E"/>
    <w:rsid w:val="00F10656"/>
    <w:rsid w:val="00F106DA"/>
    <w:rsid w:val="00F107EA"/>
    <w:rsid w:val="00F10836"/>
    <w:rsid w:val="00F10937"/>
    <w:rsid w:val="00F109C2"/>
    <w:rsid w:val="00F10B25"/>
    <w:rsid w:val="00F10CDB"/>
    <w:rsid w:val="00F10D92"/>
    <w:rsid w:val="00F10DB4"/>
    <w:rsid w:val="00F11358"/>
    <w:rsid w:val="00F11ABB"/>
    <w:rsid w:val="00F11B5F"/>
    <w:rsid w:val="00F11C23"/>
    <w:rsid w:val="00F11CBB"/>
    <w:rsid w:val="00F11FF7"/>
    <w:rsid w:val="00F123C5"/>
    <w:rsid w:val="00F1242C"/>
    <w:rsid w:val="00F12467"/>
    <w:rsid w:val="00F1265C"/>
    <w:rsid w:val="00F127C7"/>
    <w:rsid w:val="00F12ECB"/>
    <w:rsid w:val="00F130A4"/>
    <w:rsid w:val="00F133BA"/>
    <w:rsid w:val="00F134F0"/>
    <w:rsid w:val="00F1358A"/>
    <w:rsid w:val="00F137BB"/>
    <w:rsid w:val="00F1388D"/>
    <w:rsid w:val="00F13DFC"/>
    <w:rsid w:val="00F144CC"/>
    <w:rsid w:val="00F147FA"/>
    <w:rsid w:val="00F149D4"/>
    <w:rsid w:val="00F152B3"/>
    <w:rsid w:val="00F15300"/>
    <w:rsid w:val="00F15503"/>
    <w:rsid w:val="00F156ED"/>
    <w:rsid w:val="00F15863"/>
    <w:rsid w:val="00F159E2"/>
    <w:rsid w:val="00F15C07"/>
    <w:rsid w:val="00F15D4A"/>
    <w:rsid w:val="00F15EBE"/>
    <w:rsid w:val="00F15F96"/>
    <w:rsid w:val="00F1602D"/>
    <w:rsid w:val="00F16057"/>
    <w:rsid w:val="00F16384"/>
    <w:rsid w:val="00F1639B"/>
    <w:rsid w:val="00F1657C"/>
    <w:rsid w:val="00F16669"/>
    <w:rsid w:val="00F166F6"/>
    <w:rsid w:val="00F1684E"/>
    <w:rsid w:val="00F16898"/>
    <w:rsid w:val="00F168D3"/>
    <w:rsid w:val="00F169D2"/>
    <w:rsid w:val="00F16F27"/>
    <w:rsid w:val="00F1740A"/>
    <w:rsid w:val="00F1774A"/>
    <w:rsid w:val="00F17756"/>
    <w:rsid w:val="00F177AF"/>
    <w:rsid w:val="00F17831"/>
    <w:rsid w:val="00F179E8"/>
    <w:rsid w:val="00F17D3F"/>
    <w:rsid w:val="00F17F0B"/>
    <w:rsid w:val="00F20378"/>
    <w:rsid w:val="00F20436"/>
    <w:rsid w:val="00F2049D"/>
    <w:rsid w:val="00F204B8"/>
    <w:rsid w:val="00F21022"/>
    <w:rsid w:val="00F213B2"/>
    <w:rsid w:val="00F21851"/>
    <w:rsid w:val="00F2185A"/>
    <w:rsid w:val="00F220DC"/>
    <w:rsid w:val="00F22635"/>
    <w:rsid w:val="00F2276C"/>
    <w:rsid w:val="00F2284E"/>
    <w:rsid w:val="00F228FB"/>
    <w:rsid w:val="00F22BE7"/>
    <w:rsid w:val="00F22C46"/>
    <w:rsid w:val="00F22C9B"/>
    <w:rsid w:val="00F22CC3"/>
    <w:rsid w:val="00F22EB0"/>
    <w:rsid w:val="00F2337E"/>
    <w:rsid w:val="00F23523"/>
    <w:rsid w:val="00F236B1"/>
    <w:rsid w:val="00F238DE"/>
    <w:rsid w:val="00F23D83"/>
    <w:rsid w:val="00F23E98"/>
    <w:rsid w:val="00F2463A"/>
    <w:rsid w:val="00F246C1"/>
    <w:rsid w:val="00F2478D"/>
    <w:rsid w:val="00F248F8"/>
    <w:rsid w:val="00F250D6"/>
    <w:rsid w:val="00F25137"/>
    <w:rsid w:val="00F2539C"/>
    <w:rsid w:val="00F255A7"/>
    <w:rsid w:val="00F255F3"/>
    <w:rsid w:val="00F256C1"/>
    <w:rsid w:val="00F256CF"/>
    <w:rsid w:val="00F25F3C"/>
    <w:rsid w:val="00F26584"/>
    <w:rsid w:val="00F265D1"/>
    <w:rsid w:val="00F26FC8"/>
    <w:rsid w:val="00F27136"/>
    <w:rsid w:val="00F271E2"/>
    <w:rsid w:val="00F273FF"/>
    <w:rsid w:val="00F2754E"/>
    <w:rsid w:val="00F275C0"/>
    <w:rsid w:val="00F27B38"/>
    <w:rsid w:val="00F27BAB"/>
    <w:rsid w:val="00F27C7E"/>
    <w:rsid w:val="00F27D94"/>
    <w:rsid w:val="00F27E1B"/>
    <w:rsid w:val="00F27F3E"/>
    <w:rsid w:val="00F300B1"/>
    <w:rsid w:val="00F302CF"/>
    <w:rsid w:val="00F3033D"/>
    <w:rsid w:val="00F30450"/>
    <w:rsid w:val="00F3075D"/>
    <w:rsid w:val="00F30853"/>
    <w:rsid w:val="00F30891"/>
    <w:rsid w:val="00F30901"/>
    <w:rsid w:val="00F30CB8"/>
    <w:rsid w:val="00F30FD0"/>
    <w:rsid w:val="00F310D6"/>
    <w:rsid w:val="00F310F9"/>
    <w:rsid w:val="00F31E4B"/>
    <w:rsid w:val="00F32124"/>
    <w:rsid w:val="00F321B5"/>
    <w:rsid w:val="00F32721"/>
    <w:rsid w:val="00F32747"/>
    <w:rsid w:val="00F32B4D"/>
    <w:rsid w:val="00F32E51"/>
    <w:rsid w:val="00F330D8"/>
    <w:rsid w:val="00F3323C"/>
    <w:rsid w:val="00F3331E"/>
    <w:rsid w:val="00F33CBD"/>
    <w:rsid w:val="00F33CE4"/>
    <w:rsid w:val="00F33F86"/>
    <w:rsid w:val="00F34111"/>
    <w:rsid w:val="00F3437F"/>
    <w:rsid w:val="00F3450F"/>
    <w:rsid w:val="00F34556"/>
    <w:rsid w:val="00F34D3A"/>
    <w:rsid w:val="00F35040"/>
    <w:rsid w:val="00F3516A"/>
    <w:rsid w:val="00F35398"/>
    <w:rsid w:val="00F35932"/>
    <w:rsid w:val="00F35DBC"/>
    <w:rsid w:val="00F35DEE"/>
    <w:rsid w:val="00F36024"/>
    <w:rsid w:val="00F36086"/>
    <w:rsid w:val="00F363E6"/>
    <w:rsid w:val="00F36C11"/>
    <w:rsid w:val="00F36C1E"/>
    <w:rsid w:val="00F36E5C"/>
    <w:rsid w:val="00F370EF"/>
    <w:rsid w:val="00F373C1"/>
    <w:rsid w:val="00F3764A"/>
    <w:rsid w:val="00F37745"/>
    <w:rsid w:val="00F37889"/>
    <w:rsid w:val="00F37F5F"/>
    <w:rsid w:val="00F37FB5"/>
    <w:rsid w:val="00F40497"/>
    <w:rsid w:val="00F40686"/>
    <w:rsid w:val="00F409FB"/>
    <w:rsid w:val="00F40AD3"/>
    <w:rsid w:val="00F40B33"/>
    <w:rsid w:val="00F40F87"/>
    <w:rsid w:val="00F41055"/>
    <w:rsid w:val="00F41753"/>
    <w:rsid w:val="00F418FD"/>
    <w:rsid w:val="00F41AAF"/>
    <w:rsid w:val="00F41E5C"/>
    <w:rsid w:val="00F41FD6"/>
    <w:rsid w:val="00F42147"/>
    <w:rsid w:val="00F42800"/>
    <w:rsid w:val="00F428A0"/>
    <w:rsid w:val="00F42980"/>
    <w:rsid w:val="00F42C5D"/>
    <w:rsid w:val="00F42D5F"/>
    <w:rsid w:val="00F42D91"/>
    <w:rsid w:val="00F42DF2"/>
    <w:rsid w:val="00F4317B"/>
    <w:rsid w:val="00F4326C"/>
    <w:rsid w:val="00F436ED"/>
    <w:rsid w:val="00F43BFA"/>
    <w:rsid w:val="00F44A3D"/>
    <w:rsid w:val="00F44A47"/>
    <w:rsid w:val="00F44D12"/>
    <w:rsid w:val="00F44DC0"/>
    <w:rsid w:val="00F44E95"/>
    <w:rsid w:val="00F457F0"/>
    <w:rsid w:val="00F45C97"/>
    <w:rsid w:val="00F46079"/>
    <w:rsid w:val="00F460D6"/>
    <w:rsid w:val="00F466BD"/>
    <w:rsid w:val="00F466D7"/>
    <w:rsid w:val="00F46A7D"/>
    <w:rsid w:val="00F46B6F"/>
    <w:rsid w:val="00F46CD0"/>
    <w:rsid w:val="00F46D55"/>
    <w:rsid w:val="00F471A4"/>
    <w:rsid w:val="00F475A4"/>
    <w:rsid w:val="00F47961"/>
    <w:rsid w:val="00F47A30"/>
    <w:rsid w:val="00F47B5C"/>
    <w:rsid w:val="00F47B77"/>
    <w:rsid w:val="00F47BA2"/>
    <w:rsid w:val="00F47BC8"/>
    <w:rsid w:val="00F47DA7"/>
    <w:rsid w:val="00F47E6F"/>
    <w:rsid w:val="00F47FF8"/>
    <w:rsid w:val="00F50129"/>
    <w:rsid w:val="00F5114C"/>
    <w:rsid w:val="00F51709"/>
    <w:rsid w:val="00F517A6"/>
    <w:rsid w:val="00F51896"/>
    <w:rsid w:val="00F51A36"/>
    <w:rsid w:val="00F51CDE"/>
    <w:rsid w:val="00F51D23"/>
    <w:rsid w:val="00F51E8C"/>
    <w:rsid w:val="00F5226E"/>
    <w:rsid w:val="00F528D2"/>
    <w:rsid w:val="00F528E3"/>
    <w:rsid w:val="00F531C5"/>
    <w:rsid w:val="00F537CF"/>
    <w:rsid w:val="00F53D57"/>
    <w:rsid w:val="00F54014"/>
    <w:rsid w:val="00F547F7"/>
    <w:rsid w:val="00F5493F"/>
    <w:rsid w:val="00F5509E"/>
    <w:rsid w:val="00F55565"/>
    <w:rsid w:val="00F557B2"/>
    <w:rsid w:val="00F558E0"/>
    <w:rsid w:val="00F55B56"/>
    <w:rsid w:val="00F55E3F"/>
    <w:rsid w:val="00F55EC9"/>
    <w:rsid w:val="00F560C1"/>
    <w:rsid w:val="00F56258"/>
    <w:rsid w:val="00F5679C"/>
    <w:rsid w:val="00F567FD"/>
    <w:rsid w:val="00F5693D"/>
    <w:rsid w:val="00F56D78"/>
    <w:rsid w:val="00F5715D"/>
    <w:rsid w:val="00F57428"/>
    <w:rsid w:val="00F578B3"/>
    <w:rsid w:val="00F57C9E"/>
    <w:rsid w:val="00F57ED5"/>
    <w:rsid w:val="00F6023F"/>
    <w:rsid w:val="00F60337"/>
    <w:rsid w:val="00F6039D"/>
    <w:rsid w:val="00F60887"/>
    <w:rsid w:val="00F60B49"/>
    <w:rsid w:val="00F60ED6"/>
    <w:rsid w:val="00F60F2C"/>
    <w:rsid w:val="00F60F3D"/>
    <w:rsid w:val="00F61383"/>
    <w:rsid w:val="00F6169D"/>
    <w:rsid w:val="00F6169E"/>
    <w:rsid w:val="00F619FD"/>
    <w:rsid w:val="00F6204C"/>
    <w:rsid w:val="00F62092"/>
    <w:rsid w:val="00F629FD"/>
    <w:rsid w:val="00F62FEE"/>
    <w:rsid w:val="00F63031"/>
    <w:rsid w:val="00F632BC"/>
    <w:rsid w:val="00F634D4"/>
    <w:rsid w:val="00F63A2C"/>
    <w:rsid w:val="00F63B17"/>
    <w:rsid w:val="00F63E79"/>
    <w:rsid w:val="00F63F54"/>
    <w:rsid w:val="00F6409B"/>
    <w:rsid w:val="00F641A9"/>
    <w:rsid w:val="00F644BC"/>
    <w:rsid w:val="00F64789"/>
    <w:rsid w:val="00F64CC0"/>
    <w:rsid w:val="00F651E9"/>
    <w:rsid w:val="00F65318"/>
    <w:rsid w:val="00F653D3"/>
    <w:rsid w:val="00F65607"/>
    <w:rsid w:val="00F659A2"/>
    <w:rsid w:val="00F65A5B"/>
    <w:rsid w:val="00F65BF1"/>
    <w:rsid w:val="00F65CA2"/>
    <w:rsid w:val="00F65FF6"/>
    <w:rsid w:val="00F6618A"/>
    <w:rsid w:val="00F661A2"/>
    <w:rsid w:val="00F66A61"/>
    <w:rsid w:val="00F67105"/>
    <w:rsid w:val="00F672D3"/>
    <w:rsid w:val="00F673D3"/>
    <w:rsid w:val="00F675D4"/>
    <w:rsid w:val="00F6787B"/>
    <w:rsid w:val="00F6787E"/>
    <w:rsid w:val="00F67991"/>
    <w:rsid w:val="00F679BF"/>
    <w:rsid w:val="00F67FE1"/>
    <w:rsid w:val="00F7007E"/>
    <w:rsid w:val="00F70232"/>
    <w:rsid w:val="00F703CB"/>
    <w:rsid w:val="00F70478"/>
    <w:rsid w:val="00F704CB"/>
    <w:rsid w:val="00F708D0"/>
    <w:rsid w:val="00F70A6A"/>
    <w:rsid w:val="00F70B6F"/>
    <w:rsid w:val="00F70BAE"/>
    <w:rsid w:val="00F70C87"/>
    <w:rsid w:val="00F70D10"/>
    <w:rsid w:val="00F71117"/>
    <w:rsid w:val="00F71597"/>
    <w:rsid w:val="00F716C6"/>
    <w:rsid w:val="00F716E2"/>
    <w:rsid w:val="00F71B2F"/>
    <w:rsid w:val="00F71CDE"/>
    <w:rsid w:val="00F71DEB"/>
    <w:rsid w:val="00F72098"/>
    <w:rsid w:val="00F7211C"/>
    <w:rsid w:val="00F7237D"/>
    <w:rsid w:val="00F729A4"/>
    <w:rsid w:val="00F72AEF"/>
    <w:rsid w:val="00F72D30"/>
    <w:rsid w:val="00F72DE8"/>
    <w:rsid w:val="00F72FF7"/>
    <w:rsid w:val="00F73031"/>
    <w:rsid w:val="00F732B6"/>
    <w:rsid w:val="00F7378B"/>
    <w:rsid w:val="00F73A25"/>
    <w:rsid w:val="00F73B8E"/>
    <w:rsid w:val="00F74630"/>
    <w:rsid w:val="00F747DC"/>
    <w:rsid w:val="00F7485B"/>
    <w:rsid w:val="00F74985"/>
    <w:rsid w:val="00F74B5E"/>
    <w:rsid w:val="00F74D15"/>
    <w:rsid w:val="00F7509F"/>
    <w:rsid w:val="00F7516F"/>
    <w:rsid w:val="00F75620"/>
    <w:rsid w:val="00F75782"/>
    <w:rsid w:val="00F75A7F"/>
    <w:rsid w:val="00F75B3D"/>
    <w:rsid w:val="00F75CA0"/>
    <w:rsid w:val="00F764E3"/>
    <w:rsid w:val="00F76712"/>
    <w:rsid w:val="00F76901"/>
    <w:rsid w:val="00F76A7F"/>
    <w:rsid w:val="00F771CF"/>
    <w:rsid w:val="00F77B8D"/>
    <w:rsid w:val="00F77CBC"/>
    <w:rsid w:val="00F77EF6"/>
    <w:rsid w:val="00F77FAE"/>
    <w:rsid w:val="00F8061D"/>
    <w:rsid w:val="00F806E4"/>
    <w:rsid w:val="00F80985"/>
    <w:rsid w:val="00F8099D"/>
    <w:rsid w:val="00F80D68"/>
    <w:rsid w:val="00F81205"/>
    <w:rsid w:val="00F812D8"/>
    <w:rsid w:val="00F815A2"/>
    <w:rsid w:val="00F815D7"/>
    <w:rsid w:val="00F8167C"/>
    <w:rsid w:val="00F817AF"/>
    <w:rsid w:val="00F81849"/>
    <w:rsid w:val="00F8193A"/>
    <w:rsid w:val="00F81A83"/>
    <w:rsid w:val="00F81AEC"/>
    <w:rsid w:val="00F81BC6"/>
    <w:rsid w:val="00F81CF3"/>
    <w:rsid w:val="00F81DDB"/>
    <w:rsid w:val="00F81EAF"/>
    <w:rsid w:val="00F822F2"/>
    <w:rsid w:val="00F8237E"/>
    <w:rsid w:val="00F82D1B"/>
    <w:rsid w:val="00F82EF5"/>
    <w:rsid w:val="00F8316A"/>
    <w:rsid w:val="00F83382"/>
    <w:rsid w:val="00F835FE"/>
    <w:rsid w:val="00F83841"/>
    <w:rsid w:val="00F83A66"/>
    <w:rsid w:val="00F83AE1"/>
    <w:rsid w:val="00F83B14"/>
    <w:rsid w:val="00F83C83"/>
    <w:rsid w:val="00F83CEA"/>
    <w:rsid w:val="00F83D2E"/>
    <w:rsid w:val="00F83F60"/>
    <w:rsid w:val="00F84093"/>
    <w:rsid w:val="00F8409A"/>
    <w:rsid w:val="00F841D1"/>
    <w:rsid w:val="00F84344"/>
    <w:rsid w:val="00F84411"/>
    <w:rsid w:val="00F84420"/>
    <w:rsid w:val="00F84457"/>
    <w:rsid w:val="00F844E8"/>
    <w:rsid w:val="00F846AD"/>
    <w:rsid w:val="00F84B44"/>
    <w:rsid w:val="00F84BA4"/>
    <w:rsid w:val="00F851A6"/>
    <w:rsid w:val="00F85300"/>
    <w:rsid w:val="00F85C2A"/>
    <w:rsid w:val="00F85D80"/>
    <w:rsid w:val="00F85EBA"/>
    <w:rsid w:val="00F8622F"/>
    <w:rsid w:val="00F8636E"/>
    <w:rsid w:val="00F867C2"/>
    <w:rsid w:val="00F86832"/>
    <w:rsid w:val="00F86951"/>
    <w:rsid w:val="00F87305"/>
    <w:rsid w:val="00F875F2"/>
    <w:rsid w:val="00F87670"/>
    <w:rsid w:val="00F876A1"/>
    <w:rsid w:val="00F87C94"/>
    <w:rsid w:val="00F90174"/>
    <w:rsid w:val="00F901FF"/>
    <w:rsid w:val="00F90519"/>
    <w:rsid w:val="00F908FB"/>
    <w:rsid w:val="00F90B33"/>
    <w:rsid w:val="00F90CB3"/>
    <w:rsid w:val="00F90F3E"/>
    <w:rsid w:val="00F9163E"/>
    <w:rsid w:val="00F91686"/>
    <w:rsid w:val="00F91722"/>
    <w:rsid w:val="00F91D8D"/>
    <w:rsid w:val="00F91D95"/>
    <w:rsid w:val="00F921CD"/>
    <w:rsid w:val="00F92224"/>
    <w:rsid w:val="00F92285"/>
    <w:rsid w:val="00F923C9"/>
    <w:rsid w:val="00F92434"/>
    <w:rsid w:val="00F926BA"/>
    <w:rsid w:val="00F92DB1"/>
    <w:rsid w:val="00F92E30"/>
    <w:rsid w:val="00F93157"/>
    <w:rsid w:val="00F93844"/>
    <w:rsid w:val="00F93849"/>
    <w:rsid w:val="00F938DE"/>
    <w:rsid w:val="00F93906"/>
    <w:rsid w:val="00F93921"/>
    <w:rsid w:val="00F93A89"/>
    <w:rsid w:val="00F93F44"/>
    <w:rsid w:val="00F94027"/>
    <w:rsid w:val="00F9407C"/>
    <w:rsid w:val="00F94096"/>
    <w:rsid w:val="00F941B1"/>
    <w:rsid w:val="00F941E3"/>
    <w:rsid w:val="00F946BD"/>
    <w:rsid w:val="00F947CE"/>
    <w:rsid w:val="00F94BAD"/>
    <w:rsid w:val="00F94D59"/>
    <w:rsid w:val="00F94D95"/>
    <w:rsid w:val="00F95568"/>
    <w:rsid w:val="00F957A8"/>
    <w:rsid w:val="00F95B79"/>
    <w:rsid w:val="00F95B91"/>
    <w:rsid w:val="00F95C47"/>
    <w:rsid w:val="00F96290"/>
    <w:rsid w:val="00F9638D"/>
    <w:rsid w:val="00F9644B"/>
    <w:rsid w:val="00F964D3"/>
    <w:rsid w:val="00F964ED"/>
    <w:rsid w:val="00F967B7"/>
    <w:rsid w:val="00F968D5"/>
    <w:rsid w:val="00F96B1A"/>
    <w:rsid w:val="00F96B6E"/>
    <w:rsid w:val="00F96FAE"/>
    <w:rsid w:val="00F9700E"/>
    <w:rsid w:val="00F970A9"/>
    <w:rsid w:val="00F971BD"/>
    <w:rsid w:val="00F972E0"/>
    <w:rsid w:val="00F97544"/>
    <w:rsid w:val="00F9767A"/>
    <w:rsid w:val="00F97CE4"/>
    <w:rsid w:val="00F97E0A"/>
    <w:rsid w:val="00FA0275"/>
    <w:rsid w:val="00FA04E7"/>
    <w:rsid w:val="00FA064C"/>
    <w:rsid w:val="00FA0668"/>
    <w:rsid w:val="00FA0792"/>
    <w:rsid w:val="00FA07C8"/>
    <w:rsid w:val="00FA104D"/>
    <w:rsid w:val="00FA1247"/>
    <w:rsid w:val="00FA1360"/>
    <w:rsid w:val="00FA1373"/>
    <w:rsid w:val="00FA1520"/>
    <w:rsid w:val="00FA153E"/>
    <w:rsid w:val="00FA1584"/>
    <w:rsid w:val="00FA17B3"/>
    <w:rsid w:val="00FA19B3"/>
    <w:rsid w:val="00FA1B6E"/>
    <w:rsid w:val="00FA1E7C"/>
    <w:rsid w:val="00FA2041"/>
    <w:rsid w:val="00FA2384"/>
    <w:rsid w:val="00FA3152"/>
    <w:rsid w:val="00FA3180"/>
    <w:rsid w:val="00FA34D4"/>
    <w:rsid w:val="00FA352D"/>
    <w:rsid w:val="00FA36AE"/>
    <w:rsid w:val="00FA36ED"/>
    <w:rsid w:val="00FA3AA9"/>
    <w:rsid w:val="00FA3C55"/>
    <w:rsid w:val="00FA3DA8"/>
    <w:rsid w:val="00FA3E94"/>
    <w:rsid w:val="00FA3EC9"/>
    <w:rsid w:val="00FA41A8"/>
    <w:rsid w:val="00FA4295"/>
    <w:rsid w:val="00FA4422"/>
    <w:rsid w:val="00FA4551"/>
    <w:rsid w:val="00FA4687"/>
    <w:rsid w:val="00FA4695"/>
    <w:rsid w:val="00FA46A7"/>
    <w:rsid w:val="00FA475F"/>
    <w:rsid w:val="00FA487C"/>
    <w:rsid w:val="00FA4900"/>
    <w:rsid w:val="00FA4EB7"/>
    <w:rsid w:val="00FA4F7C"/>
    <w:rsid w:val="00FA5024"/>
    <w:rsid w:val="00FA5133"/>
    <w:rsid w:val="00FA5493"/>
    <w:rsid w:val="00FA54D7"/>
    <w:rsid w:val="00FA54E5"/>
    <w:rsid w:val="00FA56F5"/>
    <w:rsid w:val="00FA5865"/>
    <w:rsid w:val="00FA5BB3"/>
    <w:rsid w:val="00FA5FC3"/>
    <w:rsid w:val="00FA6140"/>
    <w:rsid w:val="00FA61A8"/>
    <w:rsid w:val="00FA61C7"/>
    <w:rsid w:val="00FA62E5"/>
    <w:rsid w:val="00FA64C0"/>
    <w:rsid w:val="00FA6ABE"/>
    <w:rsid w:val="00FA6B9C"/>
    <w:rsid w:val="00FA6E02"/>
    <w:rsid w:val="00FA6F58"/>
    <w:rsid w:val="00FA7123"/>
    <w:rsid w:val="00FA733A"/>
    <w:rsid w:val="00FA765C"/>
    <w:rsid w:val="00FA7B6A"/>
    <w:rsid w:val="00FA7FAF"/>
    <w:rsid w:val="00FB00DA"/>
    <w:rsid w:val="00FB02A9"/>
    <w:rsid w:val="00FB0856"/>
    <w:rsid w:val="00FB0AB8"/>
    <w:rsid w:val="00FB0AE3"/>
    <w:rsid w:val="00FB0F8B"/>
    <w:rsid w:val="00FB1054"/>
    <w:rsid w:val="00FB12D9"/>
    <w:rsid w:val="00FB14D1"/>
    <w:rsid w:val="00FB158A"/>
    <w:rsid w:val="00FB15A3"/>
    <w:rsid w:val="00FB1650"/>
    <w:rsid w:val="00FB1C04"/>
    <w:rsid w:val="00FB2115"/>
    <w:rsid w:val="00FB228A"/>
    <w:rsid w:val="00FB271B"/>
    <w:rsid w:val="00FB2891"/>
    <w:rsid w:val="00FB29DC"/>
    <w:rsid w:val="00FB2A7B"/>
    <w:rsid w:val="00FB305D"/>
    <w:rsid w:val="00FB3203"/>
    <w:rsid w:val="00FB3325"/>
    <w:rsid w:val="00FB35FA"/>
    <w:rsid w:val="00FB367A"/>
    <w:rsid w:val="00FB3735"/>
    <w:rsid w:val="00FB383A"/>
    <w:rsid w:val="00FB38AB"/>
    <w:rsid w:val="00FB3F69"/>
    <w:rsid w:val="00FB4223"/>
    <w:rsid w:val="00FB42F4"/>
    <w:rsid w:val="00FB4486"/>
    <w:rsid w:val="00FB4EDB"/>
    <w:rsid w:val="00FB4FE7"/>
    <w:rsid w:val="00FB5024"/>
    <w:rsid w:val="00FB591F"/>
    <w:rsid w:val="00FB5983"/>
    <w:rsid w:val="00FB5A99"/>
    <w:rsid w:val="00FB5CDC"/>
    <w:rsid w:val="00FB5EC0"/>
    <w:rsid w:val="00FB654F"/>
    <w:rsid w:val="00FB660A"/>
    <w:rsid w:val="00FB697A"/>
    <w:rsid w:val="00FB6CAF"/>
    <w:rsid w:val="00FB6D9A"/>
    <w:rsid w:val="00FB7083"/>
    <w:rsid w:val="00FB74D9"/>
    <w:rsid w:val="00FB7560"/>
    <w:rsid w:val="00FB764E"/>
    <w:rsid w:val="00FB77D8"/>
    <w:rsid w:val="00FB7809"/>
    <w:rsid w:val="00FB7D5D"/>
    <w:rsid w:val="00FB7E13"/>
    <w:rsid w:val="00FC021C"/>
    <w:rsid w:val="00FC039E"/>
    <w:rsid w:val="00FC04AE"/>
    <w:rsid w:val="00FC0D3C"/>
    <w:rsid w:val="00FC0E2E"/>
    <w:rsid w:val="00FC112B"/>
    <w:rsid w:val="00FC13DC"/>
    <w:rsid w:val="00FC15DE"/>
    <w:rsid w:val="00FC1A8D"/>
    <w:rsid w:val="00FC1CE0"/>
    <w:rsid w:val="00FC1EC9"/>
    <w:rsid w:val="00FC222F"/>
    <w:rsid w:val="00FC27B3"/>
    <w:rsid w:val="00FC288C"/>
    <w:rsid w:val="00FC2A77"/>
    <w:rsid w:val="00FC2DD7"/>
    <w:rsid w:val="00FC32DE"/>
    <w:rsid w:val="00FC36A8"/>
    <w:rsid w:val="00FC3986"/>
    <w:rsid w:val="00FC3C48"/>
    <w:rsid w:val="00FC3C65"/>
    <w:rsid w:val="00FC3D89"/>
    <w:rsid w:val="00FC424C"/>
    <w:rsid w:val="00FC454D"/>
    <w:rsid w:val="00FC45FB"/>
    <w:rsid w:val="00FC4688"/>
    <w:rsid w:val="00FC4695"/>
    <w:rsid w:val="00FC4B43"/>
    <w:rsid w:val="00FC4B55"/>
    <w:rsid w:val="00FC4C14"/>
    <w:rsid w:val="00FC4C17"/>
    <w:rsid w:val="00FC4C36"/>
    <w:rsid w:val="00FC4DCD"/>
    <w:rsid w:val="00FC4EA6"/>
    <w:rsid w:val="00FC538C"/>
    <w:rsid w:val="00FC57DF"/>
    <w:rsid w:val="00FC5963"/>
    <w:rsid w:val="00FC5A0B"/>
    <w:rsid w:val="00FC5A3C"/>
    <w:rsid w:val="00FC5A75"/>
    <w:rsid w:val="00FC61E1"/>
    <w:rsid w:val="00FC6243"/>
    <w:rsid w:val="00FC6255"/>
    <w:rsid w:val="00FC68A5"/>
    <w:rsid w:val="00FC69A8"/>
    <w:rsid w:val="00FC6B4C"/>
    <w:rsid w:val="00FC73F2"/>
    <w:rsid w:val="00FC74B2"/>
    <w:rsid w:val="00FC7791"/>
    <w:rsid w:val="00FC7848"/>
    <w:rsid w:val="00FC79E8"/>
    <w:rsid w:val="00FC7A71"/>
    <w:rsid w:val="00FC7D16"/>
    <w:rsid w:val="00FD0885"/>
    <w:rsid w:val="00FD0C14"/>
    <w:rsid w:val="00FD0FB9"/>
    <w:rsid w:val="00FD16A1"/>
    <w:rsid w:val="00FD18DF"/>
    <w:rsid w:val="00FD1915"/>
    <w:rsid w:val="00FD1963"/>
    <w:rsid w:val="00FD1B55"/>
    <w:rsid w:val="00FD1E66"/>
    <w:rsid w:val="00FD1E88"/>
    <w:rsid w:val="00FD1FFD"/>
    <w:rsid w:val="00FD249D"/>
    <w:rsid w:val="00FD2505"/>
    <w:rsid w:val="00FD2718"/>
    <w:rsid w:val="00FD2A5C"/>
    <w:rsid w:val="00FD2CF3"/>
    <w:rsid w:val="00FD300F"/>
    <w:rsid w:val="00FD323F"/>
    <w:rsid w:val="00FD35F4"/>
    <w:rsid w:val="00FD363A"/>
    <w:rsid w:val="00FD3ED9"/>
    <w:rsid w:val="00FD3EF8"/>
    <w:rsid w:val="00FD41A9"/>
    <w:rsid w:val="00FD4200"/>
    <w:rsid w:val="00FD4241"/>
    <w:rsid w:val="00FD433C"/>
    <w:rsid w:val="00FD439F"/>
    <w:rsid w:val="00FD4A1F"/>
    <w:rsid w:val="00FD4A2C"/>
    <w:rsid w:val="00FD4A61"/>
    <w:rsid w:val="00FD4A80"/>
    <w:rsid w:val="00FD4BD0"/>
    <w:rsid w:val="00FD4BF4"/>
    <w:rsid w:val="00FD4C5C"/>
    <w:rsid w:val="00FD4DE9"/>
    <w:rsid w:val="00FD4E4A"/>
    <w:rsid w:val="00FD5116"/>
    <w:rsid w:val="00FD54BF"/>
    <w:rsid w:val="00FD565B"/>
    <w:rsid w:val="00FD588B"/>
    <w:rsid w:val="00FD5B08"/>
    <w:rsid w:val="00FD5BB7"/>
    <w:rsid w:val="00FD5DF1"/>
    <w:rsid w:val="00FD5ED2"/>
    <w:rsid w:val="00FD5F44"/>
    <w:rsid w:val="00FD602A"/>
    <w:rsid w:val="00FD612F"/>
    <w:rsid w:val="00FD61B5"/>
    <w:rsid w:val="00FD6335"/>
    <w:rsid w:val="00FD640B"/>
    <w:rsid w:val="00FD6431"/>
    <w:rsid w:val="00FD643F"/>
    <w:rsid w:val="00FD6479"/>
    <w:rsid w:val="00FD6517"/>
    <w:rsid w:val="00FD69CA"/>
    <w:rsid w:val="00FD6B94"/>
    <w:rsid w:val="00FD6F41"/>
    <w:rsid w:val="00FD7502"/>
    <w:rsid w:val="00FD7C04"/>
    <w:rsid w:val="00FD7E2E"/>
    <w:rsid w:val="00FD7EF3"/>
    <w:rsid w:val="00FD7F12"/>
    <w:rsid w:val="00FE0003"/>
    <w:rsid w:val="00FE020C"/>
    <w:rsid w:val="00FE05A4"/>
    <w:rsid w:val="00FE06B5"/>
    <w:rsid w:val="00FE08F7"/>
    <w:rsid w:val="00FE0E2A"/>
    <w:rsid w:val="00FE0F3D"/>
    <w:rsid w:val="00FE0F47"/>
    <w:rsid w:val="00FE10E9"/>
    <w:rsid w:val="00FE1179"/>
    <w:rsid w:val="00FE1416"/>
    <w:rsid w:val="00FE1BCE"/>
    <w:rsid w:val="00FE1BF6"/>
    <w:rsid w:val="00FE21CF"/>
    <w:rsid w:val="00FE2308"/>
    <w:rsid w:val="00FE230C"/>
    <w:rsid w:val="00FE23E4"/>
    <w:rsid w:val="00FE244C"/>
    <w:rsid w:val="00FE2801"/>
    <w:rsid w:val="00FE2DB4"/>
    <w:rsid w:val="00FE3438"/>
    <w:rsid w:val="00FE3689"/>
    <w:rsid w:val="00FE3776"/>
    <w:rsid w:val="00FE3ABF"/>
    <w:rsid w:val="00FE3CB4"/>
    <w:rsid w:val="00FE3D0A"/>
    <w:rsid w:val="00FE4174"/>
    <w:rsid w:val="00FE4355"/>
    <w:rsid w:val="00FE4A10"/>
    <w:rsid w:val="00FE4A9B"/>
    <w:rsid w:val="00FE4AB9"/>
    <w:rsid w:val="00FE4C7C"/>
    <w:rsid w:val="00FE5099"/>
    <w:rsid w:val="00FE53D2"/>
    <w:rsid w:val="00FE562A"/>
    <w:rsid w:val="00FE5A0F"/>
    <w:rsid w:val="00FE5AB1"/>
    <w:rsid w:val="00FE5E6D"/>
    <w:rsid w:val="00FE60B6"/>
    <w:rsid w:val="00FE6124"/>
    <w:rsid w:val="00FE61F6"/>
    <w:rsid w:val="00FE6221"/>
    <w:rsid w:val="00FE6496"/>
    <w:rsid w:val="00FE6713"/>
    <w:rsid w:val="00FE6771"/>
    <w:rsid w:val="00FE67BC"/>
    <w:rsid w:val="00FE6F7C"/>
    <w:rsid w:val="00FE6F9A"/>
    <w:rsid w:val="00FE7112"/>
    <w:rsid w:val="00FE7141"/>
    <w:rsid w:val="00FE73A7"/>
    <w:rsid w:val="00FE740A"/>
    <w:rsid w:val="00FE78F1"/>
    <w:rsid w:val="00FE7A33"/>
    <w:rsid w:val="00FE7B4A"/>
    <w:rsid w:val="00FE7C52"/>
    <w:rsid w:val="00FE7DA8"/>
    <w:rsid w:val="00FE7E2C"/>
    <w:rsid w:val="00FE7F71"/>
    <w:rsid w:val="00FF0207"/>
    <w:rsid w:val="00FF064B"/>
    <w:rsid w:val="00FF0706"/>
    <w:rsid w:val="00FF07AC"/>
    <w:rsid w:val="00FF0B66"/>
    <w:rsid w:val="00FF0F4B"/>
    <w:rsid w:val="00FF14EE"/>
    <w:rsid w:val="00FF1518"/>
    <w:rsid w:val="00FF1631"/>
    <w:rsid w:val="00FF1923"/>
    <w:rsid w:val="00FF1FFB"/>
    <w:rsid w:val="00FF20CF"/>
    <w:rsid w:val="00FF250F"/>
    <w:rsid w:val="00FF2826"/>
    <w:rsid w:val="00FF2895"/>
    <w:rsid w:val="00FF2C3E"/>
    <w:rsid w:val="00FF300D"/>
    <w:rsid w:val="00FF30D3"/>
    <w:rsid w:val="00FF3350"/>
    <w:rsid w:val="00FF3553"/>
    <w:rsid w:val="00FF3649"/>
    <w:rsid w:val="00FF3825"/>
    <w:rsid w:val="00FF3863"/>
    <w:rsid w:val="00FF3C90"/>
    <w:rsid w:val="00FF3D06"/>
    <w:rsid w:val="00FF3FAD"/>
    <w:rsid w:val="00FF41DE"/>
    <w:rsid w:val="00FF4368"/>
    <w:rsid w:val="00FF4457"/>
    <w:rsid w:val="00FF4BC2"/>
    <w:rsid w:val="00FF4C65"/>
    <w:rsid w:val="00FF4FDC"/>
    <w:rsid w:val="00FF5580"/>
    <w:rsid w:val="00FF55CD"/>
    <w:rsid w:val="00FF56B2"/>
    <w:rsid w:val="00FF5CE1"/>
    <w:rsid w:val="00FF5CEC"/>
    <w:rsid w:val="00FF61F2"/>
    <w:rsid w:val="00FF656C"/>
    <w:rsid w:val="00FF659B"/>
    <w:rsid w:val="00FF661D"/>
    <w:rsid w:val="00FF66FE"/>
    <w:rsid w:val="00FF670E"/>
    <w:rsid w:val="00FF6B53"/>
    <w:rsid w:val="00FF6CC7"/>
    <w:rsid w:val="00FF6E60"/>
    <w:rsid w:val="00FF6E84"/>
    <w:rsid w:val="00FF7093"/>
    <w:rsid w:val="00FF71C3"/>
    <w:rsid w:val="00FF728A"/>
    <w:rsid w:val="00FF754A"/>
    <w:rsid w:val="00FF76C9"/>
    <w:rsid w:val="00FF775A"/>
    <w:rsid w:val="00FF7866"/>
    <w:rsid w:val="00FF7953"/>
    <w:rsid w:val="010224C9"/>
    <w:rsid w:val="01090092"/>
    <w:rsid w:val="010B3BC1"/>
    <w:rsid w:val="010E40EE"/>
    <w:rsid w:val="011179A4"/>
    <w:rsid w:val="0114E9E1"/>
    <w:rsid w:val="0120BC14"/>
    <w:rsid w:val="01240D86"/>
    <w:rsid w:val="0129DBA3"/>
    <w:rsid w:val="012B875B"/>
    <w:rsid w:val="012CBA38"/>
    <w:rsid w:val="01456998"/>
    <w:rsid w:val="01499284"/>
    <w:rsid w:val="014E4AE5"/>
    <w:rsid w:val="01505FA0"/>
    <w:rsid w:val="0153212C"/>
    <w:rsid w:val="01533AF2"/>
    <w:rsid w:val="015755D7"/>
    <w:rsid w:val="0161B98F"/>
    <w:rsid w:val="0169426E"/>
    <w:rsid w:val="016F2AF6"/>
    <w:rsid w:val="0173AA2F"/>
    <w:rsid w:val="0178722A"/>
    <w:rsid w:val="0179EA89"/>
    <w:rsid w:val="01834C5B"/>
    <w:rsid w:val="0183906E"/>
    <w:rsid w:val="0186076E"/>
    <w:rsid w:val="0187740C"/>
    <w:rsid w:val="018A549C"/>
    <w:rsid w:val="018E8903"/>
    <w:rsid w:val="01919E33"/>
    <w:rsid w:val="0194ECB5"/>
    <w:rsid w:val="019991AA"/>
    <w:rsid w:val="019F74C9"/>
    <w:rsid w:val="01A0CB85"/>
    <w:rsid w:val="01A7C7E9"/>
    <w:rsid w:val="01A889B4"/>
    <w:rsid w:val="01AB74AF"/>
    <w:rsid w:val="01AD6300"/>
    <w:rsid w:val="01AE4E8D"/>
    <w:rsid w:val="01B2E728"/>
    <w:rsid w:val="01B7176F"/>
    <w:rsid w:val="01C74677"/>
    <w:rsid w:val="01CB9808"/>
    <w:rsid w:val="01D1807F"/>
    <w:rsid w:val="01D79C0D"/>
    <w:rsid w:val="01D81E06"/>
    <w:rsid w:val="01DC90F8"/>
    <w:rsid w:val="01DDF7F3"/>
    <w:rsid w:val="01E8BB79"/>
    <w:rsid w:val="01E95D46"/>
    <w:rsid w:val="01F2D92C"/>
    <w:rsid w:val="01F5B3D5"/>
    <w:rsid w:val="01F87350"/>
    <w:rsid w:val="01FB4F54"/>
    <w:rsid w:val="02043E39"/>
    <w:rsid w:val="020A4D17"/>
    <w:rsid w:val="020E9F8E"/>
    <w:rsid w:val="021006F3"/>
    <w:rsid w:val="02156891"/>
    <w:rsid w:val="021D83C0"/>
    <w:rsid w:val="02200228"/>
    <w:rsid w:val="023218C3"/>
    <w:rsid w:val="02326F5C"/>
    <w:rsid w:val="02367606"/>
    <w:rsid w:val="0238B66E"/>
    <w:rsid w:val="023AE97A"/>
    <w:rsid w:val="023FFCD3"/>
    <w:rsid w:val="0245C33C"/>
    <w:rsid w:val="024BE22E"/>
    <w:rsid w:val="0253A8FE"/>
    <w:rsid w:val="0254B4CF"/>
    <w:rsid w:val="025ABB37"/>
    <w:rsid w:val="025BFB1B"/>
    <w:rsid w:val="025FF859"/>
    <w:rsid w:val="02604BCA"/>
    <w:rsid w:val="0263F933"/>
    <w:rsid w:val="02699957"/>
    <w:rsid w:val="027281DC"/>
    <w:rsid w:val="0281800F"/>
    <w:rsid w:val="02870D87"/>
    <w:rsid w:val="028BD76C"/>
    <w:rsid w:val="028EE546"/>
    <w:rsid w:val="028F723C"/>
    <w:rsid w:val="029335AA"/>
    <w:rsid w:val="029E8399"/>
    <w:rsid w:val="02A05423"/>
    <w:rsid w:val="02A1FFBF"/>
    <w:rsid w:val="02A9C274"/>
    <w:rsid w:val="02AEA251"/>
    <w:rsid w:val="02B30A4E"/>
    <w:rsid w:val="02B9403B"/>
    <w:rsid w:val="02C0D8E8"/>
    <w:rsid w:val="02C25D85"/>
    <w:rsid w:val="02C4FD31"/>
    <w:rsid w:val="02D8B3F0"/>
    <w:rsid w:val="02DAE2A7"/>
    <w:rsid w:val="02E2075A"/>
    <w:rsid w:val="02E40B24"/>
    <w:rsid w:val="02E4E480"/>
    <w:rsid w:val="02E5F3AB"/>
    <w:rsid w:val="02EC9DF6"/>
    <w:rsid w:val="02FA3955"/>
    <w:rsid w:val="0300B754"/>
    <w:rsid w:val="0300EEF3"/>
    <w:rsid w:val="03019CC2"/>
    <w:rsid w:val="0305DF02"/>
    <w:rsid w:val="03083147"/>
    <w:rsid w:val="030D5A7C"/>
    <w:rsid w:val="03137593"/>
    <w:rsid w:val="03299301"/>
    <w:rsid w:val="032B2875"/>
    <w:rsid w:val="032C4562"/>
    <w:rsid w:val="032C48A0"/>
    <w:rsid w:val="032DFE17"/>
    <w:rsid w:val="033015E4"/>
    <w:rsid w:val="03354CED"/>
    <w:rsid w:val="033551BD"/>
    <w:rsid w:val="03389F8D"/>
    <w:rsid w:val="033B6EFD"/>
    <w:rsid w:val="033C5ABC"/>
    <w:rsid w:val="033F784B"/>
    <w:rsid w:val="0341BF56"/>
    <w:rsid w:val="0343640C"/>
    <w:rsid w:val="0346ED1F"/>
    <w:rsid w:val="034DFB9D"/>
    <w:rsid w:val="034EA479"/>
    <w:rsid w:val="03539F46"/>
    <w:rsid w:val="035CC2B8"/>
    <w:rsid w:val="0366D0F8"/>
    <w:rsid w:val="036B5B54"/>
    <w:rsid w:val="03739BFC"/>
    <w:rsid w:val="03754525"/>
    <w:rsid w:val="0375EBC3"/>
    <w:rsid w:val="03811790"/>
    <w:rsid w:val="03840314"/>
    <w:rsid w:val="03842733"/>
    <w:rsid w:val="038D51F7"/>
    <w:rsid w:val="0394AAF1"/>
    <w:rsid w:val="03950A2A"/>
    <w:rsid w:val="03969F0A"/>
    <w:rsid w:val="03A058DA"/>
    <w:rsid w:val="03A917BA"/>
    <w:rsid w:val="03ABE532"/>
    <w:rsid w:val="03ADB653"/>
    <w:rsid w:val="03BABBA6"/>
    <w:rsid w:val="03BBEE7A"/>
    <w:rsid w:val="03C4C71F"/>
    <w:rsid w:val="03D6461B"/>
    <w:rsid w:val="03D92D6A"/>
    <w:rsid w:val="03DE388D"/>
    <w:rsid w:val="03E0120C"/>
    <w:rsid w:val="03F0119C"/>
    <w:rsid w:val="03F04B77"/>
    <w:rsid w:val="03F504AD"/>
    <w:rsid w:val="03F9079C"/>
    <w:rsid w:val="03F94C8C"/>
    <w:rsid w:val="03F9572A"/>
    <w:rsid w:val="03FCA68F"/>
    <w:rsid w:val="03FF7F8D"/>
    <w:rsid w:val="04017712"/>
    <w:rsid w:val="040F7B1C"/>
    <w:rsid w:val="040FE0E7"/>
    <w:rsid w:val="0413A46B"/>
    <w:rsid w:val="042134A1"/>
    <w:rsid w:val="0423EC87"/>
    <w:rsid w:val="04267514"/>
    <w:rsid w:val="042A374C"/>
    <w:rsid w:val="042AF9DB"/>
    <w:rsid w:val="04368279"/>
    <w:rsid w:val="04381EE7"/>
    <w:rsid w:val="043A1D70"/>
    <w:rsid w:val="043A7873"/>
    <w:rsid w:val="043A997D"/>
    <w:rsid w:val="043B234A"/>
    <w:rsid w:val="043B90B5"/>
    <w:rsid w:val="043B9C8A"/>
    <w:rsid w:val="043E9B90"/>
    <w:rsid w:val="0441D32B"/>
    <w:rsid w:val="0445D1DB"/>
    <w:rsid w:val="0449BC76"/>
    <w:rsid w:val="04528869"/>
    <w:rsid w:val="04596723"/>
    <w:rsid w:val="0459BF84"/>
    <w:rsid w:val="045D1304"/>
    <w:rsid w:val="04638339"/>
    <w:rsid w:val="0464B54A"/>
    <w:rsid w:val="04655638"/>
    <w:rsid w:val="046834E0"/>
    <w:rsid w:val="046B3605"/>
    <w:rsid w:val="046E228A"/>
    <w:rsid w:val="04794C68"/>
    <w:rsid w:val="047C0C35"/>
    <w:rsid w:val="048D1E23"/>
    <w:rsid w:val="04924078"/>
    <w:rsid w:val="0493FA29"/>
    <w:rsid w:val="0494D6BB"/>
    <w:rsid w:val="049FC644"/>
    <w:rsid w:val="049FDBD9"/>
    <w:rsid w:val="04AC0A15"/>
    <w:rsid w:val="04B4CB6C"/>
    <w:rsid w:val="04BF14CE"/>
    <w:rsid w:val="04BFF795"/>
    <w:rsid w:val="04C55552"/>
    <w:rsid w:val="04C728D7"/>
    <w:rsid w:val="04D4325C"/>
    <w:rsid w:val="04D50F52"/>
    <w:rsid w:val="04D6DFBA"/>
    <w:rsid w:val="04D82640"/>
    <w:rsid w:val="04DC0B76"/>
    <w:rsid w:val="04DF484F"/>
    <w:rsid w:val="04E5472B"/>
    <w:rsid w:val="04E669EF"/>
    <w:rsid w:val="04EBF8AF"/>
    <w:rsid w:val="04FB41EF"/>
    <w:rsid w:val="04FCD4F0"/>
    <w:rsid w:val="04FD2DD0"/>
    <w:rsid w:val="05004FE4"/>
    <w:rsid w:val="05011F9D"/>
    <w:rsid w:val="0505629B"/>
    <w:rsid w:val="0508CE57"/>
    <w:rsid w:val="0509C880"/>
    <w:rsid w:val="0510B975"/>
    <w:rsid w:val="05174770"/>
    <w:rsid w:val="0520E2B2"/>
    <w:rsid w:val="0521331F"/>
    <w:rsid w:val="05226C04"/>
    <w:rsid w:val="05264F95"/>
    <w:rsid w:val="052721DE"/>
    <w:rsid w:val="05280241"/>
    <w:rsid w:val="05302DF0"/>
    <w:rsid w:val="05308157"/>
    <w:rsid w:val="05349CD0"/>
    <w:rsid w:val="053E57A0"/>
    <w:rsid w:val="0543BB07"/>
    <w:rsid w:val="05489322"/>
    <w:rsid w:val="05591970"/>
    <w:rsid w:val="055DA0C5"/>
    <w:rsid w:val="055F18E1"/>
    <w:rsid w:val="0560229B"/>
    <w:rsid w:val="05608A15"/>
    <w:rsid w:val="0568C417"/>
    <w:rsid w:val="056AC565"/>
    <w:rsid w:val="056DE040"/>
    <w:rsid w:val="057170C4"/>
    <w:rsid w:val="05726160"/>
    <w:rsid w:val="0572D646"/>
    <w:rsid w:val="057FF285"/>
    <w:rsid w:val="05812D60"/>
    <w:rsid w:val="0586ADEC"/>
    <w:rsid w:val="05876033"/>
    <w:rsid w:val="058F2790"/>
    <w:rsid w:val="059A0973"/>
    <w:rsid w:val="059C3CEC"/>
    <w:rsid w:val="059F459B"/>
    <w:rsid w:val="05A5BC2B"/>
    <w:rsid w:val="05A6F4A7"/>
    <w:rsid w:val="05ADF219"/>
    <w:rsid w:val="05AE7976"/>
    <w:rsid w:val="05B93AD7"/>
    <w:rsid w:val="05C666C9"/>
    <w:rsid w:val="05C7FF61"/>
    <w:rsid w:val="05CA7F38"/>
    <w:rsid w:val="05CFD105"/>
    <w:rsid w:val="05D3CA7B"/>
    <w:rsid w:val="05D430A3"/>
    <w:rsid w:val="05D4CB27"/>
    <w:rsid w:val="05D8FC40"/>
    <w:rsid w:val="05DBE6B6"/>
    <w:rsid w:val="05EB5D2E"/>
    <w:rsid w:val="05F63174"/>
    <w:rsid w:val="05F78230"/>
    <w:rsid w:val="05F8E9B9"/>
    <w:rsid w:val="05FAF9E5"/>
    <w:rsid w:val="05FEAC71"/>
    <w:rsid w:val="05FFF289"/>
    <w:rsid w:val="06074820"/>
    <w:rsid w:val="060D0570"/>
    <w:rsid w:val="060F7FB1"/>
    <w:rsid w:val="06200BAF"/>
    <w:rsid w:val="0623F79D"/>
    <w:rsid w:val="062E0A3E"/>
    <w:rsid w:val="0636587A"/>
    <w:rsid w:val="0639885B"/>
    <w:rsid w:val="063AF276"/>
    <w:rsid w:val="063CD3C4"/>
    <w:rsid w:val="06448832"/>
    <w:rsid w:val="0644E3D8"/>
    <w:rsid w:val="064C6B42"/>
    <w:rsid w:val="0651EBA7"/>
    <w:rsid w:val="0653CC95"/>
    <w:rsid w:val="06546E9A"/>
    <w:rsid w:val="065602D0"/>
    <w:rsid w:val="0658D055"/>
    <w:rsid w:val="0659EF8B"/>
    <w:rsid w:val="065BC7F6"/>
    <w:rsid w:val="065D821B"/>
    <w:rsid w:val="06659ED9"/>
    <w:rsid w:val="06688138"/>
    <w:rsid w:val="066ECB27"/>
    <w:rsid w:val="06733758"/>
    <w:rsid w:val="067D5B28"/>
    <w:rsid w:val="0681EBB7"/>
    <w:rsid w:val="0683FA39"/>
    <w:rsid w:val="068A27D6"/>
    <w:rsid w:val="069DAD6E"/>
    <w:rsid w:val="06AE6708"/>
    <w:rsid w:val="06B167CF"/>
    <w:rsid w:val="06B7C76F"/>
    <w:rsid w:val="06B86DB3"/>
    <w:rsid w:val="06BA0BAE"/>
    <w:rsid w:val="06BC5609"/>
    <w:rsid w:val="06C3D2A2"/>
    <w:rsid w:val="06CE6E54"/>
    <w:rsid w:val="06CEC9EF"/>
    <w:rsid w:val="06D11FC0"/>
    <w:rsid w:val="06D269F6"/>
    <w:rsid w:val="06D76A3E"/>
    <w:rsid w:val="06D793AE"/>
    <w:rsid w:val="06D7BB49"/>
    <w:rsid w:val="06D818A7"/>
    <w:rsid w:val="06DA5217"/>
    <w:rsid w:val="06DA9700"/>
    <w:rsid w:val="06DC9E48"/>
    <w:rsid w:val="06DCA737"/>
    <w:rsid w:val="06E6002D"/>
    <w:rsid w:val="06E7D5C5"/>
    <w:rsid w:val="06EEE1FD"/>
    <w:rsid w:val="06EFB75F"/>
    <w:rsid w:val="06EFD35A"/>
    <w:rsid w:val="06F0D239"/>
    <w:rsid w:val="06FA9688"/>
    <w:rsid w:val="06FA999C"/>
    <w:rsid w:val="06FB076F"/>
    <w:rsid w:val="07006EF0"/>
    <w:rsid w:val="070398A6"/>
    <w:rsid w:val="0703B8C2"/>
    <w:rsid w:val="07041A0A"/>
    <w:rsid w:val="07047CC4"/>
    <w:rsid w:val="07056190"/>
    <w:rsid w:val="070873DF"/>
    <w:rsid w:val="070E4365"/>
    <w:rsid w:val="070E8728"/>
    <w:rsid w:val="0711A702"/>
    <w:rsid w:val="0714222A"/>
    <w:rsid w:val="071426F9"/>
    <w:rsid w:val="0714F503"/>
    <w:rsid w:val="072008BC"/>
    <w:rsid w:val="07232D67"/>
    <w:rsid w:val="0725D98E"/>
    <w:rsid w:val="0728B26D"/>
    <w:rsid w:val="072966B5"/>
    <w:rsid w:val="073C5530"/>
    <w:rsid w:val="073CBF43"/>
    <w:rsid w:val="073DFB1E"/>
    <w:rsid w:val="07476FB6"/>
    <w:rsid w:val="0747BE47"/>
    <w:rsid w:val="074AD55B"/>
    <w:rsid w:val="074F182B"/>
    <w:rsid w:val="07514C9D"/>
    <w:rsid w:val="07526937"/>
    <w:rsid w:val="075641BD"/>
    <w:rsid w:val="0767F7D9"/>
    <w:rsid w:val="07690D6A"/>
    <w:rsid w:val="07724548"/>
    <w:rsid w:val="07734259"/>
    <w:rsid w:val="0773ABE5"/>
    <w:rsid w:val="0777D9AC"/>
    <w:rsid w:val="077D3BF3"/>
    <w:rsid w:val="077F1842"/>
    <w:rsid w:val="0783A1B1"/>
    <w:rsid w:val="0783EE2C"/>
    <w:rsid w:val="0784EBC5"/>
    <w:rsid w:val="07887D67"/>
    <w:rsid w:val="078A292B"/>
    <w:rsid w:val="078E7A8D"/>
    <w:rsid w:val="078EE0C5"/>
    <w:rsid w:val="07941123"/>
    <w:rsid w:val="079C969C"/>
    <w:rsid w:val="079ECA9B"/>
    <w:rsid w:val="07A489F0"/>
    <w:rsid w:val="07A5E8A6"/>
    <w:rsid w:val="07A797C1"/>
    <w:rsid w:val="07B032B0"/>
    <w:rsid w:val="07B0CF05"/>
    <w:rsid w:val="07B1BA0C"/>
    <w:rsid w:val="07B301BD"/>
    <w:rsid w:val="07BA4354"/>
    <w:rsid w:val="07BF42B1"/>
    <w:rsid w:val="07C0D178"/>
    <w:rsid w:val="07CFB8EE"/>
    <w:rsid w:val="07D95DF5"/>
    <w:rsid w:val="07DC065E"/>
    <w:rsid w:val="07E7B3AE"/>
    <w:rsid w:val="07EDBCFF"/>
    <w:rsid w:val="07F20685"/>
    <w:rsid w:val="07F3700E"/>
    <w:rsid w:val="07F6FA4A"/>
    <w:rsid w:val="07F979C9"/>
    <w:rsid w:val="080395FA"/>
    <w:rsid w:val="080CB81F"/>
    <w:rsid w:val="080CCD25"/>
    <w:rsid w:val="080D11C1"/>
    <w:rsid w:val="08139C48"/>
    <w:rsid w:val="0816351F"/>
    <w:rsid w:val="081C4B6D"/>
    <w:rsid w:val="081D9011"/>
    <w:rsid w:val="081F37C3"/>
    <w:rsid w:val="082714EF"/>
    <w:rsid w:val="082B24DD"/>
    <w:rsid w:val="082EA9C0"/>
    <w:rsid w:val="0836D72C"/>
    <w:rsid w:val="08374824"/>
    <w:rsid w:val="084EE8DF"/>
    <w:rsid w:val="084F9EA3"/>
    <w:rsid w:val="085095B5"/>
    <w:rsid w:val="08573BFD"/>
    <w:rsid w:val="0858DE80"/>
    <w:rsid w:val="0859B676"/>
    <w:rsid w:val="085F9A43"/>
    <w:rsid w:val="0866F47A"/>
    <w:rsid w:val="086C2332"/>
    <w:rsid w:val="086D484B"/>
    <w:rsid w:val="0870968C"/>
    <w:rsid w:val="0873C95B"/>
    <w:rsid w:val="08768817"/>
    <w:rsid w:val="087975F9"/>
    <w:rsid w:val="087A40DC"/>
    <w:rsid w:val="087D15EB"/>
    <w:rsid w:val="08831C3F"/>
    <w:rsid w:val="088721E7"/>
    <w:rsid w:val="089317CD"/>
    <w:rsid w:val="089625FD"/>
    <w:rsid w:val="089670D1"/>
    <w:rsid w:val="0897B5D6"/>
    <w:rsid w:val="089E8783"/>
    <w:rsid w:val="08A0D389"/>
    <w:rsid w:val="08A2748C"/>
    <w:rsid w:val="08A42D2A"/>
    <w:rsid w:val="08A8AF53"/>
    <w:rsid w:val="08B013DE"/>
    <w:rsid w:val="08BA9EC1"/>
    <w:rsid w:val="08BD5616"/>
    <w:rsid w:val="08C0D8A9"/>
    <w:rsid w:val="08C0EF04"/>
    <w:rsid w:val="08C382BF"/>
    <w:rsid w:val="08C502F3"/>
    <w:rsid w:val="08C65F9F"/>
    <w:rsid w:val="08CFEF87"/>
    <w:rsid w:val="08D641D9"/>
    <w:rsid w:val="08DA4C89"/>
    <w:rsid w:val="08E9AE3A"/>
    <w:rsid w:val="08EA9589"/>
    <w:rsid w:val="08F5C2DB"/>
    <w:rsid w:val="08FA31D9"/>
    <w:rsid w:val="08FCFAFD"/>
    <w:rsid w:val="08FD3309"/>
    <w:rsid w:val="08FD78C7"/>
    <w:rsid w:val="0900F389"/>
    <w:rsid w:val="090926C4"/>
    <w:rsid w:val="0913B786"/>
    <w:rsid w:val="0913FCF7"/>
    <w:rsid w:val="09152170"/>
    <w:rsid w:val="091A38C6"/>
    <w:rsid w:val="091E040F"/>
    <w:rsid w:val="0925A10F"/>
    <w:rsid w:val="09261EBF"/>
    <w:rsid w:val="092DEF50"/>
    <w:rsid w:val="0936209F"/>
    <w:rsid w:val="0936E627"/>
    <w:rsid w:val="09411A38"/>
    <w:rsid w:val="0951282E"/>
    <w:rsid w:val="0957A74C"/>
    <w:rsid w:val="095ADF0B"/>
    <w:rsid w:val="09640546"/>
    <w:rsid w:val="09692087"/>
    <w:rsid w:val="096E9C05"/>
    <w:rsid w:val="097490A3"/>
    <w:rsid w:val="097719DD"/>
    <w:rsid w:val="097BAFC2"/>
    <w:rsid w:val="098117D4"/>
    <w:rsid w:val="0988CC27"/>
    <w:rsid w:val="098ACEE8"/>
    <w:rsid w:val="098C5ECF"/>
    <w:rsid w:val="098E905D"/>
    <w:rsid w:val="0994F4E4"/>
    <w:rsid w:val="09966B0C"/>
    <w:rsid w:val="099816A0"/>
    <w:rsid w:val="09990CD2"/>
    <w:rsid w:val="09A5C5EA"/>
    <w:rsid w:val="09AB8B1C"/>
    <w:rsid w:val="09AC9115"/>
    <w:rsid w:val="09AE19E8"/>
    <w:rsid w:val="09AF79AA"/>
    <w:rsid w:val="09B0F29A"/>
    <w:rsid w:val="09B33359"/>
    <w:rsid w:val="09BD225E"/>
    <w:rsid w:val="09BDC214"/>
    <w:rsid w:val="09C11D85"/>
    <w:rsid w:val="09C1C898"/>
    <w:rsid w:val="09C35F3C"/>
    <w:rsid w:val="09C4F6DD"/>
    <w:rsid w:val="09C9CDCD"/>
    <w:rsid w:val="09D3399E"/>
    <w:rsid w:val="09DB924B"/>
    <w:rsid w:val="09DFD4A2"/>
    <w:rsid w:val="09E108A3"/>
    <w:rsid w:val="09E1366E"/>
    <w:rsid w:val="09E23C4F"/>
    <w:rsid w:val="09E2A003"/>
    <w:rsid w:val="09ED7B81"/>
    <w:rsid w:val="09ED7D81"/>
    <w:rsid w:val="0A00B02C"/>
    <w:rsid w:val="0A017504"/>
    <w:rsid w:val="0A07B381"/>
    <w:rsid w:val="0A0AFE90"/>
    <w:rsid w:val="0A14C356"/>
    <w:rsid w:val="0A16FB5B"/>
    <w:rsid w:val="0A1F72C4"/>
    <w:rsid w:val="0A230173"/>
    <w:rsid w:val="0A295FD2"/>
    <w:rsid w:val="0A2EA77F"/>
    <w:rsid w:val="0A2F5650"/>
    <w:rsid w:val="0A32FE74"/>
    <w:rsid w:val="0A399904"/>
    <w:rsid w:val="0A3D0252"/>
    <w:rsid w:val="0A3D284B"/>
    <w:rsid w:val="0A3E07F1"/>
    <w:rsid w:val="0A3F2796"/>
    <w:rsid w:val="0A4A0A6A"/>
    <w:rsid w:val="0A5007A3"/>
    <w:rsid w:val="0A50FA3E"/>
    <w:rsid w:val="0A519879"/>
    <w:rsid w:val="0A592677"/>
    <w:rsid w:val="0A66AA6D"/>
    <w:rsid w:val="0A6F1D4A"/>
    <w:rsid w:val="0A6F7384"/>
    <w:rsid w:val="0A73B019"/>
    <w:rsid w:val="0A770B36"/>
    <w:rsid w:val="0A771174"/>
    <w:rsid w:val="0A771812"/>
    <w:rsid w:val="0A7CF8EA"/>
    <w:rsid w:val="0A7E8681"/>
    <w:rsid w:val="0A85EA1E"/>
    <w:rsid w:val="0A885FCB"/>
    <w:rsid w:val="0A89530F"/>
    <w:rsid w:val="0A90A7E5"/>
    <w:rsid w:val="0A961A01"/>
    <w:rsid w:val="0A9A0049"/>
    <w:rsid w:val="0A9C890C"/>
    <w:rsid w:val="0A9D5A88"/>
    <w:rsid w:val="0A9D7F9C"/>
    <w:rsid w:val="0A9E24B0"/>
    <w:rsid w:val="0AA45B7D"/>
    <w:rsid w:val="0AA5C0C5"/>
    <w:rsid w:val="0AAE2421"/>
    <w:rsid w:val="0AB4485E"/>
    <w:rsid w:val="0AB6F9D6"/>
    <w:rsid w:val="0ABB8685"/>
    <w:rsid w:val="0AC00FCC"/>
    <w:rsid w:val="0AC3D137"/>
    <w:rsid w:val="0AC56C1E"/>
    <w:rsid w:val="0AC574B2"/>
    <w:rsid w:val="0AD17D57"/>
    <w:rsid w:val="0AD24211"/>
    <w:rsid w:val="0AD9CB94"/>
    <w:rsid w:val="0ADA2A1C"/>
    <w:rsid w:val="0AE15A7A"/>
    <w:rsid w:val="0AE729A8"/>
    <w:rsid w:val="0AF66DA0"/>
    <w:rsid w:val="0AF9801E"/>
    <w:rsid w:val="0AFF77FB"/>
    <w:rsid w:val="0AFFECA6"/>
    <w:rsid w:val="0B0085DD"/>
    <w:rsid w:val="0B066211"/>
    <w:rsid w:val="0B080FAA"/>
    <w:rsid w:val="0B096443"/>
    <w:rsid w:val="0B10F08A"/>
    <w:rsid w:val="0B131ED9"/>
    <w:rsid w:val="0B165577"/>
    <w:rsid w:val="0B18B76C"/>
    <w:rsid w:val="0B1EA40E"/>
    <w:rsid w:val="0B2003A3"/>
    <w:rsid w:val="0B26DDAF"/>
    <w:rsid w:val="0B2DD774"/>
    <w:rsid w:val="0B2FA457"/>
    <w:rsid w:val="0B3073D5"/>
    <w:rsid w:val="0B30D633"/>
    <w:rsid w:val="0B319EA0"/>
    <w:rsid w:val="0B51DE3A"/>
    <w:rsid w:val="0B550060"/>
    <w:rsid w:val="0B6218C2"/>
    <w:rsid w:val="0B66B0B0"/>
    <w:rsid w:val="0B6E5930"/>
    <w:rsid w:val="0B6E77EE"/>
    <w:rsid w:val="0B710018"/>
    <w:rsid w:val="0B71E2D6"/>
    <w:rsid w:val="0B753F22"/>
    <w:rsid w:val="0B785AD3"/>
    <w:rsid w:val="0B7AA513"/>
    <w:rsid w:val="0B83E719"/>
    <w:rsid w:val="0B845964"/>
    <w:rsid w:val="0B888F14"/>
    <w:rsid w:val="0B8AC82A"/>
    <w:rsid w:val="0B8C1604"/>
    <w:rsid w:val="0B8C4B23"/>
    <w:rsid w:val="0B8DA26E"/>
    <w:rsid w:val="0B91211C"/>
    <w:rsid w:val="0B91A7F6"/>
    <w:rsid w:val="0B96E708"/>
    <w:rsid w:val="0B9ABBCD"/>
    <w:rsid w:val="0B9BFF3D"/>
    <w:rsid w:val="0BA12DAE"/>
    <w:rsid w:val="0BA13F6C"/>
    <w:rsid w:val="0BA3227A"/>
    <w:rsid w:val="0BA870B0"/>
    <w:rsid w:val="0BA8C099"/>
    <w:rsid w:val="0BAF2076"/>
    <w:rsid w:val="0BBBCFC3"/>
    <w:rsid w:val="0BBD44D5"/>
    <w:rsid w:val="0BC1B787"/>
    <w:rsid w:val="0BD4A88F"/>
    <w:rsid w:val="0BDE5687"/>
    <w:rsid w:val="0BE2F83F"/>
    <w:rsid w:val="0BE7631C"/>
    <w:rsid w:val="0BE852B5"/>
    <w:rsid w:val="0BEC08C0"/>
    <w:rsid w:val="0BFB6C74"/>
    <w:rsid w:val="0BFC75D7"/>
    <w:rsid w:val="0BFC87BA"/>
    <w:rsid w:val="0C032BDC"/>
    <w:rsid w:val="0C077F38"/>
    <w:rsid w:val="0C0D3670"/>
    <w:rsid w:val="0C2D5BC8"/>
    <w:rsid w:val="0C2F272A"/>
    <w:rsid w:val="0C33890B"/>
    <w:rsid w:val="0C38944B"/>
    <w:rsid w:val="0C401018"/>
    <w:rsid w:val="0C47A9A6"/>
    <w:rsid w:val="0C4D9E37"/>
    <w:rsid w:val="0C4F98F4"/>
    <w:rsid w:val="0C57EB4C"/>
    <w:rsid w:val="0C589D7A"/>
    <w:rsid w:val="0C5D8B15"/>
    <w:rsid w:val="0C6BBB77"/>
    <w:rsid w:val="0C7455D2"/>
    <w:rsid w:val="0C748175"/>
    <w:rsid w:val="0C7B5D24"/>
    <w:rsid w:val="0C7CDF42"/>
    <w:rsid w:val="0C80F4B4"/>
    <w:rsid w:val="0C8C9E58"/>
    <w:rsid w:val="0C94ECC8"/>
    <w:rsid w:val="0C99F831"/>
    <w:rsid w:val="0C9B9A4D"/>
    <w:rsid w:val="0C9EBD78"/>
    <w:rsid w:val="0CA01F85"/>
    <w:rsid w:val="0CA981F7"/>
    <w:rsid w:val="0CA9CBE0"/>
    <w:rsid w:val="0CAB8EC0"/>
    <w:rsid w:val="0CB3EC38"/>
    <w:rsid w:val="0CB56015"/>
    <w:rsid w:val="0CBD95D3"/>
    <w:rsid w:val="0CBF2E4A"/>
    <w:rsid w:val="0CC82097"/>
    <w:rsid w:val="0CCB74B8"/>
    <w:rsid w:val="0CD27D0C"/>
    <w:rsid w:val="0CD347BC"/>
    <w:rsid w:val="0CDEEF4D"/>
    <w:rsid w:val="0CDFD315"/>
    <w:rsid w:val="0CE38AA4"/>
    <w:rsid w:val="0CE5028F"/>
    <w:rsid w:val="0CE7AECB"/>
    <w:rsid w:val="0CF51A9C"/>
    <w:rsid w:val="0CF8BE47"/>
    <w:rsid w:val="0CF9CA01"/>
    <w:rsid w:val="0D015963"/>
    <w:rsid w:val="0D026703"/>
    <w:rsid w:val="0D0861CB"/>
    <w:rsid w:val="0D091850"/>
    <w:rsid w:val="0D091B64"/>
    <w:rsid w:val="0D15FA0A"/>
    <w:rsid w:val="0D1BA9B8"/>
    <w:rsid w:val="0D212372"/>
    <w:rsid w:val="0D278B77"/>
    <w:rsid w:val="0D28FEDC"/>
    <w:rsid w:val="0D2B0110"/>
    <w:rsid w:val="0D2E8CE5"/>
    <w:rsid w:val="0D3499D1"/>
    <w:rsid w:val="0D353726"/>
    <w:rsid w:val="0D37E666"/>
    <w:rsid w:val="0D3A6494"/>
    <w:rsid w:val="0D4BC314"/>
    <w:rsid w:val="0D4D7705"/>
    <w:rsid w:val="0D4E3172"/>
    <w:rsid w:val="0D504980"/>
    <w:rsid w:val="0D58AA13"/>
    <w:rsid w:val="0D6053C4"/>
    <w:rsid w:val="0D6A5EFF"/>
    <w:rsid w:val="0D719CA0"/>
    <w:rsid w:val="0D72F0B5"/>
    <w:rsid w:val="0D782BBC"/>
    <w:rsid w:val="0D87A469"/>
    <w:rsid w:val="0D881AD6"/>
    <w:rsid w:val="0D8CE71E"/>
    <w:rsid w:val="0D8F9915"/>
    <w:rsid w:val="0D926EEB"/>
    <w:rsid w:val="0D968C47"/>
    <w:rsid w:val="0D96CDF0"/>
    <w:rsid w:val="0D9A3975"/>
    <w:rsid w:val="0D9AE018"/>
    <w:rsid w:val="0D9C12F9"/>
    <w:rsid w:val="0D9F6638"/>
    <w:rsid w:val="0DA21076"/>
    <w:rsid w:val="0DA360AA"/>
    <w:rsid w:val="0DA580AF"/>
    <w:rsid w:val="0DA91DF2"/>
    <w:rsid w:val="0DB09B44"/>
    <w:rsid w:val="0DB168A9"/>
    <w:rsid w:val="0DB459A6"/>
    <w:rsid w:val="0DBD1F5D"/>
    <w:rsid w:val="0DC0D08E"/>
    <w:rsid w:val="0DC3C1AD"/>
    <w:rsid w:val="0DCF988A"/>
    <w:rsid w:val="0DD7F4CA"/>
    <w:rsid w:val="0DE6A895"/>
    <w:rsid w:val="0DF3623F"/>
    <w:rsid w:val="0DF51ED4"/>
    <w:rsid w:val="0DF931A8"/>
    <w:rsid w:val="0DFEAFAF"/>
    <w:rsid w:val="0DFF7CAE"/>
    <w:rsid w:val="0E0430B4"/>
    <w:rsid w:val="0E0A186C"/>
    <w:rsid w:val="0E106B08"/>
    <w:rsid w:val="0E168706"/>
    <w:rsid w:val="0E181CA4"/>
    <w:rsid w:val="0E1AF555"/>
    <w:rsid w:val="0E1F81BE"/>
    <w:rsid w:val="0E31C6F6"/>
    <w:rsid w:val="0E3BF480"/>
    <w:rsid w:val="0E424818"/>
    <w:rsid w:val="0E425BFA"/>
    <w:rsid w:val="0E4291C2"/>
    <w:rsid w:val="0E452F00"/>
    <w:rsid w:val="0E4E3709"/>
    <w:rsid w:val="0E50D1E5"/>
    <w:rsid w:val="0E5314A0"/>
    <w:rsid w:val="0E5B898C"/>
    <w:rsid w:val="0E649970"/>
    <w:rsid w:val="0E6E4FD2"/>
    <w:rsid w:val="0E702B96"/>
    <w:rsid w:val="0E73D7E1"/>
    <w:rsid w:val="0E7BB30C"/>
    <w:rsid w:val="0E7D4E78"/>
    <w:rsid w:val="0E8A2AFD"/>
    <w:rsid w:val="0E8CA122"/>
    <w:rsid w:val="0E8CD195"/>
    <w:rsid w:val="0E8E8B36"/>
    <w:rsid w:val="0E8E8FD9"/>
    <w:rsid w:val="0E905104"/>
    <w:rsid w:val="0E91BB41"/>
    <w:rsid w:val="0EA8B6E4"/>
    <w:rsid w:val="0EA99F6C"/>
    <w:rsid w:val="0EB6F596"/>
    <w:rsid w:val="0EBB9A3B"/>
    <w:rsid w:val="0EC26E80"/>
    <w:rsid w:val="0EC372AC"/>
    <w:rsid w:val="0EC43FB3"/>
    <w:rsid w:val="0EC6F04F"/>
    <w:rsid w:val="0ECFAFD1"/>
    <w:rsid w:val="0ED72D7C"/>
    <w:rsid w:val="0EDACA22"/>
    <w:rsid w:val="0EDD2FA8"/>
    <w:rsid w:val="0EE0DFDF"/>
    <w:rsid w:val="0EE46C33"/>
    <w:rsid w:val="0EE4DE70"/>
    <w:rsid w:val="0EED4AB2"/>
    <w:rsid w:val="0EF873B9"/>
    <w:rsid w:val="0F08C7B1"/>
    <w:rsid w:val="0F0D8D1A"/>
    <w:rsid w:val="0F0F7BDE"/>
    <w:rsid w:val="0F13EE37"/>
    <w:rsid w:val="0F13FC1D"/>
    <w:rsid w:val="0F203DA9"/>
    <w:rsid w:val="0F23DCA7"/>
    <w:rsid w:val="0F2E3745"/>
    <w:rsid w:val="0F2E7827"/>
    <w:rsid w:val="0F31BF51"/>
    <w:rsid w:val="0F32C1EF"/>
    <w:rsid w:val="0F3609D6"/>
    <w:rsid w:val="0F39680D"/>
    <w:rsid w:val="0F3C7F70"/>
    <w:rsid w:val="0F3EE8EF"/>
    <w:rsid w:val="0F3F310B"/>
    <w:rsid w:val="0F3F8FB2"/>
    <w:rsid w:val="0F40AE59"/>
    <w:rsid w:val="0F411837"/>
    <w:rsid w:val="0F42031C"/>
    <w:rsid w:val="0F48BBCB"/>
    <w:rsid w:val="0F552E04"/>
    <w:rsid w:val="0F561A30"/>
    <w:rsid w:val="0F574196"/>
    <w:rsid w:val="0F5C1B09"/>
    <w:rsid w:val="0F6262EB"/>
    <w:rsid w:val="0F6C49AF"/>
    <w:rsid w:val="0F6DE03E"/>
    <w:rsid w:val="0F7390DE"/>
    <w:rsid w:val="0F74D1F6"/>
    <w:rsid w:val="0F86E0B5"/>
    <w:rsid w:val="0F8903BC"/>
    <w:rsid w:val="0F925EAE"/>
    <w:rsid w:val="0F9C19CA"/>
    <w:rsid w:val="0F9ED2F7"/>
    <w:rsid w:val="0F9ED6C2"/>
    <w:rsid w:val="0FA32680"/>
    <w:rsid w:val="0FA4D9C4"/>
    <w:rsid w:val="0FB37A11"/>
    <w:rsid w:val="0FB5088C"/>
    <w:rsid w:val="0FB7E535"/>
    <w:rsid w:val="0FBB6FCE"/>
    <w:rsid w:val="0FBEB067"/>
    <w:rsid w:val="0FC1FD49"/>
    <w:rsid w:val="0FC4A286"/>
    <w:rsid w:val="0FC77BF8"/>
    <w:rsid w:val="0FC880E2"/>
    <w:rsid w:val="0FCE862F"/>
    <w:rsid w:val="0FE24E1A"/>
    <w:rsid w:val="0FE25266"/>
    <w:rsid w:val="0FEB5149"/>
    <w:rsid w:val="0FEF5835"/>
    <w:rsid w:val="0FF17C77"/>
    <w:rsid w:val="0FF381AB"/>
    <w:rsid w:val="0FF74CF8"/>
    <w:rsid w:val="0FF9D200"/>
    <w:rsid w:val="0FFAD44F"/>
    <w:rsid w:val="0FFBCAFF"/>
    <w:rsid w:val="0FFBDB78"/>
    <w:rsid w:val="10030487"/>
    <w:rsid w:val="10043668"/>
    <w:rsid w:val="100895B0"/>
    <w:rsid w:val="100BD55E"/>
    <w:rsid w:val="1015F0A8"/>
    <w:rsid w:val="101DBE51"/>
    <w:rsid w:val="1020FAF0"/>
    <w:rsid w:val="10254595"/>
    <w:rsid w:val="1025F6C0"/>
    <w:rsid w:val="1027669C"/>
    <w:rsid w:val="1028C0B4"/>
    <w:rsid w:val="10290BE6"/>
    <w:rsid w:val="103362B3"/>
    <w:rsid w:val="1039861B"/>
    <w:rsid w:val="103FD399"/>
    <w:rsid w:val="10424C4A"/>
    <w:rsid w:val="10519E12"/>
    <w:rsid w:val="1055B785"/>
    <w:rsid w:val="1059EBE7"/>
    <w:rsid w:val="105B1946"/>
    <w:rsid w:val="105B55A9"/>
    <w:rsid w:val="105BB17B"/>
    <w:rsid w:val="105CC5FA"/>
    <w:rsid w:val="1066FF1B"/>
    <w:rsid w:val="10690651"/>
    <w:rsid w:val="106922D8"/>
    <w:rsid w:val="106FF1AE"/>
    <w:rsid w:val="10747E06"/>
    <w:rsid w:val="10767715"/>
    <w:rsid w:val="1076939D"/>
    <w:rsid w:val="10771AE7"/>
    <w:rsid w:val="1078CA21"/>
    <w:rsid w:val="10796B65"/>
    <w:rsid w:val="107D490E"/>
    <w:rsid w:val="107D6293"/>
    <w:rsid w:val="10860500"/>
    <w:rsid w:val="1087EF37"/>
    <w:rsid w:val="1089AFEE"/>
    <w:rsid w:val="108FF636"/>
    <w:rsid w:val="1098DFC5"/>
    <w:rsid w:val="1099716F"/>
    <w:rsid w:val="109AC5CB"/>
    <w:rsid w:val="10A1F8B3"/>
    <w:rsid w:val="10A39B70"/>
    <w:rsid w:val="10B064C5"/>
    <w:rsid w:val="10BA8751"/>
    <w:rsid w:val="10BBD6C1"/>
    <w:rsid w:val="10BEB156"/>
    <w:rsid w:val="10C10000"/>
    <w:rsid w:val="10C337AD"/>
    <w:rsid w:val="10C49C78"/>
    <w:rsid w:val="10C7C4F8"/>
    <w:rsid w:val="10CE9804"/>
    <w:rsid w:val="10D7A7F6"/>
    <w:rsid w:val="10D804D8"/>
    <w:rsid w:val="10D93246"/>
    <w:rsid w:val="10DB016C"/>
    <w:rsid w:val="10DC72D8"/>
    <w:rsid w:val="10E08738"/>
    <w:rsid w:val="10E2806D"/>
    <w:rsid w:val="10E7C2E3"/>
    <w:rsid w:val="10E88AEF"/>
    <w:rsid w:val="10F18D7A"/>
    <w:rsid w:val="10F9DF05"/>
    <w:rsid w:val="10FB1ABE"/>
    <w:rsid w:val="1100AB36"/>
    <w:rsid w:val="110C8EB7"/>
    <w:rsid w:val="111009BB"/>
    <w:rsid w:val="11121F37"/>
    <w:rsid w:val="11128110"/>
    <w:rsid w:val="1113028A"/>
    <w:rsid w:val="11177C0F"/>
    <w:rsid w:val="1124D236"/>
    <w:rsid w:val="112F5A95"/>
    <w:rsid w:val="1134F0FF"/>
    <w:rsid w:val="1137344B"/>
    <w:rsid w:val="1137EA2B"/>
    <w:rsid w:val="11393E82"/>
    <w:rsid w:val="1139E9ED"/>
    <w:rsid w:val="115CDDDD"/>
    <w:rsid w:val="115F86FF"/>
    <w:rsid w:val="11602A63"/>
    <w:rsid w:val="116277B9"/>
    <w:rsid w:val="1162BC9E"/>
    <w:rsid w:val="116F6B64"/>
    <w:rsid w:val="11730CCA"/>
    <w:rsid w:val="11751602"/>
    <w:rsid w:val="1177370A"/>
    <w:rsid w:val="117B2EAC"/>
    <w:rsid w:val="117C24D8"/>
    <w:rsid w:val="117CF900"/>
    <w:rsid w:val="1181DF67"/>
    <w:rsid w:val="118E94E4"/>
    <w:rsid w:val="11A17082"/>
    <w:rsid w:val="11BDC6DB"/>
    <w:rsid w:val="11C49115"/>
    <w:rsid w:val="11C97D95"/>
    <w:rsid w:val="11D158FB"/>
    <w:rsid w:val="11EF8114"/>
    <w:rsid w:val="11F04FF3"/>
    <w:rsid w:val="11F16541"/>
    <w:rsid w:val="11F734C4"/>
    <w:rsid w:val="12000A97"/>
    <w:rsid w:val="12057521"/>
    <w:rsid w:val="12058203"/>
    <w:rsid w:val="120C65C9"/>
    <w:rsid w:val="120D23CF"/>
    <w:rsid w:val="121B61CD"/>
    <w:rsid w:val="121B9C1F"/>
    <w:rsid w:val="122358C2"/>
    <w:rsid w:val="122CE327"/>
    <w:rsid w:val="122E1C11"/>
    <w:rsid w:val="1234B026"/>
    <w:rsid w:val="12423CFA"/>
    <w:rsid w:val="1243B825"/>
    <w:rsid w:val="1247B833"/>
    <w:rsid w:val="124B83EC"/>
    <w:rsid w:val="124E6B1C"/>
    <w:rsid w:val="1254A654"/>
    <w:rsid w:val="1255BFD1"/>
    <w:rsid w:val="125718A5"/>
    <w:rsid w:val="125B6F96"/>
    <w:rsid w:val="12647E01"/>
    <w:rsid w:val="1266C5CD"/>
    <w:rsid w:val="126A3E00"/>
    <w:rsid w:val="1270C3A1"/>
    <w:rsid w:val="1275AB2C"/>
    <w:rsid w:val="127737D5"/>
    <w:rsid w:val="12786A74"/>
    <w:rsid w:val="127E02D3"/>
    <w:rsid w:val="128ABB80"/>
    <w:rsid w:val="128CCEB6"/>
    <w:rsid w:val="128D6A02"/>
    <w:rsid w:val="129413D3"/>
    <w:rsid w:val="129536E5"/>
    <w:rsid w:val="129A7CD5"/>
    <w:rsid w:val="12A7D5CF"/>
    <w:rsid w:val="12AC421E"/>
    <w:rsid w:val="12B007E9"/>
    <w:rsid w:val="12B1F2D7"/>
    <w:rsid w:val="12B42466"/>
    <w:rsid w:val="12B65545"/>
    <w:rsid w:val="12BD0122"/>
    <w:rsid w:val="12C0B64A"/>
    <w:rsid w:val="12C5CA04"/>
    <w:rsid w:val="12C741A5"/>
    <w:rsid w:val="12C76C7F"/>
    <w:rsid w:val="12C814CA"/>
    <w:rsid w:val="12C9C87C"/>
    <w:rsid w:val="12CC9548"/>
    <w:rsid w:val="12E061D7"/>
    <w:rsid w:val="12E5B082"/>
    <w:rsid w:val="12E8230C"/>
    <w:rsid w:val="12EC14AA"/>
    <w:rsid w:val="12F116B3"/>
    <w:rsid w:val="12F1380C"/>
    <w:rsid w:val="12F1E136"/>
    <w:rsid w:val="12F51358"/>
    <w:rsid w:val="12F6926F"/>
    <w:rsid w:val="12F9319E"/>
    <w:rsid w:val="12FCC0BB"/>
    <w:rsid w:val="130D3E0F"/>
    <w:rsid w:val="130E91BD"/>
    <w:rsid w:val="1310E94D"/>
    <w:rsid w:val="131DCC69"/>
    <w:rsid w:val="131E4105"/>
    <w:rsid w:val="132EFCA0"/>
    <w:rsid w:val="1331F911"/>
    <w:rsid w:val="1337A446"/>
    <w:rsid w:val="133ADF75"/>
    <w:rsid w:val="133CD2FE"/>
    <w:rsid w:val="13433510"/>
    <w:rsid w:val="134CC6E7"/>
    <w:rsid w:val="134E51DF"/>
    <w:rsid w:val="135127F6"/>
    <w:rsid w:val="1351FD8E"/>
    <w:rsid w:val="135AF997"/>
    <w:rsid w:val="135BEFE7"/>
    <w:rsid w:val="13608A2D"/>
    <w:rsid w:val="136154E0"/>
    <w:rsid w:val="1367FFCB"/>
    <w:rsid w:val="136AB8FA"/>
    <w:rsid w:val="137F5CB4"/>
    <w:rsid w:val="1385C12C"/>
    <w:rsid w:val="139089F7"/>
    <w:rsid w:val="13950109"/>
    <w:rsid w:val="1395BDE4"/>
    <w:rsid w:val="139727B4"/>
    <w:rsid w:val="139752DC"/>
    <w:rsid w:val="139DD024"/>
    <w:rsid w:val="13AEDFD3"/>
    <w:rsid w:val="13B00617"/>
    <w:rsid w:val="13C08543"/>
    <w:rsid w:val="13C132C3"/>
    <w:rsid w:val="13C8C29D"/>
    <w:rsid w:val="13CACFDD"/>
    <w:rsid w:val="13CE1D16"/>
    <w:rsid w:val="13CF6420"/>
    <w:rsid w:val="13D1E75D"/>
    <w:rsid w:val="13D50D44"/>
    <w:rsid w:val="13D8E8EA"/>
    <w:rsid w:val="13E39592"/>
    <w:rsid w:val="13ED7AAE"/>
    <w:rsid w:val="13F076B5"/>
    <w:rsid w:val="13F20661"/>
    <w:rsid w:val="13F483C1"/>
    <w:rsid w:val="13F6056F"/>
    <w:rsid w:val="13F7670D"/>
    <w:rsid w:val="13FAB060"/>
    <w:rsid w:val="1405B916"/>
    <w:rsid w:val="1412A22E"/>
    <w:rsid w:val="1413E60A"/>
    <w:rsid w:val="1419CF6B"/>
    <w:rsid w:val="14227AC6"/>
    <w:rsid w:val="14292DD6"/>
    <w:rsid w:val="142E792F"/>
    <w:rsid w:val="14346FB7"/>
    <w:rsid w:val="14359BB3"/>
    <w:rsid w:val="1439311A"/>
    <w:rsid w:val="1439464D"/>
    <w:rsid w:val="14397FE7"/>
    <w:rsid w:val="143A706D"/>
    <w:rsid w:val="143F663D"/>
    <w:rsid w:val="14424E47"/>
    <w:rsid w:val="14465A0A"/>
    <w:rsid w:val="1447146C"/>
    <w:rsid w:val="144BBDEC"/>
    <w:rsid w:val="1454C6C0"/>
    <w:rsid w:val="14618BA4"/>
    <w:rsid w:val="14641E01"/>
    <w:rsid w:val="1468923A"/>
    <w:rsid w:val="1469C9DF"/>
    <w:rsid w:val="146B388F"/>
    <w:rsid w:val="1478ACE3"/>
    <w:rsid w:val="1479EB5A"/>
    <w:rsid w:val="14843A32"/>
    <w:rsid w:val="1490E3B9"/>
    <w:rsid w:val="149B8C7D"/>
    <w:rsid w:val="149C3F99"/>
    <w:rsid w:val="14A26FF5"/>
    <w:rsid w:val="14A41DF3"/>
    <w:rsid w:val="14ADBB12"/>
    <w:rsid w:val="14BF72FF"/>
    <w:rsid w:val="14C306AF"/>
    <w:rsid w:val="14CA2A73"/>
    <w:rsid w:val="14CFF493"/>
    <w:rsid w:val="14D46F58"/>
    <w:rsid w:val="14D62A8E"/>
    <w:rsid w:val="14D63044"/>
    <w:rsid w:val="14D78176"/>
    <w:rsid w:val="14E00159"/>
    <w:rsid w:val="14E083E4"/>
    <w:rsid w:val="14EE8B09"/>
    <w:rsid w:val="14F1CA73"/>
    <w:rsid w:val="14F9C56E"/>
    <w:rsid w:val="14FB6EDA"/>
    <w:rsid w:val="1507369B"/>
    <w:rsid w:val="15074CF8"/>
    <w:rsid w:val="1509E66F"/>
    <w:rsid w:val="150BFE39"/>
    <w:rsid w:val="150DB25D"/>
    <w:rsid w:val="15151EE0"/>
    <w:rsid w:val="15166645"/>
    <w:rsid w:val="151697BF"/>
    <w:rsid w:val="15190B3E"/>
    <w:rsid w:val="151A84C1"/>
    <w:rsid w:val="1521D0CF"/>
    <w:rsid w:val="152B7E0C"/>
    <w:rsid w:val="1531457A"/>
    <w:rsid w:val="1531B0A8"/>
    <w:rsid w:val="1534B13C"/>
    <w:rsid w:val="15372001"/>
    <w:rsid w:val="15372BBA"/>
    <w:rsid w:val="153741B4"/>
    <w:rsid w:val="153FD192"/>
    <w:rsid w:val="153FDCE0"/>
    <w:rsid w:val="1543E68B"/>
    <w:rsid w:val="1544C491"/>
    <w:rsid w:val="1549EFF7"/>
    <w:rsid w:val="154B8138"/>
    <w:rsid w:val="154DF267"/>
    <w:rsid w:val="154F39FD"/>
    <w:rsid w:val="15522FB5"/>
    <w:rsid w:val="1552C1C3"/>
    <w:rsid w:val="1552E371"/>
    <w:rsid w:val="155C1916"/>
    <w:rsid w:val="15601BE2"/>
    <w:rsid w:val="1564CE9A"/>
    <w:rsid w:val="15684E0B"/>
    <w:rsid w:val="15715C6C"/>
    <w:rsid w:val="1573F810"/>
    <w:rsid w:val="1574422E"/>
    <w:rsid w:val="1577DF8F"/>
    <w:rsid w:val="1582FACF"/>
    <w:rsid w:val="15886602"/>
    <w:rsid w:val="158A9A9C"/>
    <w:rsid w:val="158BB5AC"/>
    <w:rsid w:val="158CEA2E"/>
    <w:rsid w:val="1591F230"/>
    <w:rsid w:val="159689CA"/>
    <w:rsid w:val="159CFF84"/>
    <w:rsid w:val="15A291A3"/>
    <w:rsid w:val="15A352FE"/>
    <w:rsid w:val="15A72533"/>
    <w:rsid w:val="15A82091"/>
    <w:rsid w:val="15ACD511"/>
    <w:rsid w:val="15ADD2C7"/>
    <w:rsid w:val="15AE93E9"/>
    <w:rsid w:val="15B1D9B4"/>
    <w:rsid w:val="15C29EF7"/>
    <w:rsid w:val="15C3C33E"/>
    <w:rsid w:val="15C651C8"/>
    <w:rsid w:val="15D1F808"/>
    <w:rsid w:val="15D39169"/>
    <w:rsid w:val="15D3E634"/>
    <w:rsid w:val="15D810DA"/>
    <w:rsid w:val="15DA4C09"/>
    <w:rsid w:val="15DB198C"/>
    <w:rsid w:val="15DBD541"/>
    <w:rsid w:val="15EA3B36"/>
    <w:rsid w:val="15EE3CCF"/>
    <w:rsid w:val="15F7931F"/>
    <w:rsid w:val="15F8FD46"/>
    <w:rsid w:val="15FEF7E2"/>
    <w:rsid w:val="16162E07"/>
    <w:rsid w:val="1618DECC"/>
    <w:rsid w:val="161D3AC2"/>
    <w:rsid w:val="161D7304"/>
    <w:rsid w:val="161DA5CE"/>
    <w:rsid w:val="161F672C"/>
    <w:rsid w:val="161F994B"/>
    <w:rsid w:val="1623BFA1"/>
    <w:rsid w:val="1625E451"/>
    <w:rsid w:val="162643BF"/>
    <w:rsid w:val="162B0D41"/>
    <w:rsid w:val="162B62B4"/>
    <w:rsid w:val="162E125C"/>
    <w:rsid w:val="1630BF1B"/>
    <w:rsid w:val="16331FA2"/>
    <w:rsid w:val="1649EF69"/>
    <w:rsid w:val="164F4B6F"/>
    <w:rsid w:val="16506B9B"/>
    <w:rsid w:val="16581BFC"/>
    <w:rsid w:val="165A441A"/>
    <w:rsid w:val="165DCDBB"/>
    <w:rsid w:val="1661556E"/>
    <w:rsid w:val="1665FAFE"/>
    <w:rsid w:val="166C6276"/>
    <w:rsid w:val="166F4D3C"/>
    <w:rsid w:val="16746961"/>
    <w:rsid w:val="16783A49"/>
    <w:rsid w:val="1678B47E"/>
    <w:rsid w:val="1679122A"/>
    <w:rsid w:val="167E4CAC"/>
    <w:rsid w:val="1684AD51"/>
    <w:rsid w:val="16878111"/>
    <w:rsid w:val="16890D25"/>
    <w:rsid w:val="168BD9C1"/>
    <w:rsid w:val="168C5DBC"/>
    <w:rsid w:val="16955667"/>
    <w:rsid w:val="1697B307"/>
    <w:rsid w:val="169B35A9"/>
    <w:rsid w:val="169F5667"/>
    <w:rsid w:val="16A048A8"/>
    <w:rsid w:val="16B14D16"/>
    <w:rsid w:val="16B296CC"/>
    <w:rsid w:val="16B45DC6"/>
    <w:rsid w:val="16C4BE7A"/>
    <w:rsid w:val="16C6B6B8"/>
    <w:rsid w:val="16CB7ECF"/>
    <w:rsid w:val="16CEA029"/>
    <w:rsid w:val="16DC0359"/>
    <w:rsid w:val="16DE9D64"/>
    <w:rsid w:val="16FCE903"/>
    <w:rsid w:val="17025CFD"/>
    <w:rsid w:val="1702DAB8"/>
    <w:rsid w:val="1705D733"/>
    <w:rsid w:val="17131296"/>
    <w:rsid w:val="1714710B"/>
    <w:rsid w:val="17166508"/>
    <w:rsid w:val="1717B3F3"/>
    <w:rsid w:val="171CC8C7"/>
    <w:rsid w:val="171D2056"/>
    <w:rsid w:val="17283C5A"/>
    <w:rsid w:val="172853C3"/>
    <w:rsid w:val="173CE7AF"/>
    <w:rsid w:val="173D83BA"/>
    <w:rsid w:val="17499FBE"/>
    <w:rsid w:val="1751FFA3"/>
    <w:rsid w:val="1752B046"/>
    <w:rsid w:val="1755CA0A"/>
    <w:rsid w:val="1755FF1C"/>
    <w:rsid w:val="17562284"/>
    <w:rsid w:val="1759E0A4"/>
    <w:rsid w:val="175DA9B8"/>
    <w:rsid w:val="1766629F"/>
    <w:rsid w:val="1768976F"/>
    <w:rsid w:val="176D12AF"/>
    <w:rsid w:val="176F8596"/>
    <w:rsid w:val="1776AC5D"/>
    <w:rsid w:val="1779B594"/>
    <w:rsid w:val="1779DB76"/>
    <w:rsid w:val="177A3CDC"/>
    <w:rsid w:val="177EFFCA"/>
    <w:rsid w:val="1786BD93"/>
    <w:rsid w:val="179069F2"/>
    <w:rsid w:val="179A1FA1"/>
    <w:rsid w:val="179D9FD0"/>
    <w:rsid w:val="17B1788A"/>
    <w:rsid w:val="17B6413F"/>
    <w:rsid w:val="17C20588"/>
    <w:rsid w:val="17C85705"/>
    <w:rsid w:val="17CBB33B"/>
    <w:rsid w:val="17D25196"/>
    <w:rsid w:val="17D579B2"/>
    <w:rsid w:val="17D99E0C"/>
    <w:rsid w:val="17D9F282"/>
    <w:rsid w:val="17DCEA34"/>
    <w:rsid w:val="17E365FF"/>
    <w:rsid w:val="17E7E645"/>
    <w:rsid w:val="17E8C687"/>
    <w:rsid w:val="17ED62A1"/>
    <w:rsid w:val="17F1D6D9"/>
    <w:rsid w:val="17F2B6CB"/>
    <w:rsid w:val="17F75195"/>
    <w:rsid w:val="17F75353"/>
    <w:rsid w:val="17F9B5B8"/>
    <w:rsid w:val="180892A0"/>
    <w:rsid w:val="18135829"/>
    <w:rsid w:val="18136323"/>
    <w:rsid w:val="181A45D8"/>
    <w:rsid w:val="18270462"/>
    <w:rsid w:val="182CA70D"/>
    <w:rsid w:val="183A5CED"/>
    <w:rsid w:val="183B9619"/>
    <w:rsid w:val="183BDB50"/>
    <w:rsid w:val="183C7573"/>
    <w:rsid w:val="183C7CBD"/>
    <w:rsid w:val="183CFB18"/>
    <w:rsid w:val="1842AC4B"/>
    <w:rsid w:val="1844116B"/>
    <w:rsid w:val="184E2EF8"/>
    <w:rsid w:val="184FAED4"/>
    <w:rsid w:val="1854BABE"/>
    <w:rsid w:val="18596893"/>
    <w:rsid w:val="185B3161"/>
    <w:rsid w:val="185EE581"/>
    <w:rsid w:val="1860059D"/>
    <w:rsid w:val="1863908A"/>
    <w:rsid w:val="18660BED"/>
    <w:rsid w:val="18695E3C"/>
    <w:rsid w:val="186B3E9E"/>
    <w:rsid w:val="186C38BF"/>
    <w:rsid w:val="18711AC2"/>
    <w:rsid w:val="1871FEE3"/>
    <w:rsid w:val="18738DC9"/>
    <w:rsid w:val="187391D9"/>
    <w:rsid w:val="1876E8ED"/>
    <w:rsid w:val="187C6553"/>
    <w:rsid w:val="187CCD64"/>
    <w:rsid w:val="187EB23B"/>
    <w:rsid w:val="18830338"/>
    <w:rsid w:val="18854396"/>
    <w:rsid w:val="1885A6EA"/>
    <w:rsid w:val="188AE187"/>
    <w:rsid w:val="189276EB"/>
    <w:rsid w:val="1896ED5E"/>
    <w:rsid w:val="189D5D95"/>
    <w:rsid w:val="18A0AF3A"/>
    <w:rsid w:val="18A2BFEA"/>
    <w:rsid w:val="18A6DEC0"/>
    <w:rsid w:val="18AA986C"/>
    <w:rsid w:val="18B15B73"/>
    <w:rsid w:val="18B7E3B5"/>
    <w:rsid w:val="18B975E6"/>
    <w:rsid w:val="18BA4805"/>
    <w:rsid w:val="18BAC076"/>
    <w:rsid w:val="18C0BAC2"/>
    <w:rsid w:val="18C37752"/>
    <w:rsid w:val="18C37E82"/>
    <w:rsid w:val="18D79CE8"/>
    <w:rsid w:val="18D7C406"/>
    <w:rsid w:val="18D9D85F"/>
    <w:rsid w:val="18DC797A"/>
    <w:rsid w:val="18DD5573"/>
    <w:rsid w:val="18E218DF"/>
    <w:rsid w:val="18E536FE"/>
    <w:rsid w:val="18E90D41"/>
    <w:rsid w:val="18EFE9C6"/>
    <w:rsid w:val="18F2F3DC"/>
    <w:rsid w:val="18FB3E1D"/>
    <w:rsid w:val="18FFA03C"/>
    <w:rsid w:val="19068DE0"/>
    <w:rsid w:val="190BE60B"/>
    <w:rsid w:val="190E4E71"/>
    <w:rsid w:val="190F5C4F"/>
    <w:rsid w:val="1913771C"/>
    <w:rsid w:val="1913C2D0"/>
    <w:rsid w:val="191511C1"/>
    <w:rsid w:val="191F545E"/>
    <w:rsid w:val="19217F14"/>
    <w:rsid w:val="19227E73"/>
    <w:rsid w:val="1924BE0F"/>
    <w:rsid w:val="1929D3B3"/>
    <w:rsid w:val="192B276F"/>
    <w:rsid w:val="192FCF9D"/>
    <w:rsid w:val="193374C4"/>
    <w:rsid w:val="1935CF42"/>
    <w:rsid w:val="19362BCE"/>
    <w:rsid w:val="19366C4E"/>
    <w:rsid w:val="194E31B5"/>
    <w:rsid w:val="1951E98F"/>
    <w:rsid w:val="1960458B"/>
    <w:rsid w:val="196454DC"/>
    <w:rsid w:val="1965983C"/>
    <w:rsid w:val="1968941C"/>
    <w:rsid w:val="196906F7"/>
    <w:rsid w:val="196A437E"/>
    <w:rsid w:val="196B5551"/>
    <w:rsid w:val="196D6881"/>
    <w:rsid w:val="19739719"/>
    <w:rsid w:val="1974D2CF"/>
    <w:rsid w:val="197559D6"/>
    <w:rsid w:val="19785D71"/>
    <w:rsid w:val="197FE1F0"/>
    <w:rsid w:val="1982765A"/>
    <w:rsid w:val="19830089"/>
    <w:rsid w:val="19883C22"/>
    <w:rsid w:val="1988CE58"/>
    <w:rsid w:val="198CF2B1"/>
    <w:rsid w:val="198D7D8D"/>
    <w:rsid w:val="199C7AA2"/>
    <w:rsid w:val="19A15F6F"/>
    <w:rsid w:val="19A1671E"/>
    <w:rsid w:val="19A971EA"/>
    <w:rsid w:val="19AF3CE2"/>
    <w:rsid w:val="19AFF0FC"/>
    <w:rsid w:val="19B2E285"/>
    <w:rsid w:val="19BA2BF9"/>
    <w:rsid w:val="19C3EFE6"/>
    <w:rsid w:val="19C4F194"/>
    <w:rsid w:val="19CAA874"/>
    <w:rsid w:val="19CF5356"/>
    <w:rsid w:val="19DC061F"/>
    <w:rsid w:val="19E23239"/>
    <w:rsid w:val="19E26BE1"/>
    <w:rsid w:val="19E63F1F"/>
    <w:rsid w:val="19EB6ABC"/>
    <w:rsid w:val="19EBDF50"/>
    <w:rsid w:val="19ED68BA"/>
    <w:rsid w:val="19EEB57B"/>
    <w:rsid w:val="19EED8F0"/>
    <w:rsid w:val="19F1FB45"/>
    <w:rsid w:val="19F49CD5"/>
    <w:rsid w:val="19F63F7C"/>
    <w:rsid w:val="1A0D5F72"/>
    <w:rsid w:val="1A0F623A"/>
    <w:rsid w:val="1A193D74"/>
    <w:rsid w:val="1A1DFA16"/>
    <w:rsid w:val="1A218FA1"/>
    <w:rsid w:val="1A237F28"/>
    <w:rsid w:val="1A292623"/>
    <w:rsid w:val="1A2C5148"/>
    <w:rsid w:val="1A2F6588"/>
    <w:rsid w:val="1A3336F8"/>
    <w:rsid w:val="1A37C95B"/>
    <w:rsid w:val="1A3B9DA6"/>
    <w:rsid w:val="1A3F5620"/>
    <w:rsid w:val="1A41EF62"/>
    <w:rsid w:val="1A5608FC"/>
    <w:rsid w:val="1A565781"/>
    <w:rsid w:val="1A5DB0DA"/>
    <w:rsid w:val="1A649D69"/>
    <w:rsid w:val="1A64BCDF"/>
    <w:rsid w:val="1A65D046"/>
    <w:rsid w:val="1A680CD8"/>
    <w:rsid w:val="1A72B1B8"/>
    <w:rsid w:val="1A737577"/>
    <w:rsid w:val="1A83FDA4"/>
    <w:rsid w:val="1A860FB1"/>
    <w:rsid w:val="1A875672"/>
    <w:rsid w:val="1A886E07"/>
    <w:rsid w:val="1A8D8DDD"/>
    <w:rsid w:val="1A936EAB"/>
    <w:rsid w:val="1A98B81B"/>
    <w:rsid w:val="1A98CECB"/>
    <w:rsid w:val="1A9F2B29"/>
    <w:rsid w:val="1AA9D5D8"/>
    <w:rsid w:val="1AB982CD"/>
    <w:rsid w:val="1ABA5247"/>
    <w:rsid w:val="1ABCD0F6"/>
    <w:rsid w:val="1ABE5E55"/>
    <w:rsid w:val="1AC050DC"/>
    <w:rsid w:val="1AC167EF"/>
    <w:rsid w:val="1ACAD884"/>
    <w:rsid w:val="1ACE14E3"/>
    <w:rsid w:val="1AD3F259"/>
    <w:rsid w:val="1ADCFC41"/>
    <w:rsid w:val="1ADD25EC"/>
    <w:rsid w:val="1ADDA886"/>
    <w:rsid w:val="1AE0C498"/>
    <w:rsid w:val="1AE848CD"/>
    <w:rsid w:val="1AEBBCD3"/>
    <w:rsid w:val="1AEC7511"/>
    <w:rsid w:val="1AEDE201"/>
    <w:rsid w:val="1AEE0EA9"/>
    <w:rsid w:val="1AF0BD9B"/>
    <w:rsid w:val="1B00253D"/>
    <w:rsid w:val="1B09C05D"/>
    <w:rsid w:val="1B0A7ACB"/>
    <w:rsid w:val="1B161BE2"/>
    <w:rsid w:val="1B1837EC"/>
    <w:rsid w:val="1B213C56"/>
    <w:rsid w:val="1B22EDC7"/>
    <w:rsid w:val="1B27B746"/>
    <w:rsid w:val="1B282B9A"/>
    <w:rsid w:val="1B2BF62A"/>
    <w:rsid w:val="1B309BF6"/>
    <w:rsid w:val="1B313EDE"/>
    <w:rsid w:val="1B327801"/>
    <w:rsid w:val="1B34A3D8"/>
    <w:rsid w:val="1B376752"/>
    <w:rsid w:val="1B3D65C0"/>
    <w:rsid w:val="1B42DA75"/>
    <w:rsid w:val="1B452B0D"/>
    <w:rsid w:val="1B525935"/>
    <w:rsid w:val="1B545FF4"/>
    <w:rsid w:val="1B56F879"/>
    <w:rsid w:val="1B5CE612"/>
    <w:rsid w:val="1B609C7C"/>
    <w:rsid w:val="1B6474A2"/>
    <w:rsid w:val="1B6845D0"/>
    <w:rsid w:val="1B6903D8"/>
    <w:rsid w:val="1B6A85E2"/>
    <w:rsid w:val="1B6DF466"/>
    <w:rsid w:val="1B7229E7"/>
    <w:rsid w:val="1B7322C4"/>
    <w:rsid w:val="1B73B13B"/>
    <w:rsid w:val="1B741635"/>
    <w:rsid w:val="1B769289"/>
    <w:rsid w:val="1B7B09B0"/>
    <w:rsid w:val="1B801A4E"/>
    <w:rsid w:val="1B80E86A"/>
    <w:rsid w:val="1B88E553"/>
    <w:rsid w:val="1B9235BA"/>
    <w:rsid w:val="1B9B7AD2"/>
    <w:rsid w:val="1BA8F630"/>
    <w:rsid w:val="1BAD2649"/>
    <w:rsid w:val="1BAE0C60"/>
    <w:rsid w:val="1BB22307"/>
    <w:rsid w:val="1BB690A5"/>
    <w:rsid w:val="1BB96707"/>
    <w:rsid w:val="1BD11BFE"/>
    <w:rsid w:val="1BD49D74"/>
    <w:rsid w:val="1BD647BB"/>
    <w:rsid w:val="1BD80819"/>
    <w:rsid w:val="1BD9253B"/>
    <w:rsid w:val="1BE6263E"/>
    <w:rsid w:val="1BE6B756"/>
    <w:rsid w:val="1BEBEACD"/>
    <w:rsid w:val="1BF5D79A"/>
    <w:rsid w:val="1BFA0C45"/>
    <w:rsid w:val="1BFF623B"/>
    <w:rsid w:val="1C03DD39"/>
    <w:rsid w:val="1C0B0DC5"/>
    <w:rsid w:val="1C0F16B1"/>
    <w:rsid w:val="1C12ED0B"/>
    <w:rsid w:val="1C1A8354"/>
    <w:rsid w:val="1C1BAC3C"/>
    <w:rsid w:val="1C1DADEF"/>
    <w:rsid w:val="1C20689A"/>
    <w:rsid w:val="1C2264C9"/>
    <w:rsid w:val="1C26B113"/>
    <w:rsid w:val="1C2AC1B8"/>
    <w:rsid w:val="1C2B00AA"/>
    <w:rsid w:val="1C2FB16E"/>
    <w:rsid w:val="1C374459"/>
    <w:rsid w:val="1C3ABCF0"/>
    <w:rsid w:val="1C3FB2E5"/>
    <w:rsid w:val="1C45C33E"/>
    <w:rsid w:val="1C45EF33"/>
    <w:rsid w:val="1C4642E6"/>
    <w:rsid w:val="1C4EC6B8"/>
    <w:rsid w:val="1C4EF3D0"/>
    <w:rsid w:val="1C5508F9"/>
    <w:rsid w:val="1C6DF943"/>
    <w:rsid w:val="1C75C184"/>
    <w:rsid w:val="1C8EB20E"/>
    <w:rsid w:val="1C90DCE7"/>
    <w:rsid w:val="1C93A97D"/>
    <w:rsid w:val="1C940AB4"/>
    <w:rsid w:val="1C9595D3"/>
    <w:rsid w:val="1C978696"/>
    <w:rsid w:val="1C981538"/>
    <w:rsid w:val="1C99CB2E"/>
    <w:rsid w:val="1C9D133C"/>
    <w:rsid w:val="1CA2AC84"/>
    <w:rsid w:val="1CA3184E"/>
    <w:rsid w:val="1CA363F8"/>
    <w:rsid w:val="1CA4048D"/>
    <w:rsid w:val="1CA49ABC"/>
    <w:rsid w:val="1CA8D9F6"/>
    <w:rsid w:val="1CAC19DE"/>
    <w:rsid w:val="1CAC99F2"/>
    <w:rsid w:val="1CB0B864"/>
    <w:rsid w:val="1CB46B1B"/>
    <w:rsid w:val="1CBF0A7C"/>
    <w:rsid w:val="1CC143FE"/>
    <w:rsid w:val="1CC68ADF"/>
    <w:rsid w:val="1CCD1A8A"/>
    <w:rsid w:val="1CCD42F8"/>
    <w:rsid w:val="1CD3C2F5"/>
    <w:rsid w:val="1CE8F583"/>
    <w:rsid w:val="1CEB34CE"/>
    <w:rsid w:val="1CEDB6FB"/>
    <w:rsid w:val="1CF0209C"/>
    <w:rsid w:val="1CF05F3D"/>
    <w:rsid w:val="1CF573BE"/>
    <w:rsid w:val="1CFB1281"/>
    <w:rsid w:val="1D15F07C"/>
    <w:rsid w:val="1D1698BA"/>
    <w:rsid w:val="1D1FAFAC"/>
    <w:rsid w:val="1D2DCB6A"/>
    <w:rsid w:val="1D2FDB8A"/>
    <w:rsid w:val="1D3F305D"/>
    <w:rsid w:val="1D459AC0"/>
    <w:rsid w:val="1D48E080"/>
    <w:rsid w:val="1D48F0A2"/>
    <w:rsid w:val="1D5146BA"/>
    <w:rsid w:val="1D545DB6"/>
    <w:rsid w:val="1D54BEF1"/>
    <w:rsid w:val="1D56AC97"/>
    <w:rsid w:val="1D5E1CF1"/>
    <w:rsid w:val="1D5F4B87"/>
    <w:rsid w:val="1D604651"/>
    <w:rsid w:val="1D68D0CC"/>
    <w:rsid w:val="1D6A48FB"/>
    <w:rsid w:val="1D6D325E"/>
    <w:rsid w:val="1D706A42"/>
    <w:rsid w:val="1D783F60"/>
    <w:rsid w:val="1D7E8B9E"/>
    <w:rsid w:val="1D8037E6"/>
    <w:rsid w:val="1D89524B"/>
    <w:rsid w:val="1D904729"/>
    <w:rsid w:val="1D90EB84"/>
    <w:rsid w:val="1D9FAD9A"/>
    <w:rsid w:val="1DA59802"/>
    <w:rsid w:val="1DB10F3B"/>
    <w:rsid w:val="1DB203D3"/>
    <w:rsid w:val="1DBD1022"/>
    <w:rsid w:val="1DC12862"/>
    <w:rsid w:val="1DC2FBC5"/>
    <w:rsid w:val="1DC59A2D"/>
    <w:rsid w:val="1DD601CD"/>
    <w:rsid w:val="1DDA5066"/>
    <w:rsid w:val="1DDEC7CA"/>
    <w:rsid w:val="1DDEE2D2"/>
    <w:rsid w:val="1DEAA0CB"/>
    <w:rsid w:val="1DEE4D9B"/>
    <w:rsid w:val="1DFAA24B"/>
    <w:rsid w:val="1E078BA2"/>
    <w:rsid w:val="1E0798FC"/>
    <w:rsid w:val="1E0BB7A9"/>
    <w:rsid w:val="1E10E86E"/>
    <w:rsid w:val="1E12E889"/>
    <w:rsid w:val="1E1F122E"/>
    <w:rsid w:val="1E242F95"/>
    <w:rsid w:val="1E28CA3A"/>
    <w:rsid w:val="1E296B05"/>
    <w:rsid w:val="1E2A3D48"/>
    <w:rsid w:val="1E2FB13B"/>
    <w:rsid w:val="1E37B17F"/>
    <w:rsid w:val="1E3FC6B0"/>
    <w:rsid w:val="1E43E6D5"/>
    <w:rsid w:val="1E4479EF"/>
    <w:rsid w:val="1E469728"/>
    <w:rsid w:val="1E4AD13C"/>
    <w:rsid w:val="1E594D2F"/>
    <w:rsid w:val="1E5F6103"/>
    <w:rsid w:val="1E6C2E0C"/>
    <w:rsid w:val="1E7317E2"/>
    <w:rsid w:val="1E763232"/>
    <w:rsid w:val="1E76A6D0"/>
    <w:rsid w:val="1E787B38"/>
    <w:rsid w:val="1E7CC6ED"/>
    <w:rsid w:val="1E877CD9"/>
    <w:rsid w:val="1E88AD9C"/>
    <w:rsid w:val="1E938DFC"/>
    <w:rsid w:val="1E9D014B"/>
    <w:rsid w:val="1EA314E4"/>
    <w:rsid w:val="1EA3F1CF"/>
    <w:rsid w:val="1EAAA5E9"/>
    <w:rsid w:val="1EABA05B"/>
    <w:rsid w:val="1EB0FB03"/>
    <w:rsid w:val="1EB4CF97"/>
    <w:rsid w:val="1EB7EEDC"/>
    <w:rsid w:val="1EB80D0C"/>
    <w:rsid w:val="1EB8CE81"/>
    <w:rsid w:val="1EBBA67F"/>
    <w:rsid w:val="1EC06488"/>
    <w:rsid w:val="1EC54494"/>
    <w:rsid w:val="1EC71134"/>
    <w:rsid w:val="1ECF6675"/>
    <w:rsid w:val="1ED3DD81"/>
    <w:rsid w:val="1ED69E37"/>
    <w:rsid w:val="1EE5D81A"/>
    <w:rsid w:val="1EE6737B"/>
    <w:rsid w:val="1EE8D22E"/>
    <w:rsid w:val="1EE9C3C9"/>
    <w:rsid w:val="1EF0DFBC"/>
    <w:rsid w:val="1EF177EB"/>
    <w:rsid w:val="1EF8492D"/>
    <w:rsid w:val="1EFB4F53"/>
    <w:rsid w:val="1EFDA058"/>
    <w:rsid w:val="1F013526"/>
    <w:rsid w:val="1F03F382"/>
    <w:rsid w:val="1F04CFE4"/>
    <w:rsid w:val="1F08CC36"/>
    <w:rsid w:val="1F155E16"/>
    <w:rsid w:val="1F15A63D"/>
    <w:rsid w:val="1F16B9C5"/>
    <w:rsid w:val="1F1714CC"/>
    <w:rsid w:val="1F196DA9"/>
    <w:rsid w:val="1F197111"/>
    <w:rsid w:val="1F19A2E9"/>
    <w:rsid w:val="1F1EB76F"/>
    <w:rsid w:val="1F1F6359"/>
    <w:rsid w:val="1F21336D"/>
    <w:rsid w:val="1F2522AC"/>
    <w:rsid w:val="1F254738"/>
    <w:rsid w:val="1F27FC87"/>
    <w:rsid w:val="1F2FA24D"/>
    <w:rsid w:val="1F31372C"/>
    <w:rsid w:val="1F356479"/>
    <w:rsid w:val="1F3973AF"/>
    <w:rsid w:val="1F3D9810"/>
    <w:rsid w:val="1F540A92"/>
    <w:rsid w:val="1F602BAE"/>
    <w:rsid w:val="1F617979"/>
    <w:rsid w:val="1F61FC2D"/>
    <w:rsid w:val="1F672242"/>
    <w:rsid w:val="1F698539"/>
    <w:rsid w:val="1F6CACFE"/>
    <w:rsid w:val="1F6FD42C"/>
    <w:rsid w:val="1F70947A"/>
    <w:rsid w:val="1F7D002A"/>
    <w:rsid w:val="1F7E9438"/>
    <w:rsid w:val="1F7F053D"/>
    <w:rsid w:val="1F83D0CA"/>
    <w:rsid w:val="1F891D22"/>
    <w:rsid w:val="1F8BD4AD"/>
    <w:rsid w:val="1F8C5CA4"/>
    <w:rsid w:val="1F90C7D8"/>
    <w:rsid w:val="1F95A62E"/>
    <w:rsid w:val="1F9687DF"/>
    <w:rsid w:val="1F96F3F9"/>
    <w:rsid w:val="1F9774D9"/>
    <w:rsid w:val="1F9A0235"/>
    <w:rsid w:val="1F9FFC85"/>
    <w:rsid w:val="1FA01417"/>
    <w:rsid w:val="1FAF0657"/>
    <w:rsid w:val="1FB7707D"/>
    <w:rsid w:val="1FB8B390"/>
    <w:rsid w:val="1FB9BF69"/>
    <w:rsid w:val="1FBE299D"/>
    <w:rsid w:val="1FC7696E"/>
    <w:rsid w:val="1FCE6C0F"/>
    <w:rsid w:val="1FD068B7"/>
    <w:rsid w:val="1FD09670"/>
    <w:rsid w:val="1FD33128"/>
    <w:rsid w:val="1FDCCBF1"/>
    <w:rsid w:val="1FDDAFA5"/>
    <w:rsid w:val="1FE90918"/>
    <w:rsid w:val="1FEAA1B3"/>
    <w:rsid w:val="1FF6E18E"/>
    <w:rsid w:val="1FFFFFB1"/>
    <w:rsid w:val="2001B0C4"/>
    <w:rsid w:val="200780AF"/>
    <w:rsid w:val="200FDC83"/>
    <w:rsid w:val="20217ABB"/>
    <w:rsid w:val="2024C413"/>
    <w:rsid w:val="202E8CF0"/>
    <w:rsid w:val="2035FA52"/>
    <w:rsid w:val="203687FA"/>
    <w:rsid w:val="20379F52"/>
    <w:rsid w:val="20398365"/>
    <w:rsid w:val="2040D9F1"/>
    <w:rsid w:val="204BA388"/>
    <w:rsid w:val="205028C7"/>
    <w:rsid w:val="205997F0"/>
    <w:rsid w:val="205DEA91"/>
    <w:rsid w:val="205E489A"/>
    <w:rsid w:val="206BCE93"/>
    <w:rsid w:val="206DBFE9"/>
    <w:rsid w:val="206DF537"/>
    <w:rsid w:val="206FA019"/>
    <w:rsid w:val="207052AC"/>
    <w:rsid w:val="20709CE6"/>
    <w:rsid w:val="20929453"/>
    <w:rsid w:val="209B1E67"/>
    <w:rsid w:val="20A218B4"/>
    <w:rsid w:val="20A5D37A"/>
    <w:rsid w:val="20AA9D0D"/>
    <w:rsid w:val="20AC4B76"/>
    <w:rsid w:val="20ADEA6C"/>
    <w:rsid w:val="20B120C3"/>
    <w:rsid w:val="20B130E6"/>
    <w:rsid w:val="20B89909"/>
    <w:rsid w:val="20B92187"/>
    <w:rsid w:val="20BF5BF0"/>
    <w:rsid w:val="20C492C5"/>
    <w:rsid w:val="20C5318A"/>
    <w:rsid w:val="20C6EBD8"/>
    <w:rsid w:val="20CC66AA"/>
    <w:rsid w:val="20CE3A0E"/>
    <w:rsid w:val="20CED699"/>
    <w:rsid w:val="20D0C6BD"/>
    <w:rsid w:val="20D30AB0"/>
    <w:rsid w:val="20E14C2A"/>
    <w:rsid w:val="20E1E41A"/>
    <w:rsid w:val="20E2113B"/>
    <w:rsid w:val="20E2C80B"/>
    <w:rsid w:val="20E6B85D"/>
    <w:rsid w:val="20E6C13B"/>
    <w:rsid w:val="20E74A9A"/>
    <w:rsid w:val="20E84E87"/>
    <w:rsid w:val="20EC33A1"/>
    <w:rsid w:val="20F0856E"/>
    <w:rsid w:val="20F3D3DA"/>
    <w:rsid w:val="20F54566"/>
    <w:rsid w:val="21005C85"/>
    <w:rsid w:val="2109015A"/>
    <w:rsid w:val="210A1C04"/>
    <w:rsid w:val="210C90F9"/>
    <w:rsid w:val="210E2F19"/>
    <w:rsid w:val="210F321E"/>
    <w:rsid w:val="21100DED"/>
    <w:rsid w:val="21138C04"/>
    <w:rsid w:val="211523AC"/>
    <w:rsid w:val="211A099B"/>
    <w:rsid w:val="211AE2D1"/>
    <w:rsid w:val="211BC9CF"/>
    <w:rsid w:val="212C20BF"/>
    <w:rsid w:val="213155B3"/>
    <w:rsid w:val="21379BED"/>
    <w:rsid w:val="21385959"/>
    <w:rsid w:val="213CEE23"/>
    <w:rsid w:val="213F34E8"/>
    <w:rsid w:val="21426957"/>
    <w:rsid w:val="2148B6D5"/>
    <w:rsid w:val="214CF4BB"/>
    <w:rsid w:val="21564044"/>
    <w:rsid w:val="21565DF3"/>
    <w:rsid w:val="215971A5"/>
    <w:rsid w:val="215AA78F"/>
    <w:rsid w:val="215C783A"/>
    <w:rsid w:val="215DDF97"/>
    <w:rsid w:val="216525C7"/>
    <w:rsid w:val="2165DEE2"/>
    <w:rsid w:val="216C3918"/>
    <w:rsid w:val="216F56E4"/>
    <w:rsid w:val="21700B0A"/>
    <w:rsid w:val="21729A14"/>
    <w:rsid w:val="21786E04"/>
    <w:rsid w:val="217A278B"/>
    <w:rsid w:val="217BA659"/>
    <w:rsid w:val="217C43B7"/>
    <w:rsid w:val="217F6D92"/>
    <w:rsid w:val="218C42A1"/>
    <w:rsid w:val="21941057"/>
    <w:rsid w:val="2194964C"/>
    <w:rsid w:val="21950FE5"/>
    <w:rsid w:val="2195288B"/>
    <w:rsid w:val="219DDDBF"/>
    <w:rsid w:val="219DDF01"/>
    <w:rsid w:val="219E34E0"/>
    <w:rsid w:val="21A04CD7"/>
    <w:rsid w:val="21A40CEA"/>
    <w:rsid w:val="21A884A0"/>
    <w:rsid w:val="21ACBB5F"/>
    <w:rsid w:val="21B006BB"/>
    <w:rsid w:val="21B2C433"/>
    <w:rsid w:val="21CAFB6A"/>
    <w:rsid w:val="21CB8CD4"/>
    <w:rsid w:val="21CDACC1"/>
    <w:rsid w:val="21CEC0F5"/>
    <w:rsid w:val="21D1FAA3"/>
    <w:rsid w:val="21D6AD81"/>
    <w:rsid w:val="21E0F769"/>
    <w:rsid w:val="21EB6B20"/>
    <w:rsid w:val="21EBA348"/>
    <w:rsid w:val="21F33495"/>
    <w:rsid w:val="21F36102"/>
    <w:rsid w:val="21FA5D28"/>
    <w:rsid w:val="21FC60F9"/>
    <w:rsid w:val="22021FA3"/>
    <w:rsid w:val="22034B76"/>
    <w:rsid w:val="220898FC"/>
    <w:rsid w:val="2211435A"/>
    <w:rsid w:val="2212665C"/>
    <w:rsid w:val="2219419A"/>
    <w:rsid w:val="22198522"/>
    <w:rsid w:val="2219E465"/>
    <w:rsid w:val="221BDEB7"/>
    <w:rsid w:val="222AD549"/>
    <w:rsid w:val="222D4664"/>
    <w:rsid w:val="222F6573"/>
    <w:rsid w:val="22311E23"/>
    <w:rsid w:val="2231F4A8"/>
    <w:rsid w:val="2233D8EA"/>
    <w:rsid w:val="223FA8FA"/>
    <w:rsid w:val="22400C26"/>
    <w:rsid w:val="22443FDB"/>
    <w:rsid w:val="224CFD30"/>
    <w:rsid w:val="2259F989"/>
    <w:rsid w:val="225A25C4"/>
    <w:rsid w:val="225FC1F9"/>
    <w:rsid w:val="225FE4B6"/>
    <w:rsid w:val="22635FB7"/>
    <w:rsid w:val="226AFDB6"/>
    <w:rsid w:val="226C6CBD"/>
    <w:rsid w:val="22725ECE"/>
    <w:rsid w:val="227618E5"/>
    <w:rsid w:val="22860409"/>
    <w:rsid w:val="228A8DD9"/>
    <w:rsid w:val="228D2F51"/>
    <w:rsid w:val="2296C985"/>
    <w:rsid w:val="229A04D1"/>
    <w:rsid w:val="229B10B5"/>
    <w:rsid w:val="22A3F6DF"/>
    <w:rsid w:val="22A716DD"/>
    <w:rsid w:val="22A76C85"/>
    <w:rsid w:val="22B62EA9"/>
    <w:rsid w:val="22B7401E"/>
    <w:rsid w:val="22BD6F5C"/>
    <w:rsid w:val="22C37D83"/>
    <w:rsid w:val="22D21F75"/>
    <w:rsid w:val="22D3F0EA"/>
    <w:rsid w:val="22DA18AE"/>
    <w:rsid w:val="22DB72DA"/>
    <w:rsid w:val="22DD8F0E"/>
    <w:rsid w:val="22E9FC32"/>
    <w:rsid w:val="22F1AD2D"/>
    <w:rsid w:val="22F735BD"/>
    <w:rsid w:val="22F86B73"/>
    <w:rsid w:val="22F960CC"/>
    <w:rsid w:val="22FB9445"/>
    <w:rsid w:val="22FD4699"/>
    <w:rsid w:val="22FE86FE"/>
    <w:rsid w:val="22FFBCEA"/>
    <w:rsid w:val="23001BF3"/>
    <w:rsid w:val="2300DC33"/>
    <w:rsid w:val="2300F226"/>
    <w:rsid w:val="2303225E"/>
    <w:rsid w:val="2305A09E"/>
    <w:rsid w:val="2313EEFF"/>
    <w:rsid w:val="2315277E"/>
    <w:rsid w:val="23199C30"/>
    <w:rsid w:val="231EA928"/>
    <w:rsid w:val="231FA5B0"/>
    <w:rsid w:val="2321B5B2"/>
    <w:rsid w:val="23262259"/>
    <w:rsid w:val="233659BC"/>
    <w:rsid w:val="23367DBA"/>
    <w:rsid w:val="233863E4"/>
    <w:rsid w:val="233E44C2"/>
    <w:rsid w:val="2349D3B8"/>
    <w:rsid w:val="234D8EA1"/>
    <w:rsid w:val="235061D4"/>
    <w:rsid w:val="23506EC8"/>
    <w:rsid w:val="23626412"/>
    <w:rsid w:val="236A9156"/>
    <w:rsid w:val="236EC014"/>
    <w:rsid w:val="236FEC6F"/>
    <w:rsid w:val="23724A4F"/>
    <w:rsid w:val="2375623F"/>
    <w:rsid w:val="23803214"/>
    <w:rsid w:val="23822230"/>
    <w:rsid w:val="23841F55"/>
    <w:rsid w:val="2384D475"/>
    <w:rsid w:val="238A60D2"/>
    <w:rsid w:val="2394C44E"/>
    <w:rsid w:val="23A53C49"/>
    <w:rsid w:val="23A73E9D"/>
    <w:rsid w:val="23A7E37C"/>
    <w:rsid w:val="23AB582C"/>
    <w:rsid w:val="23B12411"/>
    <w:rsid w:val="23B77F21"/>
    <w:rsid w:val="23BD41B5"/>
    <w:rsid w:val="23C0F930"/>
    <w:rsid w:val="23CABBE4"/>
    <w:rsid w:val="23CB3DFD"/>
    <w:rsid w:val="23CCA64F"/>
    <w:rsid w:val="23CD4134"/>
    <w:rsid w:val="23D2FD4F"/>
    <w:rsid w:val="23DDAD78"/>
    <w:rsid w:val="23DE99FB"/>
    <w:rsid w:val="23E5913E"/>
    <w:rsid w:val="23E75753"/>
    <w:rsid w:val="23E7B307"/>
    <w:rsid w:val="23E89E3D"/>
    <w:rsid w:val="23E9D8ED"/>
    <w:rsid w:val="23EAFE89"/>
    <w:rsid w:val="23EC912B"/>
    <w:rsid w:val="23F194A0"/>
    <w:rsid w:val="23F1EEF5"/>
    <w:rsid w:val="23F565B6"/>
    <w:rsid w:val="23FB9F49"/>
    <w:rsid w:val="24034AB5"/>
    <w:rsid w:val="240F503D"/>
    <w:rsid w:val="241353D6"/>
    <w:rsid w:val="2417BBF2"/>
    <w:rsid w:val="24258781"/>
    <w:rsid w:val="2426A659"/>
    <w:rsid w:val="242DFB04"/>
    <w:rsid w:val="242F6AE0"/>
    <w:rsid w:val="242F9E6B"/>
    <w:rsid w:val="2433C7D0"/>
    <w:rsid w:val="2434CBC1"/>
    <w:rsid w:val="2436FB54"/>
    <w:rsid w:val="24385A0A"/>
    <w:rsid w:val="243A5737"/>
    <w:rsid w:val="243A8F59"/>
    <w:rsid w:val="2451632C"/>
    <w:rsid w:val="2455DD01"/>
    <w:rsid w:val="24627E41"/>
    <w:rsid w:val="2464B269"/>
    <w:rsid w:val="2465D620"/>
    <w:rsid w:val="246C3C40"/>
    <w:rsid w:val="246CE8E8"/>
    <w:rsid w:val="246E9B04"/>
    <w:rsid w:val="2473853A"/>
    <w:rsid w:val="2476DA80"/>
    <w:rsid w:val="247A700B"/>
    <w:rsid w:val="247B9BEA"/>
    <w:rsid w:val="2480AF07"/>
    <w:rsid w:val="24810A54"/>
    <w:rsid w:val="248483DE"/>
    <w:rsid w:val="248A4F7C"/>
    <w:rsid w:val="24910D47"/>
    <w:rsid w:val="24943BD4"/>
    <w:rsid w:val="2494ADD7"/>
    <w:rsid w:val="249BEC54"/>
    <w:rsid w:val="24B05959"/>
    <w:rsid w:val="24B27A44"/>
    <w:rsid w:val="24B454B2"/>
    <w:rsid w:val="24BC32DA"/>
    <w:rsid w:val="24BC688C"/>
    <w:rsid w:val="24C3AEB7"/>
    <w:rsid w:val="24C72933"/>
    <w:rsid w:val="24CEDD3F"/>
    <w:rsid w:val="24D3A6E5"/>
    <w:rsid w:val="24DF060A"/>
    <w:rsid w:val="24E45C21"/>
    <w:rsid w:val="24E7CA38"/>
    <w:rsid w:val="24EB7678"/>
    <w:rsid w:val="24ED5D1E"/>
    <w:rsid w:val="24EEF8C9"/>
    <w:rsid w:val="25017728"/>
    <w:rsid w:val="2501BC63"/>
    <w:rsid w:val="250341DC"/>
    <w:rsid w:val="25068412"/>
    <w:rsid w:val="250805A4"/>
    <w:rsid w:val="250A53C4"/>
    <w:rsid w:val="250ED161"/>
    <w:rsid w:val="251166DE"/>
    <w:rsid w:val="25149F48"/>
    <w:rsid w:val="2515E252"/>
    <w:rsid w:val="25184337"/>
    <w:rsid w:val="251B8A12"/>
    <w:rsid w:val="251BBCEB"/>
    <w:rsid w:val="25269835"/>
    <w:rsid w:val="2531AA07"/>
    <w:rsid w:val="25342D56"/>
    <w:rsid w:val="2542325F"/>
    <w:rsid w:val="25440E09"/>
    <w:rsid w:val="2548BFB6"/>
    <w:rsid w:val="25522FD9"/>
    <w:rsid w:val="25558044"/>
    <w:rsid w:val="25603507"/>
    <w:rsid w:val="2566D756"/>
    <w:rsid w:val="25674DB9"/>
    <w:rsid w:val="25691195"/>
    <w:rsid w:val="25691DFD"/>
    <w:rsid w:val="256E7BF2"/>
    <w:rsid w:val="25712178"/>
    <w:rsid w:val="25725922"/>
    <w:rsid w:val="257278B1"/>
    <w:rsid w:val="2575A771"/>
    <w:rsid w:val="2584F491"/>
    <w:rsid w:val="25859EF0"/>
    <w:rsid w:val="2585DDEC"/>
    <w:rsid w:val="25888F79"/>
    <w:rsid w:val="258C1BFE"/>
    <w:rsid w:val="258F0F26"/>
    <w:rsid w:val="2593A6DD"/>
    <w:rsid w:val="259B2CB4"/>
    <w:rsid w:val="259BEB0E"/>
    <w:rsid w:val="259D57CA"/>
    <w:rsid w:val="259F480A"/>
    <w:rsid w:val="25A1F602"/>
    <w:rsid w:val="25A6EEBA"/>
    <w:rsid w:val="25A9CB9A"/>
    <w:rsid w:val="25AA265E"/>
    <w:rsid w:val="25B10F83"/>
    <w:rsid w:val="25B1EB95"/>
    <w:rsid w:val="25B6FD19"/>
    <w:rsid w:val="25B9E574"/>
    <w:rsid w:val="25BB9220"/>
    <w:rsid w:val="25BCF58F"/>
    <w:rsid w:val="25C7E4F6"/>
    <w:rsid w:val="25C7E54E"/>
    <w:rsid w:val="25D153AD"/>
    <w:rsid w:val="25D4C14C"/>
    <w:rsid w:val="25D673DF"/>
    <w:rsid w:val="25E7F19B"/>
    <w:rsid w:val="25E898FC"/>
    <w:rsid w:val="25E9DB17"/>
    <w:rsid w:val="25EAA03F"/>
    <w:rsid w:val="25F36EFB"/>
    <w:rsid w:val="25F8A620"/>
    <w:rsid w:val="25FB3DFD"/>
    <w:rsid w:val="25FBF2C5"/>
    <w:rsid w:val="26015C34"/>
    <w:rsid w:val="26100C0D"/>
    <w:rsid w:val="26156D92"/>
    <w:rsid w:val="261E06E1"/>
    <w:rsid w:val="26261F22"/>
    <w:rsid w:val="262AA5AB"/>
    <w:rsid w:val="262BC616"/>
    <w:rsid w:val="2630507E"/>
    <w:rsid w:val="263E4412"/>
    <w:rsid w:val="263FF470"/>
    <w:rsid w:val="26402740"/>
    <w:rsid w:val="26432FF9"/>
    <w:rsid w:val="26487DB5"/>
    <w:rsid w:val="265D3233"/>
    <w:rsid w:val="265D77CD"/>
    <w:rsid w:val="266032EE"/>
    <w:rsid w:val="2660C81D"/>
    <w:rsid w:val="26650E6C"/>
    <w:rsid w:val="266A5F82"/>
    <w:rsid w:val="266DB44E"/>
    <w:rsid w:val="266EF29B"/>
    <w:rsid w:val="2671D530"/>
    <w:rsid w:val="267454E6"/>
    <w:rsid w:val="26749448"/>
    <w:rsid w:val="2677EB33"/>
    <w:rsid w:val="2678DFCE"/>
    <w:rsid w:val="26797340"/>
    <w:rsid w:val="267C79A5"/>
    <w:rsid w:val="267D14BB"/>
    <w:rsid w:val="267D1877"/>
    <w:rsid w:val="267D47AF"/>
    <w:rsid w:val="26802C82"/>
    <w:rsid w:val="2686A644"/>
    <w:rsid w:val="2689969B"/>
    <w:rsid w:val="268CF72D"/>
    <w:rsid w:val="268FA5EB"/>
    <w:rsid w:val="269A18F2"/>
    <w:rsid w:val="269C5AFF"/>
    <w:rsid w:val="269F1F63"/>
    <w:rsid w:val="26A48980"/>
    <w:rsid w:val="26A59EBC"/>
    <w:rsid w:val="26A7D270"/>
    <w:rsid w:val="26A9169A"/>
    <w:rsid w:val="26AC3068"/>
    <w:rsid w:val="26B4DF23"/>
    <w:rsid w:val="26B5B973"/>
    <w:rsid w:val="26C96EB0"/>
    <w:rsid w:val="26CDAB96"/>
    <w:rsid w:val="26CEBC08"/>
    <w:rsid w:val="26D004F8"/>
    <w:rsid w:val="26D10E04"/>
    <w:rsid w:val="26D2158B"/>
    <w:rsid w:val="26D3812B"/>
    <w:rsid w:val="26D57B82"/>
    <w:rsid w:val="26D7582E"/>
    <w:rsid w:val="26D9CFA6"/>
    <w:rsid w:val="26DD905F"/>
    <w:rsid w:val="26DD913C"/>
    <w:rsid w:val="26ED44F6"/>
    <w:rsid w:val="26FAE90B"/>
    <w:rsid w:val="26FFBB19"/>
    <w:rsid w:val="27054D78"/>
    <w:rsid w:val="270F26F6"/>
    <w:rsid w:val="271658F9"/>
    <w:rsid w:val="27178F79"/>
    <w:rsid w:val="2719972E"/>
    <w:rsid w:val="27231D6D"/>
    <w:rsid w:val="272D9372"/>
    <w:rsid w:val="272F6981"/>
    <w:rsid w:val="27312A80"/>
    <w:rsid w:val="2732E902"/>
    <w:rsid w:val="273915BC"/>
    <w:rsid w:val="2739D318"/>
    <w:rsid w:val="273AFB15"/>
    <w:rsid w:val="273F31AB"/>
    <w:rsid w:val="2740E053"/>
    <w:rsid w:val="2743824F"/>
    <w:rsid w:val="2746D4DD"/>
    <w:rsid w:val="274A35D3"/>
    <w:rsid w:val="27517C5B"/>
    <w:rsid w:val="2757FD0B"/>
    <w:rsid w:val="275B1C75"/>
    <w:rsid w:val="275BBB67"/>
    <w:rsid w:val="275BCAE3"/>
    <w:rsid w:val="275FF2E9"/>
    <w:rsid w:val="27644F14"/>
    <w:rsid w:val="276A8A4F"/>
    <w:rsid w:val="277A25B6"/>
    <w:rsid w:val="2782FEF8"/>
    <w:rsid w:val="278AF3DA"/>
    <w:rsid w:val="278E8B49"/>
    <w:rsid w:val="2792BFE4"/>
    <w:rsid w:val="27962DDF"/>
    <w:rsid w:val="279FCE8C"/>
    <w:rsid w:val="27A178DC"/>
    <w:rsid w:val="27A1AD25"/>
    <w:rsid w:val="27A2F579"/>
    <w:rsid w:val="27ACB295"/>
    <w:rsid w:val="27BA5623"/>
    <w:rsid w:val="27BD6993"/>
    <w:rsid w:val="27BE253E"/>
    <w:rsid w:val="27C70BC8"/>
    <w:rsid w:val="27CDD700"/>
    <w:rsid w:val="27CF7044"/>
    <w:rsid w:val="27D2F30D"/>
    <w:rsid w:val="27DBB3F5"/>
    <w:rsid w:val="27E4E50C"/>
    <w:rsid w:val="27E57E23"/>
    <w:rsid w:val="27E5C5EB"/>
    <w:rsid w:val="27EDBF79"/>
    <w:rsid w:val="27F59FDC"/>
    <w:rsid w:val="27FAC626"/>
    <w:rsid w:val="2801FFA5"/>
    <w:rsid w:val="2802D414"/>
    <w:rsid w:val="280649C3"/>
    <w:rsid w:val="28081996"/>
    <w:rsid w:val="280BDE54"/>
    <w:rsid w:val="28120F65"/>
    <w:rsid w:val="2818282A"/>
    <w:rsid w:val="28198724"/>
    <w:rsid w:val="281DA1AF"/>
    <w:rsid w:val="2821EB15"/>
    <w:rsid w:val="2823A3E0"/>
    <w:rsid w:val="28280A97"/>
    <w:rsid w:val="282A9177"/>
    <w:rsid w:val="282EDD14"/>
    <w:rsid w:val="283389F3"/>
    <w:rsid w:val="2839C286"/>
    <w:rsid w:val="283B4B32"/>
    <w:rsid w:val="283B528E"/>
    <w:rsid w:val="283BB845"/>
    <w:rsid w:val="2841728B"/>
    <w:rsid w:val="28439507"/>
    <w:rsid w:val="28454C9D"/>
    <w:rsid w:val="2847A879"/>
    <w:rsid w:val="284B58DD"/>
    <w:rsid w:val="284D9C59"/>
    <w:rsid w:val="284E3D33"/>
    <w:rsid w:val="2858A8D0"/>
    <w:rsid w:val="28597EE8"/>
    <w:rsid w:val="285E1EF7"/>
    <w:rsid w:val="285E97A9"/>
    <w:rsid w:val="28605BFB"/>
    <w:rsid w:val="286138E7"/>
    <w:rsid w:val="2862B93C"/>
    <w:rsid w:val="28644DB2"/>
    <w:rsid w:val="2873288F"/>
    <w:rsid w:val="288B107D"/>
    <w:rsid w:val="2893D694"/>
    <w:rsid w:val="289A0EA1"/>
    <w:rsid w:val="289AE870"/>
    <w:rsid w:val="289B8369"/>
    <w:rsid w:val="28A1A486"/>
    <w:rsid w:val="28A2A99F"/>
    <w:rsid w:val="28A7478F"/>
    <w:rsid w:val="28A9E005"/>
    <w:rsid w:val="28AEF5EB"/>
    <w:rsid w:val="28AFEBA2"/>
    <w:rsid w:val="28B5678F"/>
    <w:rsid w:val="28B6D70B"/>
    <w:rsid w:val="28BE2F43"/>
    <w:rsid w:val="28C959A2"/>
    <w:rsid w:val="28C99FE4"/>
    <w:rsid w:val="28D051E0"/>
    <w:rsid w:val="28EB387D"/>
    <w:rsid w:val="28EC2F79"/>
    <w:rsid w:val="28F0F00E"/>
    <w:rsid w:val="28F57F7F"/>
    <w:rsid w:val="28FD85AC"/>
    <w:rsid w:val="28FD85D9"/>
    <w:rsid w:val="2900179B"/>
    <w:rsid w:val="29039016"/>
    <w:rsid w:val="2915C5BC"/>
    <w:rsid w:val="291FBE41"/>
    <w:rsid w:val="2926D4D7"/>
    <w:rsid w:val="2927E2D1"/>
    <w:rsid w:val="292B91C5"/>
    <w:rsid w:val="292BBABF"/>
    <w:rsid w:val="29323584"/>
    <w:rsid w:val="293EA8B2"/>
    <w:rsid w:val="294F8889"/>
    <w:rsid w:val="29547D9E"/>
    <w:rsid w:val="2958B310"/>
    <w:rsid w:val="295D11C4"/>
    <w:rsid w:val="295DD36C"/>
    <w:rsid w:val="295E625A"/>
    <w:rsid w:val="2962B555"/>
    <w:rsid w:val="296C0DF6"/>
    <w:rsid w:val="296FB29D"/>
    <w:rsid w:val="2972BDF1"/>
    <w:rsid w:val="2972E733"/>
    <w:rsid w:val="2974F6A6"/>
    <w:rsid w:val="29761F66"/>
    <w:rsid w:val="29789D84"/>
    <w:rsid w:val="29794607"/>
    <w:rsid w:val="298AE9FA"/>
    <w:rsid w:val="299F7BAC"/>
    <w:rsid w:val="29A95DD1"/>
    <w:rsid w:val="29ABABDB"/>
    <w:rsid w:val="29AEE0B3"/>
    <w:rsid w:val="29B7BC6C"/>
    <w:rsid w:val="29BC1907"/>
    <w:rsid w:val="29BEC11E"/>
    <w:rsid w:val="29BED906"/>
    <w:rsid w:val="29C0B690"/>
    <w:rsid w:val="29C12FA5"/>
    <w:rsid w:val="29C37FDB"/>
    <w:rsid w:val="29C75EEC"/>
    <w:rsid w:val="29C88078"/>
    <w:rsid w:val="29D1DFED"/>
    <w:rsid w:val="29D5650A"/>
    <w:rsid w:val="29E201E9"/>
    <w:rsid w:val="29EDDA01"/>
    <w:rsid w:val="29EDE249"/>
    <w:rsid w:val="29EDF3B8"/>
    <w:rsid w:val="29F6F151"/>
    <w:rsid w:val="29FC2784"/>
    <w:rsid w:val="29FF226E"/>
    <w:rsid w:val="2A01C734"/>
    <w:rsid w:val="2A03095B"/>
    <w:rsid w:val="2A06E2D4"/>
    <w:rsid w:val="2A1085B4"/>
    <w:rsid w:val="2A110086"/>
    <w:rsid w:val="2A1326AA"/>
    <w:rsid w:val="2A143A19"/>
    <w:rsid w:val="2A1804BB"/>
    <w:rsid w:val="2A1AC0C7"/>
    <w:rsid w:val="2A24E5B8"/>
    <w:rsid w:val="2A24E639"/>
    <w:rsid w:val="2A335A40"/>
    <w:rsid w:val="2A40C927"/>
    <w:rsid w:val="2A422229"/>
    <w:rsid w:val="2A4716AB"/>
    <w:rsid w:val="2A4982FB"/>
    <w:rsid w:val="2A4F0ECA"/>
    <w:rsid w:val="2A5772E0"/>
    <w:rsid w:val="2A599DEF"/>
    <w:rsid w:val="2A5E88C6"/>
    <w:rsid w:val="2A616F6D"/>
    <w:rsid w:val="2A62F9AB"/>
    <w:rsid w:val="2A68D70D"/>
    <w:rsid w:val="2A6DBACF"/>
    <w:rsid w:val="2A6F9927"/>
    <w:rsid w:val="2A76CC06"/>
    <w:rsid w:val="2A890A12"/>
    <w:rsid w:val="2A8B8889"/>
    <w:rsid w:val="2A928AB4"/>
    <w:rsid w:val="2A943492"/>
    <w:rsid w:val="2A97CE73"/>
    <w:rsid w:val="2A9BFA90"/>
    <w:rsid w:val="2A9D4367"/>
    <w:rsid w:val="2A9F5EFE"/>
    <w:rsid w:val="2AA3E46C"/>
    <w:rsid w:val="2AA6D03E"/>
    <w:rsid w:val="2AA70E43"/>
    <w:rsid w:val="2AAB03CE"/>
    <w:rsid w:val="2AB75D30"/>
    <w:rsid w:val="2AB7D7E4"/>
    <w:rsid w:val="2ABB3666"/>
    <w:rsid w:val="2ABDD16E"/>
    <w:rsid w:val="2AC90777"/>
    <w:rsid w:val="2AD21D11"/>
    <w:rsid w:val="2AD2E834"/>
    <w:rsid w:val="2AE0C00C"/>
    <w:rsid w:val="2AE3B564"/>
    <w:rsid w:val="2AE4A26C"/>
    <w:rsid w:val="2AE8CA89"/>
    <w:rsid w:val="2AEAE80C"/>
    <w:rsid w:val="2AEBA973"/>
    <w:rsid w:val="2AEF4F10"/>
    <w:rsid w:val="2AF0E5E0"/>
    <w:rsid w:val="2AF21C84"/>
    <w:rsid w:val="2AF9E04C"/>
    <w:rsid w:val="2B05FFB7"/>
    <w:rsid w:val="2B079EA6"/>
    <w:rsid w:val="2B0EE79B"/>
    <w:rsid w:val="2B0F41B5"/>
    <w:rsid w:val="2B11BE59"/>
    <w:rsid w:val="2B131B5E"/>
    <w:rsid w:val="2B13E6BF"/>
    <w:rsid w:val="2B150339"/>
    <w:rsid w:val="2B15E669"/>
    <w:rsid w:val="2B249A19"/>
    <w:rsid w:val="2B288D4D"/>
    <w:rsid w:val="2B2C81D5"/>
    <w:rsid w:val="2B2FF19F"/>
    <w:rsid w:val="2B30535F"/>
    <w:rsid w:val="2B33348D"/>
    <w:rsid w:val="2B3CBE19"/>
    <w:rsid w:val="2B3D9D49"/>
    <w:rsid w:val="2B475F3E"/>
    <w:rsid w:val="2B47A14A"/>
    <w:rsid w:val="2B4EBFE1"/>
    <w:rsid w:val="2B55360A"/>
    <w:rsid w:val="2B60D6E8"/>
    <w:rsid w:val="2B6E9AB7"/>
    <w:rsid w:val="2B7532CB"/>
    <w:rsid w:val="2B78C035"/>
    <w:rsid w:val="2B929688"/>
    <w:rsid w:val="2B98D9A9"/>
    <w:rsid w:val="2B99615B"/>
    <w:rsid w:val="2BA0B959"/>
    <w:rsid w:val="2BA5090B"/>
    <w:rsid w:val="2BA72166"/>
    <w:rsid w:val="2BABB51C"/>
    <w:rsid w:val="2BB4622A"/>
    <w:rsid w:val="2BB5FB5B"/>
    <w:rsid w:val="2BBC06C5"/>
    <w:rsid w:val="2BBC2B4A"/>
    <w:rsid w:val="2BBCDB74"/>
    <w:rsid w:val="2BBD78D8"/>
    <w:rsid w:val="2BBDB348"/>
    <w:rsid w:val="2BD49B62"/>
    <w:rsid w:val="2BD500C6"/>
    <w:rsid w:val="2BD7A679"/>
    <w:rsid w:val="2BD86B5E"/>
    <w:rsid w:val="2BDB2B6A"/>
    <w:rsid w:val="2BDF0975"/>
    <w:rsid w:val="2BE29CA5"/>
    <w:rsid w:val="2BED7A7B"/>
    <w:rsid w:val="2BF6EC39"/>
    <w:rsid w:val="2BFC90D2"/>
    <w:rsid w:val="2C008714"/>
    <w:rsid w:val="2C04E3FF"/>
    <w:rsid w:val="2C052164"/>
    <w:rsid w:val="2C079B81"/>
    <w:rsid w:val="2C096C13"/>
    <w:rsid w:val="2C09AA48"/>
    <w:rsid w:val="2C0E6099"/>
    <w:rsid w:val="2C16A8C6"/>
    <w:rsid w:val="2C173024"/>
    <w:rsid w:val="2C1C101F"/>
    <w:rsid w:val="2C26E406"/>
    <w:rsid w:val="2C2CCC13"/>
    <w:rsid w:val="2C309FC6"/>
    <w:rsid w:val="2C339E46"/>
    <w:rsid w:val="2C4E38DF"/>
    <w:rsid w:val="2C507B1D"/>
    <w:rsid w:val="2C57BFE5"/>
    <w:rsid w:val="2C5A8F03"/>
    <w:rsid w:val="2C5ADC65"/>
    <w:rsid w:val="2C5EDD08"/>
    <w:rsid w:val="2C640083"/>
    <w:rsid w:val="2C64EE9D"/>
    <w:rsid w:val="2C66F84F"/>
    <w:rsid w:val="2C67E9A6"/>
    <w:rsid w:val="2C6ED1B1"/>
    <w:rsid w:val="2C71F878"/>
    <w:rsid w:val="2C729F40"/>
    <w:rsid w:val="2C76DBD5"/>
    <w:rsid w:val="2C7CF86D"/>
    <w:rsid w:val="2C7EA0CD"/>
    <w:rsid w:val="2C7F85C5"/>
    <w:rsid w:val="2C8023B8"/>
    <w:rsid w:val="2C80645F"/>
    <w:rsid w:val="2C87A58B"/>
    <w:rsid w:val="2C8A316A"/>
    <w:rsid w:val="2C929410"/>
    <w:rsid w:val="2C980181"/>
    <w:rsid w:val="2C9D3C05"/>
    <w:rsid w:val="2CA1D03F"/>
    <w:rsid w:val="2CA4D67D"/>
    <w:rsid w:val="2CA6C290"/>
    <w:rsid w:val="2CAD8EBA"/>
    <w:rsid w:val="2CB00BAF"/>
    <w:rsid w:val="2CB89A56"/>
    <w:rsid w:val="2CB8D647"/>
    <w:rsid w:val="2CC45167"/>
    <w:rsid w:val="2CC4A3EF"/>
    <w:rsid w:val="2CC4FD8E"/>
    <w:rsid w:val="2CC821EE"/>
    <w:rsid w:val="2CCD3159"/>
    <w:rsid w:val="2CCE5CAD"/>
    <w:rsid w:val="2CDB8AB9"/>
    <w:rsid w:val="2CE1F5E1"/>
    <w:rsid w:val="2CE6D24F"/>
    <w:rsid w:val="2CED268C"/>
    <w:rsid w:val="2CEF1A7B"/>
    <w:rsid w:val="2CF2B99F"/>
    <w:rsid w:val="2CFC79FD"/>
    <w:rsid w:val="2CFFB1B0"/>
    <w:rsid w:val="2D02076A"/>
    <w:rsid w:val="2D0266D4"/>
    <w:rsid w:val="2D054B3E"/>
    <w:rsid w:val="2D0C05F5"/>
    <w:rsid w:val="2D0F27F3"/>
    <w:rsid w:val="2D12AA0D"/>
    <w:rsid w:val="2D165FF9"/>
    <w:rsid w:val="2D19DCF0"/>
    <w:rsid w:val="2D21570C"/>
    <w:rsid w:val="2D224F61"/>
    <w:rsid w:val="2D25830B"/>
    <w:rsid w:val="2D2D0022"/>
    <w:rsid w:val="2D323580"/>
    <w:rsid w:val="2D351F9C"/>
    <w:rsid w:val="2D38FCF6"/>
    <w:rsid w:val="2D3B2A74"/>
    <w:rsid w:val="2D3F73D2"/>
    <w:rsid w:val="2D4229F0"/>
    <w:rsid w:val="2D443A97"/>
    <w:rsid w:val="2D4883B7"/>
    <w:rsid w:val="2D4ADAC7"/>
    <w:rsid w:val="2D5A83B9"/>
    <w:rsid w:val="2D6123B1"/>
    <w:rsid w:val="2D722043"/>
    <w:rsid w:val="2D75B7AB"/>
    <w:rsid w:val="2D762DEB"/>
    <w:rsid w:val="2D7AEB82"/>
    <w:rsid w:val="2D8D22D6"/>
    <w:rsid w:val="2D958EC8"/>
    <w:rsid w:val="2D9697D7"/>
    <w:rsid w:val="2D9A39D8"/>
    <w:rsid w:val="2D9C5C17"/>
    <w:rsid w:val="2D9EC31C"/>
    <w:rsid w:val="2DAA4BF2"/>
    <w:rsid w:val="2DABD5A2"/>
    <w:rsid w:val="2DB6EADC"/>
    <w:rsid w:val="2DBAA24A"/>
    <w:rsid w:val="2DBED3C2"/>
    <w:rsid w:val="2DC80AD7"/>
    <w:rsid w:val="2DCA6D71"/>
    <w:rsid w:val="2DCD2261"/>
    <w:rsid w:val="2DD93372"/>
    <w:rsid w:val="2DDB5765"/>
    <w:rsid w:val="2DE03898"/>
    <w:rsid w:val="2DE5F8D3"/>
    <w:rsid w:val="2DF557C2"/>
    <w:rsid w:val="2E15C313"/>
    <w:rsid w:val="2E1886D8"/>
    <w:rsid w:val="2E2063B0"/>
    <w:rsid w:val="2E272132"/>
    <w:rsid w:val="2E2D1EA9"/>
    <w:rsid w:val="2E338EE8"/>
    <w:rsid w:val="2E348790"/>
    <w:rsid w:val="2E3C6E78"/>
    <w:rsid w:val="2E4834B7"/>
    <w:rsid w:val="2E4BE39A"/>
    <w:rsid w:val="2E4DC28B"/>
    <w:rsid w:val="2E50D196"/>
    <w:rsid w:val="2E5264DA"/>
    <w:rsid w:val="2E594EE7"/>
    <w:rsid w:val="2E6667BC"/>
    <w:rsid w:val="2E666BEE"/>
    <w:rsid w:val="2E6A2833"/>
    <w:rsid w:val="2E6A6C4C"/>
    <w:rsid w:val="2E6B3255"/>
    <w:rsid w:val="2E6DD55F"/>
    <w:rsid w:val="2E775C6C"/>
    <w:rsid w:val="2E78A74D"/>
    <w:rsid w:val="2E7D9F73"/>
    <w:rsid w:val="2E7F0F38"/>
    <w:rsid w:val="2E82DF21"/>
    <w:rsid w:val="2E8665D1"/>
    <w:rsid w:val="2E89D936"/>
    <w:rsid w:val="2E8DC06F"/>
    <w:rsid w:val="2E93513F"/>
    <w:rsid w:val="2E941788"/>
    <w:rsid w:val="2E9AD6A2"/>
    <w:rsid w:val="2E9BE384"/>
    <w:rsid w:val="2E9CFAAD"/>
    <w:rsid w:val="2EA798AC"/>
    <w:rsid w:val="2EA97EC7"/>
    <w:rsid w:val="2EB4880A"/>
    <w:rsid w:val="2EB7520E"/>
    <w:rsid w:val="2EB8E8B6"/>
    <w:rsid w:val="2EC317A5"/>
    <w:rsid w:val="2EC75E82"/>
    <w:rsid w:val="2ECB7934"/>
    <w:rsid w:val="2ECF5336"/>
    <w:rsid w:val="2ECF7266"/>
    <w:rsid w:val="2ED17DB8"/>
    <w:rsid w:val="2ED28C59"/>
    <w:rsid w:val="2ED975D6"/>
    <w:rsid w:val="2EDCD941"/>
    <w:rsid w:val="2EE00571"/>
    <w:rsid w:val="2EE809BF"/>
    <w:rsid w:val="2EF45F56"/>
    <w:rsid w:val="2EFA5DF1"/>
    <w:rsid w:val="2EFE76DF"/>
    <w:rsid w:val="2EFF4FAE"/>
    <w:rsid w:val="2F01375A"/>
    <w:rsid w:val="2F01C7A7"/>
    <w:rsid w:val="2F01CC8F"/>
    <w:rsid w:val="2F07D519"/>
    <w:rsid w:val="2F117FB9"/>
    <w:rsid w:val="2F18D930"/>
    <w:rsid w:val="2F1BA0FE"/>
    <w:rsid w:val="2F2820BC"/>
    <w:rsid w:val="2F28289A"/>
    <w:rsid w:val="2F2F3E7B"/>
    <w:rsid w:val="2F2FF52A"/>
    <w:rsid w:val="2F339765"/>
    <w:rsid w:val="2F3566A5"/>
    <w:rsid w:val="2F35A8B2"/>
    <w:rsid w:val="2F3F5906"/>
    <w:rsid w:val="2F411FF0"/>
    <w:rsid w:val="2F454060"/>
    <w:rsid w:val="2F51FFF1"/>
    <w:rsid w:val="2F52DA58"/>
    <w:rsid w:val="2F5AD41E"/>
    <w:rsid w:val="2F65DE10"/>
    <w:rsid w:val="2F6F68A7"/>
    <w:rsid w:val="2F73CAB3"/>
    <w:rsid w:val="2F7614C9"/>
    <w:rsid w:val="2F782F4B"/>
    <w:rsid w:val="2F78C5F5"/>
    <w:rsid w:val="2F8C46BD"/>
    <w:rsid w:val="2FA27C54"/>
    <w:rsid w:val="2FA5430A"/>
    <w:rsid w:val="2FA6C305"/>
    <w:rsid w:val="2FB00EC6"/>
    <w:rsid w:val="2FB2F535"/>
    <w:rsid w:val="2FBB2221"/>
    <w:rsid w:val="2FBBCECA"/>
    <w:rsid w:val="2FBF2119"/>
    <w:rsid w:val="2FC20F95"/>
    <w:rsid w:val="2FC890C2"/>
    <w:rsid w:val="2FD7AF73"/>
    <w:rsid w:val="2FD9FB6B"/>
    <w:rsid w:val="2FDB3330"/>
    <w:rsid w:val="2FDBCDA3"/>
    <w:rsid w:val="2FE4351C"/>
    <w:rsid w:val="2FE4A105"/>
    <w:rsid w:val="2FE68C81"/>
    <w:rsid w:val="2FFE4C9E"/>
    <w:rsid w:val="300052F8"/>
    <w:rsid w:val="300137DC"/>
    <w:rsid w:val="30017477"/>
    <w:rsid w:val="300EAB31"/>
    <w:rsid w:val="3018415B"/>
    <w:rsid w:val="302451B6"/>
    <w:rsid w:val="302A5A2F"/>
    <w:rsid w:val="302DC254"/>
    <w:rsid w:val="3035AFDF"/>
    <w:rsid w:val="303A594F"/>
    <w:rsid w:val="303D7ACE"/>
    <w:rsid w:val="30428C16"/>
    <w:rsid w:val="3045C261"/>
    <w:rsid w:val="3045D688"/>
    <w:rsid w:val="30487122"/>
    <w:rsid w:val="3052716B"/>
    <w:rsid w:val="305684A5"/>
    <w:rsid w:val="305809CD"/>
    <w:rsid w:val="30594D28"/>
    <w:rsid w:val="305C23E3"/>
    <w:rsid w:val="30668DC4"/>
    <w:rsid w:val="3069B619"/>
    <w:rsid w:val="306EE264"/>
    <w:rsid w:val="30766CC8"/>
    <w:rsid w:val="3088D0A5"/>
    <w:rsid w:val="3089043E"/>
    <w:rsid w:val="308E2CE4"/>
    <w:rsid w:val="30962990"/>
    <w:rsid w:val="30976407"/>
    <w:rsid w:val="309FE2B3"/>
    <w:rsid w:val="30A399E7"/>
    <w:rsid w:val="30A4A2C3"/>
    <w:rsid w:val="30B2719C"/>
    <w:rsid w:val="30B40C84"/>
    <w:rsid w:val="30B62282"/>
    <w:rsid w:val="30B93413"/>
    <w:rsid w:val="30BC692A"/>
    <w:rsid w:val="30BD63F1"/>
    <w:rsid w:val="30C07974"/>
    <w:rsid w:val="30CAC048"/>
    <w:rsid w:val="30CCFE7C"/>
    <w:rsid w:val="30D42EC9"/>
    <w:rsid w:val="30DC374F"/>
    <w:rsid w:val="30DFA8DC"/>
    <w:rsid w:val="30E9BCB5"/>
    <w:rsid w:val="30EF36F6"/>
    <w:rsid w:val="30EFD499"/>
    <w:rsid w:val="30F4260B"/>
    <w:rsid w:val="30F562C4"/>
    <w:rsid w:val="30F70AD1"/>
    <w:rsid w:val="30F76EC8"/>
    <w:rsid w:val="30FA42C5"/>
    <w:rsid w:val="30FB2DAE"/>
    <w:rsid w:val="31012318"/>
    <w:rsid w:val="3101D001"/>
    <w:rsid w:val="3104E577"/>
    <w:rsid w:val="3114166C"/>
    <w:rsid w:val="31149656"/>
    <w:rsid w:val="311530CB"/>
    <w:rsid w:val="311A2145"/>
    <w:rsid w:val="311A27BA"/>
    <w:rsid w:val="311B5E50"/>
    <w:rsid w:val="311EC3E9"/>
    <w:rsid w:val="312756BF"/>
    <w:rsid w:val="312AB13F"/>
    <w:rsid w:val="312BC692"/>
    <w:rsid w:val="312D08B0"/>
    <w:rsid w:val="313C7455"/>
    <w:rsid w:val="3142BFEF"/>
    <w:rsid w:val="314701C8"/>
    <w:rsid w:val="31481F43"/>
    <w:rsid w:val="3156EC73"/>
    <w:rsid w:val="315D2F1B"/>
    <w:rsid w:val="3166DDCF"/>
    <w:rsid w:val="31693107"/>
    <w:rsid w:val="316FAF05"/>
    <w:rsid w:val="317120F6"/>
    <w:rsid w:val="3176528A"/>
    <w:rsid w:val="3178EF98"/>
    <w:rsid w:val="3179BDDF"/>
    <w:rsid w:val="3184B712"/>
    <w:rsid w:val="318771F7"/>
    <w:rsid w:val="31888093"/>
    <w:rsid w:val="318F6909"/>
    <w:rsid w:val="31929B0C"/>
    <w:rsid w:val="319395D4"/>
    <w:rsid w:val="319617B3"/>
    <w:rsid w:val="3196D745"/>
    <w:rsid w:val="31971748"/>
    <w:rsid w:val="319A8909"/>
    <w:rsid w:val="319BEC61"/>
    <w:rsid w:val="31A34F89"/>
    <w:rsid w:val="31A7A8C0"/>
    <w:rsid w:val="31AA389F"/>
    <w:rsid w:val="31AD4499"/>
    <w:rsid w:val="31B32600"/>
    <w:rsid w:val="31B57EC5"/>
    <w:rsid w:val="31B7E680"/>
    <w:rsid w:val="31BACFA0"/>
    <w:rsid w:val="31BEBD9C"/>
    <w:rsid w:val="31CCE57B"/>
    <w:rsid w:val="31D79F95"/>
    <w:rsid w:val="31DD2A22"/>
    <w:rsid w:val="31DDB009"/>
    <w:rsid w:val="31E1EAFF"/>
    <w:rsid w:val="31E1EC48"/>
    <w:rsid w:val="31F1381A"/>
    <w:rsid w:val="31F75118"/>
    <w:rsid w:val="31FA6827"/>
    <w:rsid w:val="31FBC153"/>
    <w:rsid w:val="31FE2955"/>
    <w:rsid w:val="320358A7"/>
    <w:rsid w:val="32055004"/>
    <w:rsid w:val="320B84D2"/>
    <w:rsid w:val="320E4A67"/>
    <w:rsid w:val="320E580B"/>
    <w:rsid w:val="32118C7E"/>
    <w:rsid w:val="3211FF75"/>
    <w:rsid w:val="32130AE3"/>
    <w:rsid w:val="32158103"/>
    <w:rsid w:val="3215DF89"/>
    <w:rsid w:val="321A6692"/>
    <w:rsid w:val="321B63C2"/>
    <w:rsid w:val="321B8B2B"/>
    <w:rsid w:val="32220BC3"/>
    <w:rsid w:val="32229347"/>
    <w:rsid w:val="32229DD4"/>
    <w:rsid w:val="3225C720"/>
    <w:rsid w:val="322C6909"/>
    <w:rsid w:val="323248D6"/>
    <w:rsid w:val="323FB6FC"/>
    <w:rsid w:val="3240CA5B"/>
    <w:rsid w:val="3240FC98"/>
    <w:rsid w:val="32552FFC"/>
    <w:rsid w:val="32569DB5"/>
    <w:rsid w:val="325D2531"/>
    <w:rsid w:val="325E22B0"/>
    <w:rsid w:val="32611812"/>
    <w:rsid w:val="32628A06"/>
    <w:rsid w:val="326C9D5A"/>
    <w:rsid w:val="32755030"/>
    <w:rsid w:val="3285C4CF"/>
    <w:rsid w:val="3287D06A"/>
    <w:rsid w:val="3288EB86"/>
    <w:rsid w:val="32893389"/>
    <w:rsid w:val="328A5BFF"/>
    <w:rsid w:val="3294C103"/>
    <w:rsid w:val="329C27D3"/>
    <w:rsid w:val="32A39EB0"/>
    <w:rsid w:val="32A467F2"/>
    <w:rsid w:val="32A4B1EB"/>
    <w:rsid w:val="32A66EB9"/>
    <w:rsid w:val="32A67E81"/>
    <w:rsid w:val="32A7304E"/>
    <w:rsid w:val="32AF6495"/>
    <w:rsid w:val="32B9ACC9"/>
    <w:rsid w:val="32B9E7D4"/>
    <w:rsid w:val="32C26A15"/>
    <w:rsid w:val="32C27751"/>
    <w:rsid w:val="32C27F1B"/>
    <w:rsid w:val="32CFBA1D"/>
    <w:rsid w:val="32DB658B"/>
    <w:rsid w:val="32E001D1"/>
    <w:rsid w:val="32E06F37"/>
    <w:rsid w:val="32E6DF8B"/>
    <w:rsid w:val="32E9AF35"/>
    <w:rsid w:val="32E9FA82"/>
    <w:rsid w:val="32EC2C00"/>
    <w:rsid w:val="32F12DE9"/>
    <w:rsid w:val="32F6A960"/>
    <w:rsid w:val="32F7C8E9"/>
    <w:rsid w:val="32FD99DB"/>
    <w:rsid w:val="32FE81FB"/>
    <w:rsid w:val="3304E840"/>
    <w:rsid w:val="33126755"/>
    <w:rsid w:val="332129D1"/>
    <w:rsid w:val="33219B14"/>
    <w:rsid w:val="332BC5BB"/>
    <w:rsid w:val="3332BFEA"/>
    <w:rsid w:val="3337A2E5"/>
    <w:rsid w:val="3350363F"/>
    <w:rsid w:val="3354BA8A"/>
    <w:rsid w:val="33587B84"/>
    <w:rsid w:val="3359BDC6"/>
    <w:rsid w:val="33628666"/>
    <w:rsid w:val="33687CEA"/>
    <w:rsid w:val="336FA82D"/>
    <w:rsid w:val="33774210"/>
    <w:rsid w:val="337B1E8F"/>
    <w:rsid w:val="33820734"/>
    <w:rsid w:val="338C59D9"/>
    <w:rsid w:val="338D905F"/>
    <w:rsid w:val="33906983"/>
    <w:rsid w:val="3390B618"/>
    <w:rsid w:val="339103E0"/>
    <w:rsid w:val="339FB9CE"/>
    <w:rsid w:val="33A2F69D"/>
    <w:rsid w:val="33A40978"/>
    <w:rsid w:val="33A490FD"/>
    <w:rsid w:val="33ADE1CF"/>
    <w:rsid w:val="33AEEA28"/>
    <w:rsid w:val="33B1A13E"/>
    <w:rsid w:val="33B54AA3"/>
    <w:rsid w:val="33BBE002"/>
    <w:rsid w:val="33BD59E7"/>
    <w:rsid w:val="33BFEB86"/>
    <w:rsid w:val="33C60B4F"/>
    <w:rsid w:val="33C894A3"/>
    <w:rsid w:val="33CBC87F"/>
    <w:rsid w:val="33DD6D8B"/>
    <w:rsid w:val="33E005A7"/>
    <w:rsid w:val="33E087A1"/>
    <w:rsid w:val="33E0BE8A"/>
    <w:rsid w:val="33E1BF40"/>
    <w:rsid w:val="33E1E0E8"/>
    <w:rsid w:val="33E364D0"/>
    <w:rsid w:val="33E79702"/>
    <w:rsid w:val="33EF455E"/>
    <w:rsid w:val="33F1A41A"/>
    <w:rsid w:val="33F5D767"/>
    <w:rsid w:val="3403E7BF"/>
    <w:rsid w:val="3404612F"/>
    <w:rsid w:val="34087CBE"/>
    <w:rsid w:val="340AADD0"/>
    <w:rsid w:val="340C6D48"/>
    <w:rsid w:val="340D91F4"/>
    <w:rsid w:val="3410A8C2"/>
    <w:rsid w:val="3411018A"/>
    <w:rsid w:val="3416413C"/>
    <w:rsid w:val="34186C7E"/>
    <w:rsid w:val="341BC2FE"/>
    <w:rsid w:val="341DC8B4"/>
    <w:rsid w:val="3424C628"/>
    <w:rsid w:val="342C400D"/>
    <w:rsid w:val="34355C22"/>
    <w:rsid w:val="34457374"/>
    <w:rsid w:val="34473ACD"/>
    <w:rsid w:val="3447BA64"/>
    <w:rsid w:val="3450C135"/>
    <w:rsid w:val="3451AF5F"/>
    <w:rsid w:val="345B8D41"/>
    <w:rsid w:val="345DA71E"/>
    <w:rsid w:val="345F4748"/>
    <w:rsid w:val="34655B4C"/>
    <w:rsid w:val="347CD407"/>
    <w:rsid w:val="347CF4C4"/>
    <w:rsid w:val="347EFFBD"/>
    <w:rsid w:val="34807558"/>
    <w:rsid w:val="3483F86B"/>
    <w:rsid w:val="3484463A"/>
    <w:rsid w:val="348B99B8"/>
    <w:rsid w:val="3495C756"/>
    <w:rsid w:val="349804BD"/>
    <w:rsid w:val="3498B090"/>
    <w:rsid w:val="349989E4"/>
    <w:rsid w:val="349DEA0D"/>
    <w:rsid w:val="34A4FC25"/>
    <w:rsid w:val="34A7EDE9"/>
    <w:rsid w:val="34ABB3BD"/>
    <w:rsid w:val="34AF5F05"/>
    <w:rsid w:val="34B62D5C"/>
    <w:rsid w:val="34BBCB37"/>
    <w:rsid w:val="34C36955"/>
    <w:rsid w:val="34D01F2E"/>
    <w:rsid w:val="34D35991"/>
    <w:rsid w:val="34D4F394"/>
    <w:rsid w:val="34D624EB"/>
    <w:rsid w:val="34E3BDCD"/>
    <w:rsid w:val="34F65B2D"/>
    <w:rsid w:val="350004B6"/>
    <w:rsid w:val="35021C54"/>
    <w:rsid w:val="3505EC00"/>
    <w:rsid w:val="3509B0BB"/>
    <w:rsid w:val="350A5079"/>
    <w:rsid w:val="350A592C"/>
    <w:rsid w:val="350B5C9C"/>
    <w:rsid w:val="350C55A6"/>
    <w:rsid w:val="350F3445"/>
    <w:rsid w:val="35118E84"/>
    <w:rsid w:val="35125C0F"/>
    <w:rsid w:val="35246B15"/>
    <w:rsid w:val="352862D3"/>
    <w:rsid w:val="3529A87C"/>
    <w:rsid w:val="352D7621"/>
    <w:rsid w:val="352DF801"/>
    <w:rsid w:val="352EDF44"/>
    <w:rsid w:val="35318525"/>
    <w:rsid w:val="35325A4E"/>
    <w:rsid w:val="353F2899"/>
    <w:rsid w:val="3540A05A"/>
    <w:rsid w:val="35438922"/>
    <w:rsid w:val="35484C45"/>
    <w:rsid w:val="355B9018"/>
    <w:rsid w:val="355CD508"/>
    <w:rsid w:val="355DD961"/>
    <w:rsid w:val="355EA44E"/>
    <w:rsid w:val="355FDA50"/>
    <w:rsid w:val="3560ACC0"/>
    <w:rsid w:val="356798E0"/>
    <w:rsid w:val="3567AC09"/>
    <w:rsid w:val="3571E798"/>
    <w:rsid w:val="357ABB1E"/>
    <w:rsid w:val="357BBBE7"/>
    <w:rsid w:val="357E5A9D"/>
    <w:rsid w:val="35A2B5A1"/>
    <w:rsid w:val="35A7C2E8"/>
    <w:rsid w:val="35B78E01"/>
    <w:rsid w:val="35B98BA0"/>
    <w:rsid w:val="35BD94F8"/>
    <w:rsid w:val="35BE2099"/>
    <w:rsid w:val="35BEAA43"/>
    <w:rsid w:val="35C1C4BB"/>
    <w:rsid w:val="35C1EE3C"/>
    <w:rsid w:val="35CCD6AA"/>
    <w:rsid w:val="35CCEA7C"/>
    <w:rsid w:val="35D1BD06"/>
    <w:rsid w:val="35D354AA"/>
    <w:rsid w:val="35D48642"/>
    <w:rsid w:val="35D70EA1"/>
    <w:rsid w:val="35D8C2EB"/>
    <w:rsid w:val="35DB3DB6"/>
    <w:rsid w:val="35DCD5CC"/>
    <w:rsid w:val="35DCDD97"/>
    <w:rsid w:val="35EA4752"/>
    <w:rsid w:val="35EBF986"/>
    <w:rsid w:val="35EFEE66"/>
    <w:rsid w:val="35F35EE9"/>
    <w:rsid w:val="35F3AED4"/>
    <w:rsid w:val="35F4CCFC"/>
    <w:rsid w:val="35FE1117"/>
    <w:rsid w:val="35FE7122"/>
    <w:rsid w:val="36015E98"/>
    <w:rsid w:val="360591AB"/>
    <w:rsid w:val="36074F94"/>
    <w:rsid w:val="360AA331"/>
    <w:rsid w:val="360B89DF"/>
    <w:rsid w:val="36116A3B"/>
    <w:rsid w:val="36139C0F"/>
    <w:rsid w:val="361C86D7"/>
    <w:rsid w:val="3626346A"/>
    <w:rsid w:val="362C0716"/>
    <w:rsid w:val="362EF6D2"/>
    <w:rsid w:val="363D3F7E"/>
    <w:rsid w:val="363FFDD7"/>
    <w:rsid w:val="364881D2"/>
    <w:rsid w:val="36518B26"/>
    <w:rsid w:val="36579100"/>
    <w:rsid w:val="3658D470"/>
    <w:rsid w:val="365B5B52"/>
    <w:rsid w:val="365CFCE2"/>
    <w:rsid w:val="365F5AB0"/>
    <w:rsid w:val="366E4CB3"/>
    <w:rsid w:val="367AAC77"/>
    <w:rsid w:val="367B8AB3"/>
    <w:rsid w:val="367E2704"/>
    <w:rsid w:val="36809B6A"/>
    <w:rsid w:val="36869723"/>
    <w:rsid w:val="368C5D6D"/>
    <w:rsid w:val="368CDF7F"/>
    <w:rsid w:val="368F680A"/>
    <w:rsid w:val="369458B8"/>
    <w:rsid w:val="3699229D"/>
    <w:rsid w:val="36992E95"/>
    <w:rsid w:val="369BCA36"/>
    <w:rsid w:val="369C951A"/>
    <w:rsid w:val="36A058D5"/>
    <w:rsid w:val="36A35C43"/>
    <w:rsid w:val="36A3E206"/>
    <w:rsid w:val="36AC5080"/>
    <w:rsid w:val="36B00C4F"/>
    <w:rsid w:val="36B1BF66"/>
    <w:rsid w:val="36B521C1"/>
    <w:rsid w:val="36B5D5B5"/>
    <w:rsid w:val="36B76D1C"/>
    <w:rsid w:val="36B85929"/>
    <w:rsid w:val="36C67BF2"/>
    <w:rsid w:val="36CF2734"/>
    <w:rsid w:val="36D43F1B"/>
    <w:rsid w:val="36D8ECFD"/>
    <w:rsid w:val="36DBA58C"/>
    <w:rsid w:val="36E8B8CB"/>
    <w:rsid w:val="36ED6349"/>
    <w:rsid w:val="36F6C2F6"/>
    <w:rsid w:val="36F8A289"/>
    <w:rsid w:val="36FD6A05"/>
    <w:rsid w:val="3704E1AE"/>
    <w:rsid w:val="37084258"/>
    <w:rsid w:val="37084F50"/>
    <w:rsid w:val="3708988C"/>
    <w:rsid w:val="37141230"/>
    <w:rsid w:val="37189E92"/>
    <w:rsid w:val="371E4D19"/>
    <w:rsid w:val="371E9C90"/>
    <w:rsid w:val="37364E6A"/>
    <w:rsid w:val="3739AA29"/>
    <w:rsid w:val="373CF371"/>
    <w:rsid w:val="374202EA"/>
    <w:rsid w:val="3742B73C"/>
    <w:rsid w:val="374831E3"/>
    <w:rsid w:val="374D8619"/>
    <w:rsid w:val="374E2520"/>
    <w:rsid w:val="37503CA7"/>
    <w:rsid w:val="3751D9E3"/>
    <w:rsid w:val="37564C7A"/>
    <w:rsid w:val="375A495E"/>
    <w:rsid w:val="37615370"/>
    <w:rsid w:val="3761986D"/>
    <w:rsid w:val="37622E2A"/>
    <w:rsid w:val="37718AB9"/>
    <w:rsid w:val="3777190F"/>
    <w:rsid w:val="3782588A"/>
    <w:rsid w:val="3782A80D"/>
    <w:rsid w:val="3784887A"/>
    <w:rsid w:val="378A40ED"/>
    <w:rsid w:val="378B7864"/>
    <w:rsid w:val="378BB8D8"/>
    <w:rsid w:val="37901373"/>
    <w:rsid w:val="3791508D"/>
    <w:rsid w:val="37962B26"/>
    <w:rsid w:val="37A05182"/>
    <w:rsid w:val="37A4831C"/>
    <w:rsid w:val="37A72DCA"/>
    <w:rsid w:val="37A9494F"/>
    <w:rsid w:val="37AB3814"/>
    <w:rsid w:val="37B72B2E"/>
    <w:rsid w:val="37B89271"/>
    <w:rsid w:val="37BAEADD"/>
    <w:rsid w:val="37BDFE4B"/>
    <w:rsid w:val="37D95CD1"/>
    <w:rsid w:val="37DCB5A4"/>
    <w:rsid w:val="37DD8384"/>
    <w:rsid w:val="37DE03D7"/>
    <w:rsid w:val="37E55850"/>
    <w:rsid w:val="37EF4701"/>
    <w:rsid w:val="37F07B6B"/>
    <w:rsid w:val="37F4BF19"/>
    <w:rsid w:val="37F6F745"/>
    <w:rsid w:val="37FFD71E"/>
    <w:rsid w:val="380686EB"/>
    <w:rsid w:val="38078F2E"/>
    <w:rsid w:val="380C579D"/>
    <w:rsid w:val="380CF28A"/>
    <w:rsid w:val="381C9047"/>
    <w:rsid w:val="38227F8B"/>
    <w:rsid w:val="382553B4"/>
    <w:rsid w:val="3828C8DE"/>
    <w:rsid w:val="38370A91"/>
    <w:rsid w:val="38408358"/>
    <w:rsid w:val="38465DB7"/>
    <w:rsid w:val="384BB53B"/>
    <w:rsid w:val="384CE8A9"/>
    <w:rsid w:val="385744C3"/>
    <w:rsid w:val="38695AF3"/>
    <w:rsid w:val="386B5A14"/>
    <w:rsid w:val="386FC13D"/>
    <w:rsid w:val="387A276F"/>
    <w:rsid w:val="387FC432"/>
    <w:rsid w:val="38820748"/>
    <w:rsid w:val="3884C465"/>
    <w:rsid w:val="388905FD"/>
    <w:rsid w:val="3896FA9D"/>
    <w:rsid w:val="3898E529"/>
    <w:rsid w:val="3899444D"/>
    <w:rsid w:val="3899B853"/>
    <w:rsid w:val="389CD3CC"/>
    <w:rsid w:val="389F39A2"/>
    <w:rsid w:val="38A7BF3C"/>
    <w:rsid w:val="38AF166F"/>
    <w:rsid w:val="38B6679B"/>
    <w:rsid w:val="38B6EBEB"/>
    <w:rsid w:val="38BCDF3F"/>
    <w:rsid w:val="38C39C3D"/>
    <w:rsid w:val="38C80B77"/>
    <w:rsid w:val="38C80BFB"/>
    <w:rsid w:val="38CD8D56"/>
    <w:rsid w:val="38CEB24B"/>
    <w:rsid w:val="38D8E614"/>
    <w:rsid w:val="38DBAAF9"/>
    <w:rsid w:val="38DC9916"/>
    <w:rsid w:val="38E15745"/>
    <w:rsid w:val="38E253CF"/>
    <w:rsid w:val="38F00266"/>
    <w:rsid w:val="38F04A0F"/>
    <w:rsid w:val="38F37179"/>
    <w:rsid w:val="38F37ECB"/>
    <w:rsid w:val="38FF77D0"/>
    <w:rsid w:val="3903CEB2"/>
    <w:rsid w:val="39052E8E"/>
    <w:rsid w:val="39067232"/>
    <w:rsid w:val="39078157"/>
    <w:rsid w:val="391C54A0"/>
    <w:rsid w:val="3922987B"/>
    <w:rsid w:val="3924ECF8"/>
    <w:rsid w:val="39274E28"/>
    <w:rsid w:val="3928E302"/>
    <w:rsid w:val="392B8CB8"/>
    <w:rsid w:val="393D9AB1"/>
    <w:rsid w:val="39404635"/>
    <w:rsid w:val="394952D8"/>
    <w:rsid w:val="39510B63"/>
    <w:rsid w:val="39511C48"/>
    <w:rsid w:val="39514A58"/>
    <w:rsid w:val="3960576E"/>
    <w:rsid w:val="396DFB7E"/>
    <w:rsid w:val="396F7A23"/>
    <w:rsid w:val="3972D666"/>
    <w:rsid w:val="39773FFB"/>
    <w:rsid w:val="397FE222"/>
    <w:rsid w:val="3981646F"/>
    <w:rsid w:val="398524F6"/>
    <w:rsid w:val="39859588"/>
    <w:rsid w:val="3992DC0C"/>
    <w:rsid w:val="3993EB46"/>
    <w:rsid w:val="3995114B"/>
    <w:rsid w:val="3996890F"/>
    <w:rsid w:val="39984E80"/>
    <w:rsid w:val="399CBFCB"/>
    <w:rsid w:val="399DD851"/>
    <w:rsid w:val="399E245B"/>
    <w:rsid w:val="399FC8D3"/>
    <w:rsid w:val="399FCD28"/>
    <w:rsid w:val="39B77B69"/>
    <w:rsid w:val="39BE99F5"/>
    <w:rsid w:val="39C49026"/>
    <w:rsid w:val="39C62F4F"/>
    <w:rsid w:val="39C63CC0"/>
    <w:rsid w:val="39C81274"/>
    <w:rsid w:val="39C99520"/>
    <w:rsid w:val="39D3E16D"/>
    <w:rsid w:val="39D44374"/>
    <w:rsid w:val="39D6C358"/>
    <w:rsid w:val="39D6DC56"/>
    <w:rsid w:val="39D97784"/>
    <w:rsid w:val="39DEBBCD"/>
    <w:rsid w:val="39DFACA4"/>
    <w:rsid w:val="39E830F2"/>
    <w:rsid w:val="39EBBBCC"/>
    <w:rsid w:val="39ECC283"/>
    <w:rsid w:val="39FCCBCC"/>
    <w:rsid w:val="3A002462"/>
    <w:rsid w:val="3A01A93F"/>
    <w:rsid w:val="3A0E6822"/>
    <w:rsid w:val="3A167E8C"/>
    <w:rsid w:val="3A1C5E84"/>
    <w:rsid w:val="3A23130B"/>
    <w:rsid w:val="3A32AF7A"/>
    <w:rsid w:val="3A354528"/>
    <w:rsid w:val="3A37B4BD"/>
    <w:rsid w:val="3A393FF8"/>
    <w:rsid w:val="3A3A432A"/>
    <w:rsid w:val="3A429C64"/>
    <w:rsid w:val="3A43E7BE"/>
    <w:rsid w:val="3A461E82"/>
    <w:rsid w:val="3A4C60C3"/>
    <w:rsid w:val="3A535BEA"/>
    <w:rsid w:val="3A560DA2"/>
    <w:rsid w:val="3A5C1B2B"/>
    <w:rsid w:val="3A7FD674"/>
    <w:rsid w:val="3A86CE35"/>
    <w:rsid w:val="3A8DA73A"/>
    <w:rsid w:val="3A91AF34"/>
    <w:rsid w:val="3A98E7B0"/>
    <w:rsid w:val="3AA91146"/>
    <w:rsid w:val="3AAE698F"/>
    <w:rsid w:val="3AB094C5"/>
    <w:rsid w:val="3AB0FD34"/>
    <w:rsid w:val="3AB12567"/>
    <w:rsid w:val="3AB5979B"/>
    <w:rsid w:val="3AC1A0D9"/>
    <w:rsid w:val="3AC4E6CB"/>
    <w:rsid w:val="3AD7242C"/>
    <w:rsid w:val="3AD85228"/>
    <w:rsid w:val="3ADA951E"/>
    <w:rsid w:val="3ADE53EC"/>
    <w:rsid w:val="3AE6CB28"/>
    <w:rsid w:val="3AE80915"/>
    <w:rsid w:val="3AED2505"/>
    <w:rsid w:val="3AEECBF0"/>
    <w:rsid w:val="3AF1A9DA"/>
    <w:rsid w:val="3AFE792F"/>
    <w:rsid w:val="3AFE7FA0"/>
    <w:rsid w:val="3B083D8C"/>
    <w:rsid w:val="3B11079F"/>
    <w:rsid w:val="3B110FD6"/>
    <w:rsid w:val="3B139417"/>
    <w:rsid w:val="3B19EC2C"/>
    <w:rsid w:val="3B1BF2F5"/>
    <w:rsid w:val="3B1C9021"/>
    <w:rsid w:val="3B1D34D0"/>
    <w:rsid w:val="3B2478D0"/>
    <w:rsid w:val="3B274257"/>
    <w:rsid w:val="3B29746D"/>
    <w:rsid w:val="3B2F542F"/>
    <w:rsid w:val="3B2F8BC2"/>
    <w:rsid w:val="3B30951F"/>
    <w:rsid w:val="3B323162"/>
    <w:rsid w:val="3B400E34"/>
    <w:rsid w:val="3B43934B"/>
    <w:rsid w:val="3B454DDD"/>
    <w:rsid w:val="3B45EECE"/>
    <w:rsid w:val="3B46074C"/>
    <w:rsid w:val="3B49EAF5"/>
    <w:rsid w:val="3B50F108"/>
    <w:rsid w:val="3B548725"/>
    <w:rsid w:val="3B54FB28"/>
    <w:rsid w:val="3B5E98A0"/>
    <w:rsid w:val="3B63D196"/>
    <w:rsid w:val="3B69F0FC"/>
    <w:rsid w:val="3B6B8CAF"/>
    <w:rsid w:val="3B6EF0C5"/>
    <w:rsid w:val="3B74226A"/>
    <w:rsid w:val="3B793BCB"/>
    <w:rsid w:val="3B7DAA3D"/>
    <w:rsid w:val="3B7DF0FE"/>
    <w:rsid w:val="3B7F4E2B"/>
    <w:rsid w:val="3B9106DB"/>
    <w:rsid w:val="3B9173DF"/>
    <w:rsid w:val="3B949E72"/>
    <w:rsid w:val="3B976BBE"/>
    <w:rsid w:val="3B98A657"/>
    <w:rsid w:val="3BA52C5D"/>
    <w:rsid w:val="3BA84706"/>
    <w:rsid w:val="3BABDC1D"/>
    <w:rsid w:val="3BADBB03"/>
    <w:rsid w:val="3BB862BC"/>
    <w:rsid w:val="3BB88C4F"/>
    <w:rsid w:val="3BC71577"/>
    <w:rsid w:val="3BD21EB3"/>
    <w:rsid w:val="3BD47B61"/>
    <w:rsid w:val="3BD6DA64"/>
    <w:rsid w:val="3BDA7859"/>
    <w:rsid w:val="3BDB135B"/>
    <w:rsid w:val="3BE36F2D"/>
    <w:rsid w:val="3BF002C1"/>
    <w:rsid w:val="3BF45909"/>
    <w:rsid w:val="3BF55F53"/>
    <w:rsid w:val="3BF897F0"/>
    <w:rsid w:val="3BFC3FC2"/>
    <w:rsid w:val="3C07F450"/>
    <w:rsid w:val="3C0A796C"/>
    <w:rsid w:val="3C0BF3F6"/>
    <w:rsid w:val="3C0E250D"/>
    <w:rsid w:val="3C1EF8AB"/>
    <w:rsid w:val="3C257957"/>
    <w:rsid w:val="3C259D91"/>
    <w:rsid w:val="3C272459"/>
    <w:rsid w:val="3C29E88D"/>
    <w:rsid w:val="3C2AC7F8"/>
    <w:rsid w:val="3C2EB7CD"/>
    <w:rsid w:val="3C34B1D9"/>
    <w:rsid w:val="3C358343"/>
    <w:rsid w:val="3C371E6E"/>
    <w:rsid w:val="3C395AF6"/>
    <w:rsid w:val="3C39AA52"/>
    <w:rsid w:val="3C3B6022"/>
    <w:rsid w:val="3C3B6F74"/>
    <w:rsid w:val="3C4916A6"/>
    <w:rsid w:val="3C4B592E"/>
    <w:rsid w:val="3C4CDD2F"/>
    <w:rsid w:val="3C5167FC"/>
    <w:rsid w:val="3C562347"/>
    <w:rsid w:val="3C5B425D"/>
    <w:rsid w:val="3C5E9B9E"/>
    <w:rsid w:val="3C617690"/>
    <w:rsid w:val="3C689C35"/>
    <w:rsid w:val="3C6A3794"/>
    <w:rsid w:val="3C735B1F"/>
    <w:rsid w:val="3C786E45"/>
    <w:rsid w:val="3C79E4F3"/>
    <w:rsid w:val="3C7B1CFF"/>
    <w:rsid w:val="3C7BC7AB"/>
    <w:rsid w:val="3C844D47"/>
    <w:rsid w:val="3C8A0913"/>
    <w:rsid w:val="3C910F8D"/>
    <w:rsid w:val="3C9192C1"/>
    <w:rsid w:val="3C948054"/>
    <w:rsid w:val="3C98DCBF"/>
    <w:rsid w:val="3C9A2620"/>
    <w:rsid w:val="3CA0C204"/>
    <w:rsid w:val="3CA25C8E"/>
    <w:rsid w:val="3CA46535"/>
    <w:rsid w:val="3CABCAB3"/>
    <w:rsid w:val="3CAC1326"/>
    <w:rsid w:val="3CAC6593"/>
    <w:rsid w:val="3CB7C273"/>
    <w:rsid w:val="3CB89AF2"/>
    <w:rsid w:val="3CBE579C"/>
    <w:rsid w:val="3CC6C9BC"/>
    <w:rsid w:val="3CC815F4"/>
    <w:rsid w:val="3CD58AFC"/>
    <w:rsid w:val="3CD86115"/>
    <w:rsid w:val="3CDBABE3"/>
    <w:rsid w:val="3CDDB7EB"/>
    <w:rsid w:val="3CE0EFD6"/>
    <w:rsid w:val="3CE12FAD"/>
    <w:rsid w:val="3CE16FB1"/>
    <w:rsid w:val="3CE37739"/>
    <w:rsid w:val="3CEFA9CC"/>
    <w:rsid w:val="3CF7E050"/>
    <w:rsid w:val="3CF9CED9"/>
    <w:rsid w:val="3D00C07D"/>
    <w:rsid w:val="3D0A22E2"/>
    <w:rsid w:val="3D15C8CE"/>
    <w:rsid w:val="3D1A59DB"/>
    <w:rsid w:val="3D1EADF9"/>
    <w:rsid w:val="3D246345"/>
    <w:rsid w:val="3D28435E"/>
    <w:rsid w:val="3D288951"/>
    <w:rsid w:val="3D2969E1"/>
    <w:rsid w:val="3D2D0591"/>
    <w:rsid w:val="3D3357FC"/>
    <w:rsid w:val="3D342009"/>
    <w:rsid w:val="3D38561E"/>
    <w:rsid w:val="3D4C02BE"/>
    <w:rsid w:val="3D4C4BA4"/>
    <w:rsid w:val="3D64BCC5"/>
    <w:rsid w:val="3D68FD2E"/>
    <w:rsid w:val="3D699E53"/>
    <w:rsid w:val="3D78A804"/>
    <w:rsid w:val="3D84360C"/>
    <w:rsid w:val="3D894DD0"/>
    <w:rsid w:val="3D8A2B95"/>
    <w:rsid w:val="3D8DA86E"/>
    <w:rsid w:val="3D959387"/>
    <w:rsid w:val="3D968AD4"/>
    <w:rsid w:val="3D9A8F6F"/>
    <w:rsid w:val="3D9BA795"/>
    <w:rsid w:val="3D9E5B91"/>
    <w:rsid w:val="3DA5D7B8"/>
    <w:rsid w:val="3DAC1FE3"/>
    <w:rsid w:val="3DB15748"/>
    <w:rsid w:val="3DB43EF5"/>
    <w:rsid w:val="3DB89C97"/>
    <w:rsid w:val="3DB8A62B"/>
    <w:rsid w:val="3DBB683B"/>
    <w:rsid w:val="3DC1434B"/>
    <w:rsid w:val="3DC37106"/>
    <w:rsid w:val="3DC9AD53"/>
    <w:rsid w:val="3DD0F910"/>
    <w:rsid w:val="3DD45A32"/>
    <w:rsid w:val="3DD4622F"/>
    <w:rsid w:val="3DD860C3"/>
    <w:rsid w:val="3DDE1498"/>
    <w:rsid w:val="3DE2ED22"/>
    <w:rsid w:val="3DE35CD5"/>
    <w:rsid w:val="3DED385D"/>
    <w:rsid w:val="3DF3E401"/>
    <w:rsid w:val="3DF7612B"/>
    <w:rsid w:val="3DFA7C47"/>
    <w:rsid w:val="3E00FBD6"/>
    <w:rsid w:val="3E01FC06"/>
    <w:rsid w:val="3E05B1AF"/>
    <w:rsid w:val="3E076011"/>
    <w:rsid w:val="3E0E31D5"/>
    <w:rsid w:val="3E11C15C"/>
    <w:rsid w:val="3E145EBE"/>
    <w:rsid w:val="3E169932"/>
    <w:rsid w:val="3E1C4A8E"/>
    <w:rsid w:val="3E28F301"/>
    <w:rsid w:val="3E29933C"/>
    <w:rsid w:val="3E29AB42"/>
    <w:rsid w:val="3E2A1FB6"/>
    <w:rsid w:val="3E2C50A1"/>
    <w:rsid w:val="3E2C780E"/>
    <w:rsid w:val="3E2EE673"/>
    <w:rsid w:val="3E375812"/>
    <w:rsid w:val="3E3FA16B"/>
    <w:rsid w:val="3E422B43"/>
    <w:rsid w:val="3E475860"/>
    <w:rsid w:val="3E4CA211"/>
    <w:rsid w:val="3E534EE9"/>
    <w:rsid w:val="3E53E2ED"/>
    <w:rsid w:val="3E545276"/>
    <w:rsid w:val="3E56B8A0"/>
    <w:rsid w:val="3E5C1EC2"/>
    <w:rsid w:val="3E5CC318"/>
    <w:rsid w:val="3E5E454F"/>
    <w:rsid w:val="3E621DD1"/>
    <w:rsid w:val="3E6AAFB3"/>
    <w:rsid w:val="3E70D177"/>
    <w:rsid w:val="3E770C18"/>
    <w:rsid w:val="3E83F7A8"/>
    <w:rsid w:val="3E86B97A"/>
    <w:rsid w:val="3E8EF608"/>
    <w:rsid w:val="3E8F0FAC"/>
    <w:rsid w:val="3E969265"/>
    <w:rsid w:val="3E96B894"/>
    <w:rsid w:val="3E9B6153"/>
    <w:rsid w:val="3E9BD194"/>
    <w:rsid w:val="3E9CC7E7"/>
    <w:rsid w:val="3EB0B180"/>
    <w:rsid w:val="3EB25E47"/>
    <w:rsid w:val="3EB384A3"/>
    <w:rsid w:val="3EB65BAE"/>
    <w:rsid w:val="3EB8807D"/>
    <w:rsid w:val="3EBB4589"/>
    <w:rsid w:val="3EC4946B"/>
    <w:rsid w:val="3EC75300"/>
    <w:rsid w:val="3ECB1692"/>
    <w:rsid w:val="3ECBD153"/>
    <w:rsid w:val="3ED495AA"/>
    <w:rsid w:val="3ED49756"/>
    <w:rsid w:val="3ED4BF85"/>
    <w:rsid w:val="3EDADD8C"/>
    <w:rsid w:val="3EDBCBD3"/>
    <w:rsid w:val="3EE0EE3E"/>
    <w:rsid w:val="3EE5C2CE"/>
    <w:rsid w:val="3EEDCCDB"/>
    <w:rsid w:val="3F00177B"/>
    <w:rsid w:val="3F0D33DB"/>
    <w:rsid w:val="3F1A5AAA"/>
    <w:rsid w:val="3F1AF3A2"/>
    <w:rsid w:val="3F246212"/>
    <w:rsid w:val="3F25D18E"/>
    <w:rsid w:val="3F2DF1C0"/>
    <w:rsid w:val="3F2F3240"/>
    <w:rsid w:val="3F314440"/>
    <w:rsid w:val="3F356570"/>
    <w:rsid w:val="3F3732D9"/>
    <w:rsid w:val="3F38D132"/>
    <w:rsid w:val="3F394069"/>
    <w:rsid w:val="3F3C9D2A"/>
    <w:rsid w:val="3F3D2ABD"/>
    <w:rsid w:val="3F41084E"/>
    <w:rsid w:val="3F410A77"/>
    <w:rsid w:val="3F420AAF"/>
    <w:rsid w:val="3F468082"/>
    <w:rsid w:val="3F643E00"/>
    <w:rsid w:val="3F64486F"/>
    <w:rsid w:val="3F64D60E"/>
    <w:rsid w:val="3F6502DB"/>
    <w:rsid w:val="3F69A39B"/>
    <w:rsid w:val="3F69FD1C"/>
    <w:rsid w:val="3F6DACDE"/>
    <w:rsid w:val="3F70D52D"/>
    <w:rsid w:val="3F70E886"/>
    <w:rsid w:val="3F717380"/>
    <w:rsid w:val="3F743124"/>
    <w:rsid w:val="3F7591C6"/>
    <w:rsid w:val="3F78ED51"/>
    <w:rsid w:val="3F7A1FC6"/>
    <w:rsid w:val="3F7F7F2B"/>
    <w:rsid w:val="3F7FFF06"/>
    <w:rsid w:val="3F851556"/>
    <w:rsid w:val="3F884908"/>
    <w:rsid w:val="3F8BCD55"/>
    <w:rsid w:val="3F933EA1"/>
    <w:rsid w:val="3FA68339"/>
    <w:rsid w:val="3FAA3DC6"/>
    <w:rsid w:val="3FAB1367"/>
    <w:rsid w:val="3FACC7F8"/>
    <w:rsid w:val="3FB1C50F"/>
    <w:rsid w:val="3FB36C78"/>
    <w:rsid w:val="3FB40438"/>
    <w:rsid w:val="3FB813C8"/>
    <w:rsid w:val="3FBCA02F"/>
    <w:rsid w:val="3FBD2835"/>
    <w:rsid w:val="3FC138CB"/>
    <w:rsid w:val="3FC9C90D"/>
    <w:rsid w:val="3FCA10C4"/>
    <w:rsid w:val="3FD1DB95"/>
    <w:rsid w:val="3FDB6475"/>
    <w:rsid w:val="3FE162D8"/>
    <w:rsid w:val="3FE84084"/>
    <w:rsid w:val="3FEB9A83"/>
    <w:rsid w:val="3FEBA4D8"/>
    <w:rsid w:val="3FEBC8AC"/>
    <w:rsid w:val="3FF069EF"/>
    <w:rsid w:val="3FF37864"/>
    <w:rsid w:val="3FF912FD"/>
    <w:rsid w:val="3FFA58E6"/>
    <w:rsid w:val="40039770"/>
    <w:rsid w:val="40052886"/>
    <w:rsid w:val="401029CA"/>
    <w:rsid w:val="4018D06F"/>
    <w:rsid w:val="401A2766"/>
    <w:rsid w:val="401CCA73"/>
    <w:rsid w:val="401D7E92"/>
    <w:rsid w:val="40230BB2"/>
    <w:rsid w:val="4025DBE9"/>
    <w:rsid w:val="402B9806"/>
    <w:rsid w:val="402D2A39"/>
    <w:rsid w:val="4032381E"/>
    <w:rsid w:val="40325FB2"/>
    <w:rsid w:val="403DC339"/>
    <w:rsid w:val="4042CA1A"/>
    <w:rsid w:val="4047C943"/>
    <w:rsid w:val="404C13C1"/>
    <w:rsid w:val="404EBFB4"/>
    <w:rsid w:val="40534902"/>
    <w:rsid w:val="40597051"/>
    <w:rsid w:val="40602A13"/>
    <w:rsid w:val="4062F9B9"/>
    <w:rsid w:val="406608F3"/>
    <w:rsid w:val="4066524E"/>
    <w:rsid w:val="406AD485"/>
    <w:rsid w:val="406F2332"/>
    <w:rsid w:val="4074A3C8"/>
    <w:rsid w:val="407E1953"/>
    <w:rsid w:val="40895A17"/>
    <w:rsid w:val="40A2A974"/>
    <w:rsid w:val="40A63E39"/>
    <w:rsid w:val="40ACCA09"/>
    <w:rsid w:val="40B334DE"/>
    <w:rsid w:val="40B66FA2"/>
    <w:rsid w:val="40C177A8"/>
    <w:rsid w:val="40CCD481"/>
    <w:rsid w:val="40D04E2F"/>
    <w:rsid w:val="40D932BC"/>
    <w:rsid w:val="40E2E841"/>
    <w:rsid w:val="40E3BD8F"/>
    <w:rsid w:val="40E7AE45"/>
    <w:rsid w:val="40E933C7"/>
    <w:rsid w:val="40EA47DE"/>
    <w:rsid w:val="40EDE01B"/>
    <w:rsid w:val="40EF17F8"/>
    <w:rsid w:val="40F229DD"/>
    <w:rsid w:val="40F8949C"/>
    <w:rsid w:val="40F94B5F"/>
    <w:rsid w:val="41048EDC"/>
    <w:rsid w:val="410AC005"/>
    <w:rsid w:val="41108074"/>
    <w:rsid w:val="411F71B5"/>
    <w:rsid w:val="4123AEC2"/>
    <w:rsid w:val="41278A45"/>
    <w:rsid w:val="41317499"/>
    <w:rsid w:val="41344FAF"/>
    <w:rsid w:val="4134F860"/>
    <w:rsid w:val="41369E9D"/>
    <w:rsid w:val="4139A7A3"/>
    <w:rsid w:val="413A11FF"/>
    <w:rsid w:val="413EF1EC"/>
    <w:rsid w:val="413FFA40"/>
    <w:rsid w:val="4146CF98"/>
    <w:rsid w:val="414FF9F2"/>
    <w:rsid w:val="415581EE"/>
    <w:rsid w:val="4155B41A"/>
    <w:rsid w:val="41568E2D"/>
    <w:rsid w:val="41570AFA"/>
    <w:rsid w:val="415C6ADF"/>
    <w:rsid w:val="415EE06B"/>
    <w:rsid w:val="416DA5A8"/>
    <w:rsid w:val="41731E0F"/>
    <w:rsid w:val="41749022"/>
    <w:rsid w:val="4175D12F"/>
    <w:rsid w:val="417E464E"/>
    <w:rsid w:val="41804923"/>
    <w:rsid w:val="41814715"/>
    <w:rsid w:val="4183AA60"/>
    <w:rsid w:val="4184E61D"/>
    <w:rsid w:val="4185E55C"/>
    <w:rsid w:val="41892DB0"/>
    <w:rsid w:val="418FB2B4"/>
    <w:rsid w:val="41962947"/>
    <w:rsid w:val="419F317E"/>
    <w:rsid w:val="419FFBC9"/>
    <w:rsid w:val="41B38E37"/>
    <w:rsid w:val="41B8158C"/>
    <w:rsid w:val="41BDE939"/>
    <w:rsid w:val="41BFA8AC"/>
    <w:rsid w:val="41C21FB2"/>
    <w:rsid w:val="41C7EC77"/>
    <w:rsid w:val="41CA6031"/>
    <w:rsid w:val="41D27ABD"/>
    <w:rsid w:val="41D3793A"/>
    <w:rsid w:val="41DC1920"/>
    <w:rsid w:val="41DFB7B7"/>
    <w:rsid w:val="41E20713"/>
    <w:rsid w:val="41E331FF"/>
    <w:rsid w:val="41EC4AB7"/>
    <w:rsid w:val="41EDBCCE"/>
    <w:rsid w:val="41EDDA24"/>
    <w:rsid w:val="41F4A36F"/>
    <w:rsid w:val="41F85B03"/>
    <w:rsid w:val="41FA2DA8"/>
    <w:rsid w:val="41FBA334"/>
    <w:rsid w:val="41FDF0FB"/>
    <w:rsid w:val="42018B44"/>
    <w:rsid w:val="420B0928"/>
    <w:rsid w:val="420CEB7F"/>
    <w:rsid w:val="420D1207"/>
    <w:rsid w:val="420E9AC8"/>
    <w:rsid w:val="4215D329"/>
    <w:rsid w:val="42192301"/>
    <w:rsid w:val="42257D9F"/>
    <w:rsid w:val="42288A6A"/>
    <w:rsid w:val="422AE97C"/>
    <w:rsid w:val="422FDDF4"/>
    <w:rsid w:val="42351999"/>
    <w:rsid w:val="423FDB88"/>
    <w:rsid w:val="42425D4D"/>
    <w:rsid w:val="4251883D"/>
    <w:rsid w:val="425CDDA5"/>
    <w:rsid w:val="425FB89E"/>
    <w:rsid w:val="4266D1C2"/>
    <w:rsid w:val="426919FF"/>
    <w:rsid w:val="42691EE0"/>
    <w:rsid w:val="426A98AE"/>
    <w:rsid w:val="426C98EC"/>
    <w:rsid w:val="426EFC43"/>
    <w:rsid w:val="42722312"/>
    <w:rsid w:val="42731B42"/>
    <w:rsid w:val="427635A9"/>
    <w:rsid w:val="427652A7"/>
    <w:rsid w:val="42770F40"/>
    <w:rsid w:val="427A2F87"/>
    <w:rsid w:val="427A5B25"/>
    <w:rsid w:val="427B22DF"/>
    <w:rsid w:val="427D4BC0"/>
    <w:rsid w:val="4282818F"/>
    <w:rsid w:val="42897168"/>
    <w:rsid w:val="428A2385"/>
    <w:rsid w:val="428D3795"/>
    <w:rsid w:val="428EA3CE"/>
    <w:rsid w:val="4292DCBD"/>
    <w:rsid w:val="42941BEA"/>
    <w:rsid w:val="429A1BF0"/>
    <w:rsid w:val="429BDCDA"/>
    <w:rsid w:val="42A07A57"/>
    <w:rsid w:val="42A23D7D"/>
    <w:rsid w:val="42B0FC87"/>
    <w:rsid w:val="42B6C54C"/>
    <w:rsid w:val="42B98BCC"/>
    <w:rsid w:val="42BACE7B"/>
    <w:rsid w:val="42BE22AC"/>
    <w:rsid w:val="42BE4AD3"/>
    <w:rsid w:val="42C1BBED"/>
    <w:rsid w:val="42C1E8F5"/>
    <w:rsid w:val="42CE6660"/>
    <w:rsid w:val="42CF976A"/>
    <w:rsid w:val="42D0ACE3"/>
    <w:rsid w:val="42D1890A"/>
    <w:rsid w:val="42D1BF78"/>
    <w:rsid w:val="42D57DC4"/>
    <w:rsid w:val="42DAC24D"/>
    <w:rsid w:val="42E13D0C"/>
    <w:rsid w:val="42E79E0B"/>
    <w:rsid w:val="42F2DB5B"/>
    <w:rsid w:val="42F9EF71"/>
    <w:rsid w:val="430955F9"/>
    <w:rsid w:val="431BD599"/>
    <w:rsid w:val="431C839A"/>
    <w:rsid w:val="431FF17C"/>
    <w:rsid w:val="43230E0D"/>
    <w:rsid w:val="4324B0F8"/>
    <w:rsid w:val="43261CA1"/>
    <w:rsid w:val="432A2980"/>
    <w:rsid w:val="432D2109"/>
    <w:rsid w:val="4333254F"/>
    <w:rsid w:val="433950B9"/>
    <w:rsid w:val="433BD095"/>
    <w:rsid w:val="433D4488"/>
    <w:rsid w:val="4340FFE1"/>
    <w:rsid w:val="435B2777"/>
    <w:rsid w:val="435BE7B7"/>
    <w:rsid w:val="435C7900"/>
    <w:rsid w:val="435FE183"/>
    <w:rsid w:val="43638A3B"/>
    <w:rsid w:val="43673D6C"/>
    <w:rsid w:val="43680F99"/>
    <w:rsid w:val="437E3F42"/>
    <w:rsid w:val="437F0118"/>
    <w:rsid w:val="438666F0"/>
    <w:rsid w:val="43866C7C"/>
    <w:rsid w:val="438890B4"/>
    <w:rsid w:val="4393DBB7"/>
    <w:rsid w:val="4397401D"/>
    <w:rsid w:val="439BC547"/>
    <w:rsid w:val="439D7BC1"/>
    <w:rsid w:val="43A077BC"/>
    <w:rsid w:val="43A3DB69"/>
    <w:rsid w:val="43AD3578"/>
    <w:rsid w:val="43BBC7C6"/>
    <w:rsid w:val="43C3A511"/>
    <w:rsid w:val="43C463AE"/>
    <w:rsid w:val="43C6ECEC"/>
    <w:rsid w:val="43CCE29F"/>
    <w:rsid w:val="43CEB265"/>
    <w:rsid w:val="43D1B89B"/>
    <w:rsid w:val="43D83FEA"/>
    <w:rsid w:val="43E00A79"/>
    <w:rsid w:val="43E0B28D"/>
    <w:rsid w:val="43E10680"/>
    <w:rsid w:val="43E1D00C"/>
    <w:rsid w:val="43E1EC49"/>
    <w:rsid w:val="43E651CA"/>
    <w:rsid w:val="43E6C4C8"/>
    <w:rsid w:val="43E7A55E"/>
    <w:rsid w:val="43EB5DA4"/>
    <w:rsid w:val="43EE3328"/>
    <w:rsid w:val="43F73B4F"/>
    <w:rsid w:val="43FCBF02"/>
    <w:rsid w:val="440015FD"/>
    <w:rsid w:val="440119D6"/>
    <w:rsid w:val="4405E0A4"/>
    <w:rsid w:val="4406DDD1"/>
    <w:rsid w:val="440BFA54"/>
    <w:rsid w:val="440F67E1"/>
    <w:rsid w:val="440F7289"/>
    <w:rsid w:val="44137EB9"/>
    <w:rsid w:val="4417CE30"/>
    <w:rsid w:val="4419647B"/>
    <w:rsid w:val="441E676A"/>
    <w:rsid w:val="441F6DA9"/>
    <w:rsid w:val="4424023E"/>
    <w:rsid w:val="44265F48"/>
    <w:rsid w:val="442E7EF5"/>
    <w:rsid w:val="442F39A5"/>
    <w:rsid w:val="443372FA"/>
    <w:rsid w:val="4435C63A"/>
    <w:rsid w:val="4436172E"/>
    <w:rsid w:val="44479E57"/>
    <w:rsid w:val="44519298"/>
    <w:rsid w:val="445212AF"/>
    <w:rsid w:val="445763F0"/>
    <w:rsid w:val="445FEAF8"/>
    <w:rsid w:val="4462B4AB"/>
    <w:rsid w:val="446E3F5F"/>
    <w:rsid w:val="446F0072"/>
    <w:rsid w:val="446F52CF"/>
    <w:rsid w:val="446FB34D"/>
    <w:rsid w:val="447BDB1F"/>
    <w:rsid w:val="447DE393"/>
    <w:rsid w:val="447EF6FD"/>
    <w:rsid w:val="447F2A22"/>
    <w:rsid w:val="4480A455"/>
    <w:rsid w:val="4480CF72"/>
    <w:rsid w:val="448179EA"/>
    <w:rsid w:val="448ECA7A"/>
    <w:rsid w:val="449A835C"/>
    <w:rsid w:val="449C0626"/>
    <w:rsid w:val="44A17FB8"/>
    <w:rsid w:val="44A1CDFC"/>
    <w:rsid w:val="44A7D5DA"/>
    <w:rsid w:val="44AA8D6F"/>
    <w:rsid w:val="44AFAF96"/>
    <w:rsid w:val="44B00828"/>
    <w:rsid w:val="44DB7871"/>
    <w:rsid w:val="44E246BB"/>
    <w:rsid w:val="44E421FC"/>
    <w:rsid w:val="44ECC600"/>
    <w:rsid w:val="44EDF1B3"/>
    <w:rsid w:val="44F363F3"/>
    <w:rsid w:val="44FB28DD"/>
    <w:rsid w:val="45019E0C"/>
    <w:rsid w:val="450300D5"/>
    <w:rsid w:val="45067DB5"/>
    <w:rsid w:val="45091480"/>
    <w:rsid w:val="45130BB0"/>
    <w:rsid w:val="45193FF6"/>
    <w:rsid w:val="4520C466"/>
    <w:rsid w:val="45216440"/>
    <w:rsid w:val="4523F2E2"/>
    <w:rsid w:val="452553C6"/>
    <w:rsid w:val="45259D32"/>
    <w:rsid w:val="45289AF5"/>
    <w:rsid w:val="452D2467"/>
    <w:rsid w:val="453312F5"/>
    <w:rsid w:val="4547512F"/>
    <w:rsid w:val="4555ECEF"/>
    <w:rsid w:val="4561E219"/>
    <w:rsid w:val="456BF5EF"/>
    <w:rsid w:val="456D1111"/>
    <w:rsid w:val="456F93B5"/>
    <w:rsid w:val="45716833"/>
    <w:rsid w:val="4585DD0E"/>
    <w:rsid w:val="4587E007"/>
    <w:rsid w:val="458A6838"/>
    <w:rsid w:val="459B4A9F"/>
    <w:rsid w:val="459FDA4F"/>
    <w:rsid w:val="45A23C93"/>
    <w:rsid w:val="45A51181"/>
    <w:rsid w:val="45A93FF1"/>
    <w:rsid w:val="45AA7516"/>
    <w:rsid w:val="45B5A39C"/>
    <w:rsid w:val="45BC3D2A"/>
    <w:rsid w:val="45CA5D3A"/>
    <w:rsid w:val="45CB077C"/>
    <w:rsid w:val="45CC8EE4"/>
    <w:rsid w:val="45D79040"/>
    <w:rsid w:val="45DB09DB"/>
    <w:rsid w:val="45E18492"/>
    <w:rsid w:val="45EBDC63"/>
    <w:rsid w:val="45F3F38B"/>
    <w:rsid w:val="45F5C3E6"/>
    <w:rsid w:val="45FCAE6D"/>
    <w:rsid w:val="46071171"/>
    <w:rsid w:val="46073E24"/>
    <w:rsid w:val="4607919E"/>
    <w:rsid w:val="4609DB04"/>
    <w:rsid w:val="460B19C2"/>
    <w:rsid w:val="460DCC8A"/>
    <w:rsid w:val="461060DB"/>
    <w:rsid w:val="46176821"/>
    <w:rsid w:val="46177E47"/>
    <w:rsid w:val="461ABA9B"/>
    <w:rsid w:val="461D8649"/>
    <w:rsid w:val="4620D620"/>
    <w:rsid w:val="462A6258"/>
    <w:rsid w:val="462A6FA2"/>
    <w:rsid w:val="462C8C44"/>
    <w:rsid w:val="462D23CB"/>
    <w:rsid w:val="462F15CC"/>
    <w:rsid w:val="462FE0E7"/>
    <w:rsid w:val="4633D9BD"/>
    <w:rsid w:val="4638A528"/>
    <w:rsid w:val="463B0D01"/>
    <w:rsid w:val="464BDB43"/>
    <w:rsid w:val="465F78FC"/>
    <w:rsid w:val="4662FC82"/>
    <w:rsid w:val="46632893"/>
    <w:rsid w:val="4663F43B"/>
    <w:rsid w:val="466ACDD9"/>
    <w:rsid w:val="467A2A87"/>
    <w:rsid w:val="46851EF9"/>
    <w:rsid w:val="4689E079"/>
    <w:rsid w:val="468EFE42"/>
    <w:rsid w:val="46942445"/>
    <w:rsid w:val="46A326F6"/>
    <w:rsid w:val="46A48843"/>
    <w:rsid w:val="46A787E3"/>
    <w:rsid w:val="46A84E7E"/>
    <w:rsid w:val="46AF9B82"/>
    <w:rsid w:val="46AFC29A"/>
    <w:rsid w:val="46B0D666"/>
    <w:rsid w:val="46B3EB66"/>
    <w:rsid w:val="46B65E1C"/>
    <w:rsid w:val="46B76241"/>
    <w:rsid w:val="46B7E971"/>
    <w:rsid w:val="46B8ABEE"/>
    <w:rsid w:val="46C820B8"/>
    <w:rsid w:val="46D13CA5"/>
    <w:rsid w:val="46D2434E"/>
    <w:rsid w:val="46D59B6A"/>
    <w:rsid w:val="46DBB103"/>
    <w:rsid w:val="46DC2BD8"/>
    <w:rsid w:val="46F3B3F1"/>
    <w:rsid w:val="46FB70B6"/>
    <w:rsid w:val="46FBF1AE"/>
    <w:rsid w:val="46FEA704"/>
    <w:rsid w:val="47003F48"/>
    <w:rsid w:val="47035E3C"/>
    <w:rsid w:val="47070899"/>
    <w:rsid w:val="470B2E68"/>
    <w:rsid w:val="47124C4C"/>
    <w:rsid w:val="471BE956"/>
    <w:rsid w:val="472239C0"/>
    <w:rsid w:val="472405AC"/>
    <w:rsid w:val="472646DD"/>
    <w:rsid w:val="47327BE6"/>
    <w:rsid w:val="4733B5C4"/>
    <w:rsid w:val="4737A209"/>
    <w:rsid w:val="473BAE99"/>
    <w:rsid w:val="473E8D68"/>
    <w:rsid w:val="473F3836"/>
    <w:rsid w:val="4743A5B7"/>
    <w:rsid w:val="47468C65"/>
    <w:rsid w:val="4748BDAE"/>
    <w:rsid w:val="474E9EFA"/>
    <w:rsid w:val="47583315"/>
    <w:rsid w:val="475C045C"/>
    <w:rsid w:val="47635CFF"/>
    <w:rsid w:val="4766999B"/>
    <w:rsid w:val="4773AC53"/>
    <w:rsid w:val="4775C6A2"/>
    <w:rsid w:val="477D1C52"/>
    <w:rsid w:val="477D37CB"/>
    <w:rsid w:val="477DB6DD"/>
    <w:rsid w:val="47853862"/>
    <w:rsid w:val="478887A3"/>
    <w:rsid w:val="478E9C7D"/>
    <w:rsid w:val="4796DF3A"/>
    <w:rsid w:val="4797C1E0"/>
    <w:rsid w:val="479BA8CB"/>
    <w:rsid w:val="479CEBE4"/>
    <w:rsid w:val="47A0EF79"/>
    <w:rsid w:val="47A5E021"/>
    <w:rsid w:val="47A8ED4C"/>
    <w:rsid w:val="47ACCDB0"/>
    <w:rsid w:val="47AD2509"/>
    <w:rsid w:val="47AF533C"/>
    <w:rsid w:val="47B71CA3"/>
    <w:rsid w:val="47BA16E1"/>
    <w:rsid w:val="47BB1F2D"/>
    <w:rsid w:val="47BED1AD"/>
    <w:rsid w:val="47CF0448"/>
    <w:rsid w:val="47CF1B50"/>
    <w:rsid w:val="47D0AEDC"/>
    <w:rsid w:val="47D1A368"/>
    <w:rsid w:val="47D9B007"/>
    <w:rsid w:val="47DBE5DC"/>
    <w:rsid w:val="47DEE55A"/>
    <w:rsid w:val="47E84B37"/>
    <w:rsid w:val="47EE88FD"/>
    <w:rsid w:val="47F35356"/>
    <w:rsid w:val="47F9DD49"/>
    <w:rsid w:val="47FCCF20"/>
    <w:rsid w:val="480559A1"/>
    <w:rsid w:val="4809608D"/>
    <w:rsid w:val="480A1CF0"/>
    <w:rsid w:val="481817B6"/>
    <w:rsid w:val="4819669B"/>
    <w:rsid w:val="4820F03F"/>
    <w:rsid w:val="48211846"/>
    <w:rsid w:val="482200DE"/>
    <w:rsid w:val="48259275"/>
    <w:rsid w:val="482AD77C"/>
    <w:rsid w:val="482B7166"/>
    <w:rsid w:val="482CDA7B"/>
    <w:rsid w:val="482F02A6"/>
    <w:rsid w:val="48340F08"/>
    <w:rsid w:val="4835F116"/>
    <w:rsid w:val="483633B6"/>
    <w:rsid w:val="4837A7B8"/>
    <w:rsid w:val="483A5B03"/>
    <w:rsid w:val="4841DBAA"/>
    <w:rsid w:val="48430E2E"/>
    <w:rsid w:val="4845A9B4"/>
    <w:rsid w:val="484A8149"/>
    <w:rsid w:val="48522E7D"/>
    <w:rsid w:val="485B7AC0"/>
    <w:rsid w:val="486A3948"/>
    <w:rsid w:val="48723BC9"/>
    <w:rsid w:val="4875086C"/>
    <w:rsid w:val="487CEB4F"/>
    <w:rsid w:val="4887120F"/>
    <w:rsid w:val="488BEB03"/>
    <w:rsid w:val="489288B0"/>
    <w:rsid w:val="4896C669"/>
    <w:rsid w:val="4896ED88"/>
    <w:rsid w:val="48A1B753"/>
    <w:rsid w:val="48A48903"/>
    <w:rsid w:val="48AA4E6E"/>
    <w:rsid w:val="48AD28C4"/>
    <w:rsid w:val="48ADED98"/>
    <w:rsid w:val="48C223B4"/>
    <w:rsid w:val="48C41CF4"/>
    <w:rsid w:val="48C636E9"/>
    <w:rsid w:val="48CA9CA5"/>
    <w:rsid w:val="48D4A28F"/>
    <w:rsid w:val="48D69B13"/>
    <w:rsid w:val="48E07B81"/>
    <w:rsid w:val="48E220DC"/>
    <w:rsid w:val="48E6541E"/>
    <w:rsid w:val="48E8461B"/>
    <w:rsid w:val="48EABDCF"/>
    <w:rsid w:val="48EDAB76"/>
    <w:rsid w:val="48F15328"/>
    <w:rsid w:val="48F6003E"/>
    <w:rsid w:val="48F915E3"/>
    <w:rsid w:val="48FCB6B7"/>
    <w:rsid w:val="48FD68A2"/>
    <w:rsid w:val="48FF135F"/>
    <w:rsid w:val="4913E6F8"/>
    <w:rsid w:val="4914BC55"/>
    <w:rsid w:val="491DA336"/>
    <w:rsid w:val="49235E21"/>
    <w:rsid w:val="492523F0"/>
    <w:rsid w:val="49257FD8"/>
    <w:rsid w:val="492F9A20"/>
    <w:rsid w:val="49308A1E"/>
    <w:rsid w:val="4937EA46"/>
    <w:rsid w:val="49405232"/>
    <w:rsid w:val="4945584A"/>
    <w:rsid w:val="494693B8"/>
    <w:rsid w:val="494CA5AA"/>
    <w:rsid w:val="494D6105"/>
    <w:rsid w:val="494EF2B4"/>
    <w:rsid w:val="49512698"/>
    <w:rsid w:val="49640BE4"/>
    <w:rsid w:val="49648E91"/>
    <w:rsid w:val="4969890C"/>
    <w:rsid w:val="496BADF2"/>
    <w:rsid w:val="496CF87B"/>
    <w:rsid w:val="49753922"/>
    <w:rsid w:val="497729A0"/>
    <w:rsid w:val="4979212A"/>
    <w:rsid w:val="497AC129"/>
    <w:rsid w:val="4980002F"/>
    <w:rsid w:val="49819C3C"/>
    <w:rsid w:val="49853C3A"/>
    <w:rsid w:val="49858A8F"/>
    <w:rsid w:val="4989C13B"/>
    <w:rsid w:val="498EB784"/>
    <w:rsid w:val="49928573"/>
    <w:rsid w:val="49971D17"/>
    <w:rsid w:val="499795AE"/>
    <w:rsid w:val="4997E588"/>
    <w:rsid w:val="49B24CAF"/>
    <w:rsid w:val="49B28F46"/>
    <w:rsid w:val="49BAD8F8"/>
    <w:rsid w:val="49BB22F7"/>
    <w:rsid w:val="49BC62DC"/>
    <w:rsid w:val="49BFE64B"/>
    <w:rsid w:val="49C0CEB2"/>
    <w:rsid w:val="49C1813B"/>
    <w:rsid w:val="49CA6588"/>
    <w:rsid w:val="49CC2F8C"/>
    <w:rsid w:val="49CD4958"/>
    <w:rsid w:val="49D04BD3"/>
    <w:rsid w:val="49D29438"/>
    <w:rsid w:val="49D67EEA"/>
    <w:rsid w:val="49DA8A16"/>
    <w:rsid w:val="49DF9B62"/>
    <w:rsid w:val="49DFD8C9"/>
    <w:rsid w:val="49E101D9"/>
    <w:rsid w:val="49E2FDF3"/>
    <w:rsid w:val="49E47329"/>
    <w:rsid w:val="49E4B377"/>
    <w:rsid w:val="49E4EB96"/>
    <w:rsid w:val="49E6EEB2"/>
    <w:rsid w:val="49E7FD39"/>
    <w:rsid w:val="49EAAA88"/>
    <w:rsid w:val="49EC696C"/>
    <w:rsid w:val="49F42953"/>
    <w:rsid w:val="49F7154A"/>
    <w:rsid w:val="49FF6109"/>
    <w:rsid w:val="4A065BCD"/>
    <w:rsid w:val="4A07540D"/>
    <w:rsid w:val="4A0E1F15"/>
    <w:rsid w:val="4A14C448"/>
    <w:rsid w:val="4A165481"/>
    <w:rsid w:val="4A1B9FEB"/>
    <w:rsid w:val="4A305844"/>
    <w:rsid w:val="4A368E75"/>
    <w:rsid w:val="4A3ACD3E"/>
    <w:rsid w:val="4A3EB82B"/>
    <w:rsid w:val="4A52569C"/>
    <w:rsid w:val="4A53E292"/>
    <w:rsid w:val="4A569FE6"/>
    <w:rsid w:val="4A5CE21F"/>
    <w:rsid w:val="4A6233E7"/>
    <w:rsid w:val="4A68F229"/>
    <w:rsid w:val="4A69846C"/>
    <w:rsid w:val="4A6A246C"/>
    <w:rsid w:val="4A6B7930"/>
    <w:rsid w:val="4A6DE397"/>
    <w:rsid w:val="4A6F4959"/>
    <w:rsid w:val="4A7B5E41"/>
    <w:rsid w:val="4A83CED3"/>
    <w:rsid w:val="4A880288"/>
    <w:rsid w:val="4A96EB76"/>
    <w:rsid w:val="4A9BE667"/>
    <w:rsid w:val="4AA22207"/>
    <w:rsid w:val="4AA6CEF6"/>
    <w:rsid w:val="4AA8000E"/>
    <w:rsid w:val="4AAA5DEE"/>
    <w:rsid w:val="4AAFEB0C"/>
    <w:rsid w:val="4AB38BB2"/>
    <w:rsid w:val="4ABD4D48"/>
    <w:rsid w:val="4AC16FBC"/>
    <w:rsid w:val="4AC37E41"/>
    <w:rsid w:val="4AC5B2B4"/>
    <w:rsid w:val="4AC5B771"/>
    <w:rsid w:val="4AC8C5A6"/>
    <w:rsid w:val="4ACB0225"/>
    <w:rsid w:val="4ACE7FFC"/>
    <w:rsid w:val="4AD153B0"/>
    <w:rsid w:val="4AD5642F"/>
    <w:rsid w:val="4AE3DC9F"/>
    <w:rsid w:val="4AE63047"/>
    <w:rsid w:val="4AE69027"/>
    <w:rsid w:val="4AE696CA"/>
    <w:rsid w:val="4AEA835D"/>
    <w:rsid w:val="4B0B114E"/>
    <w:rsid w:val="4B0B6BB9"/>
    <w:rsid w:val="4B0CE6DD"/>
    <w:rsid w:val="4B1276D2"/>
    <w:rsid w:val="4B15CEC3"/>
    <w:rsid w:val="4B1EE672"/>
    <w:rsid w:val="4B210C9B"/>
    <w:rsid w:val="4B26F968"/>
    <w:rsid w:val="4B27E045"/>
    <w:rsid w:val="4B2B903C"/>
    <w:rsid w:val="4B31879A"/>
    <w:rsid w:val="4B328F87"/>
    <w:rsid w:val="4B33B5E9"/>
    <w:rsid w:val="4B465549"/>
    <w:rsid w:val="4B494F31"/>
    <w:rsid w:val="4B4A4150"/>
    <w:rsid w:val="4B4A502C"/>
    <w:rsid w:val="4B5878FB"/>
    <w:rsid w:val="4B66D2B9"/>
    <w:rsid w:val="4B6F487A"/>
    <w:rsid w:val="4B713C39"/>
    <w:rsid w:val="4B73D7F5"/>
    <w:rsid w:val="4B755B9B"/>
    <w:rsid w:val="4B765BA8"/>
    <w:rsid w:val="4B7B76B7"/>
    <w:rsid w:val="4B7C0746"/>
    <w:rsid w:val="4B815D5B"/>
    <w:rsid w:val="4B8B7928"/>
    <w:rsid w:val="4B8BF427"/>
    <w:rsid w:val="4B8F378F"/>
    <w:rsid w:val="4B91C7AE"/>
    <w:rsid w:val="4B91DACE"/>
    <w:rsid w:val="4B9E44E5"/>
    <w:rsid w:val="4B9E9354"/>
    <w:rsid w:val="4B9FF25E"/>
    <w:rsid w:val="4BA5A7B9"/>
    <w:rsid w:val="4BA985D0"/>
    <w:rsid w:val="4BAA1C40"/>
    <w:rsid w:val="4BAB78FD"/>
    <w:rsid w:val="4BB48F42"/>
    <w:rsid w:val="4BC0A7D2"/>
    <w:rsid w:val="4BC41A9C"/>
    <w:rsid w:val="4BC8A326"/>
    <w:rsid w:val="4BCC60B9"/>
    <w:rsid w:val="4BCFC24D"/>
    <w:rsid w:val="4BD16467"/>
    <w:rsid w:val="4BD30C02"/>
    <w:rsid w:val="4BDFA103"/>
    <w:rsid w:val="4BE6C3BA"/>
    <w:rsid w:val="4BE81E16"/>
    <w:rsid w:val="4BFB1F69"/>
    <w:rsid w:val="4BFDB654"/>
    <w:rsid w:val="4BFEC9F6"/>
    <w:rsid w:val="4C042C16"/>
    <w:rsid w:val="4C1F67D5"/>
    <w:rsid w:val="4C21D221"/>
    <w:rsid w:val="4C2998A9"/>
    <w:rsid w:val="4C299C0D"/>
    <w:rsid w:val="4C2C3B27"/>
    <w:rsid w:val="4C2E7994"/>
    <w:rsid w:val="4C30722A"/>
    <w:rsid w:val="4C34FF24"/>
    <w:rsid w:val="4C3C01C8"/>
    <w:rsid w:val="4C3D3573"/>
    <w:rsid w:val="4C41469A"/>
    <w:rsid w:val="4C431C4D"/>
    <w:rsid w:val="4C4871C9"/>
    <w:rsid w:val="4C4E4572"/>
    <w:rsid w:val="4C509FF8"/>
    <w:rsid w:val="4C5A5A0E"/>
    <w:rsid w:val="4C5B0506"/>
    <w:rsid w:val="4C617838"/>
    <w:rsid w:val="4C636546"/>
    <w:rsid w:val="4C67FC56"/>
    <w:rsid w:val="4C73F3BC"/>
    <w:rsid w:val="4C751C45"/>
    <w:rsid w:val="4C780DF9"/>
    <w:rsid w:val="4C795144"/>
    <w:rsid w:val="4C7D44CB"/>
    <w:rsid w:val="4C84431A"/>
    <w:rsid w:val="4C8FC41F"/>
    <w:rsid w:val="4C90D6B7"/>
    <w:rsid w:val="4C946CFC"/>
    <w:rsid w:val="4C9600EF"/>
    <w:rsid w:val="4C9AB4D1"/>
    <w:rsid w:val="4C9F0A21"/>
    <w:rsid w:val="4CA1A178"/>
    <w:rsid w:val="4CABC6AF"/>
    <w:rsid w:val="4CAC7C27"/>
    <w:rsid w:val="4CAED3D7"/>
    <w:rsid w:val="4CB6EA5F"/>
    <w:rsid w:val="4CB8CFE9"/>
    <w:rsid w:val="4CBD743A"/>
    <w:rsid w:val="4CBE8CC8"/>
    <w:rsid w:val="4CCEB4D5"/>
    <w:rsid w:val="4CD0A6E2"/>
    <w:rsid w:val="4CD5D4A6"/>
    <w:rsid w:val="4CD9D9F6"/>
    <w:rsid w:val="4CDEE54D"/>
    <w:rsid w:val="4CE6B7EA"/>
    <w:rsid w:val="4CEA4996"/>
    <w:rsid w:val="4CEC1E10"/>
    <w:rsid w:val="4CF2A5EC"/>
    <w:rsid w:val="4CF3D66D"/>
    <w:rsid w:val="4CF8172C"/>
    <w:rsid w:val="4CFAC620"/>
    <w:rsid w:val="4CFBF1CD"/>
    <w:rsid w:val="4CFC879C"/>
    <w:rsid w:val="4D065C68"/>
    <w:rsid w:val="4D0681CF"/>
    <w:rsid w:val="4D07B910"/>
    <w:rsid w:val="4D0EFFF3"/>
    <w:rsid w:val="4D0FBE81"/>
    <w:rsid w:val="4D127115"/>
    <w:rsid w:val="4D127DC0"/>
    <w:rsid w:val="4D13D8DD"/>
    <w:rsid w:val="4D143171"/>
    <w:rsid w:val="4D18A0E6"/>
    <w:rsid w:val="4D1A18D0"/>
    <w:rsid w:val="4D1C13EB"/>
    <w:rsid w:val="4D1E8D5D"/>
    <w:rsid w:val="4D1EFDC6"/>
    <w:rsid w:val="4D233635"/>
    <w:rsid w:val="4D26CD95"/>
    <w:rsid w:val="4D2C1A98"/>
    <w:rsid w:val="4D2FC2E8"/>
    <w:rsid w:val="4D30F77A"/>
    <w:rsid w:val="4D3342FA"/>
    <w:rsid w:val="4D3BB5FF"/>
    <w:rsid w:val="4D3F08CA"/>
    <w:rsid w:val="4D4ED9F7"/>
    <w:rsid w:val="4D52F997"/>
    <w:rsid w:val="4D588976"/>
    <w:rsid w:val="4D58FDE4"/>
    <w:rsid w:val="4D5953C5"/>
    <w:rsid w:val="4D5A1FC1"/>
    <w:rsid w:val="4D5B4631"/>
    <w:rsid w:val="4D5B7C34"/>
    <w:rsid w:val="4D5D47D8"/>
    <w:rsid w:val="4D63407C"/>
    <w:rsid w:val="4D63A37E"/>
    <w:rsid w:val="4D64FD43"/>
    <w:rsid w:val="4D6981C1"/>
    <w:rsid w:val="4D6D9EFD"/>
    <w:rsid w:val="4D7E205F"/>
    <w:rsid w:val="4D872CF2"/>
    <w:rsid w:val="4D8B5CDE"/>
    <w:rsid w:val="4D8D5D81"/>
    <w:rsid w:val="4D909828"/>
    <w:rsid w:val="4D967194"/>
    <w:rsid w:val="4D9810FA"/>
    <w:rsid w:val="4D99AE39"/>
    <w:rsid w:val="4DA5D600"/>
    <w:rsid w:val="4DB54D6A"/>
    <w:rsid w:val="4DB8D454"/>
    <w:rsid w:val="4DB951B8"/>
    <w:rsid w:val="4DBE7733"/>
    <w:rsid w:val="4DC40DC9"/>
    <w:rsid w:val="4DC6C5BC"/>
    <w:rsid w:val="4DC7009C"/>
    <w:rsid w:val="4DC8C500"/>
    <w:rsid w:val="4DCFA8C9"/>
    <w:rsid w:val="4DD08720"/>
    <w:rsid w:val="4DD6A482"/>
    <w:rsid w:val="4DD8CD7F"/>
    <w:rsid w:val="4DDC2D3E"/>
    <w:rsid w:val="4DE0CFD8"/>
    <w:rsid w:val="4DE4422A"/>
    <w:rsid w:val="4DE7862B"/>
    <w:rsid w:val="4DE88ED2"/>
    <w:rsid w:val="4DF58F41"/>
    <w:rsid w:val="4DFAE8A9"/>
    <w:rsid w:val="4E05A25F"/>
    <w:rsid w:val="4E070364"/>
    <w:rsid w:val="4E0DA1BA"/>
    <w:rsid w:val="4E16B5DE"/>
    <w:rsid w:val="4E1C431C"/>
    <w:rsid w:val="4E20434C"/>
    <w:rsid w:val="4E2263D7"/>
    <w:rsid w:val="4E2373E9"/>
    <w:rsid w:val="4E33E039"/>
    <w:rsid w:val="4E34F212"/>
    <w:rsid w:val="4E374CC2"/>
    <w:rsid w:val="4E37B464"/>
    <w:rsid w:val="4E3D46C3"/>
    <w:rsid w:val="4E427F32"/>
    <w:rsid w:val="4E457BBE"/>
    <w:rsid w:val="4E4FF662"/>
    <w:rsid w:val="4E54CB96"/>
    <w:rsid w:val="4E57F80F"/>
    <w:rsid w:val="4E585CA1"/>
    <w:rsid w:val="4E59024E"/>
    <w:rsid w:val="4E5C726D"/>
    <w:rsid w:val="4E5DE845"/>
    <w:rsid w:val="4E609ADC"/>
    <w:rsid w:val="4E6B624C"/>
    <w:rsid w:val="4E6E9997"/>
    <w:rsid w:val="4E71A507"/>
    <w:rsid w:val="4E80EFF3"/>
    <w:rsid w:val="4E903D35"/>
    <w:rsid w:val="4E924BA1"/>
    <w:rsid w:val="4E949181"/>
    <w:rsid w:val="4E9A1027"/>
    <w:rsid w:val="4E9BAB0F"/>
    <w:rsid w:val="4E9E2853"/>
    <w:rsid w:val="4EA73124"/>
    <w:rsid w:val="4EAC22F7"/>
    <w:rsid w:val="4EB9CE1F"/>
    <w:rsid w:val="4EBC0D89"/>
    <w:rsid w:val="4EC22A00"/>
    <w:rsid w:val="4EC7FE35"/>
    <w:rsid w:val="4ED2BB73"/>
    <w:rsid w:val="4EDC3331"/>
    <w:rsid w:val="4EDDEEE3"/>
    <w:rsid w:val="4EDF9D12"/>
    <w:rsid w:val="4EE18076"/>
    <w:rsid w:val="4EE32EEB"/>
    <w:rsid w:val="4EE6024E"/>
    <w:rsid w:val="4EE615FD"/>
    <w:rsid w:val="4EE82D22"/>
    <w:rsid w:val="4EE89AA9"/>
    <w:rsid w:val="4EE9DA00"/>
    <w:rsid w:val="4EED1DD0"/>
    <w:rsid w:val="4EEDD0A8"/>
    <w:rsid w:val="4EF6BA04"/>
    <w:rsid w:val="4EF71F1A"/>
    <w:rsid w:val="4EFD84A8"/>
    <w:rsid w:val="4F065EC7"/>
    <w:rsid w:val="4F088ED3"/>
    <w:rsid w:val="4F0C9992"/>
    <w:rsid w:val="4F0ED4DE"/>
    <w:rsid w:val="4F14E9D8"/>
    <w:rsid w:val="4F16826F"/>
    <w:rsid w:val="4F1A6E44"/>
    <w:rsid w:val="4F1B88D2"/>
    <w:rsid w:val="4F1E457B"/>
    <w:rsid w:val="4F2058C3"/>
    <w:rsid w:val="4F223850"/>
    <w:rsid w:val="4F2280C3"/>
    <w:rsid w:val="4F240401"/>
    <w:rsid w:val="4F2BFD51"/>
    <w:rsid w:val="4F2DAF3C"/>
    <w:rsid w:val="4F3187B2"/>
    <w:rsid w:val="4F338ADA"/>
    <w:rsid w:val="4F3B7C58"/>
    <w:rsid w:val="4F464592"/>
    <w:rsid w:val="4F489D46"/>
    <w:rsid w:val="4F4B30B7"/>
    <w:rsid w:val="4F4B6A85"/>
    <w:rsid w:val="4F4DB797"/>
    <w:rsid w:val="4F5D0732"/>
    <w:rsid w:val="4F674C01"/>
    <w:rsid w:val="4F6B7E35"/>
    <w:rsid w:val="4F73776F"/>
    <w:rsid w:val="4F7FBCAF"/>
    <w:rsid w:val="4F87BFC1"/>
    <w:rsid w:val="4F89EBB4"/>
    <w:rsid w:val="4F8C8DFF"/>
    <w:rsid w:val="4F96A19B"/>
    <w:rsid w:val="4F9DA176"/>
    <w:rsid w:val="4FA03ECC"/>
    <w:rsid w:val="4FA19A49"/>
    <w:rsid w:val="4FA797B2"/>
    <w:rsid w:val="4FACF8B6"/>
    <w:rsid w:val="4FAE5A13"/>
    <w:rsid w:val="4FAF0D39"/>
    <w:rsid w:val="4FB2E74A"/>
    <w:rsid w:val="4FB8E32C"/>
    <w:rsid w:val="4FC56F43"/>
    <w:rsid w:val="4FC5922D"/>
    <w:rsid w:val="4FC67FEA"/>
    <w:rsid w:val="4FC71125"/>
    <w:rsid w:val="4FC7151F"/>
    <w:rsid w:val="4FCE10E7"/>
    <w:rsid w:val="4FD07092"/>
    <w:rsid w:val="4FD0FAC7"/>
    <w:rsid w:val="4FD476A6"/>
    <w:rsid w:val="4FD62E37"/>
    <w:rsid w:val="4FD91724"/>
    <w:rsid w:val="4FDB31D2"/>
    <w:rsid w:val="4FDEC9A5"/>
    <w:rsid w:val="4FE7A81B"/>
    <w:rsid w:val="4FE90118"/>
    <w:rsid w:val="4FE96FF9"/>
    <w:rsid w:val="4FEB485D"/>
    <w:rsid w:val="4FF4BA05"/>
    <w:rsid w:val="4FF51414"/>
    <w:rsid w:val="4FFADEE6"/>
    <w:rsid w:val="50002900"/>
    <w:rsid w:val="5002A29E"/>
    <w:rsid w:val="5004F745"/>
    <w:rsid w:val="50095787"/>
    <w:rsid w:val="500F1653"/>
    <w:rsid w:val="50186A36"/>
    <w:rsid w:val="501995AC"/>
    <w:rsid w:val="5022B665"/>
    <w:rsid w:val="5025B021"/>
    <w:rsid w:val="502659EF"/>
    <w:rsid w:val="50271E30"/>
    <w:rsid w:val="5028CB1E"/>
    <w:rsid w:val="502CEF69"/>
    <w:rsid w:val="503411BB"/>
    <w:rsid w:val="50364416"/>
    <w:rsid w:val="504049F7"/>
    <w:rsid w:val="504223E4"/>
    <w:rsid w:val="504935DC"/>
    <w:rsid w:val="50558638"/>
    <w:rsid w:val="505E4DF7"/>
    <w:rsid w:val="505ECB1D"/>
    <w:rsid w:val="5064D22B"/>
    <w:rsid w:val="5066D74D"/>
    <w:rsid w:val="50701AE1"/>
    <w:rsid w:val="5072CEA5"/>
    <w:rsid w:val="5076ED60"/>
    <w:rsid w:val="507CC80D"/>
    <w:rsid w:val="507E96D0"/>
    <w:rsid w:val="508144C6"/>
    <w:rsid w:val="5082B21B"/>
    <w:rsid w:val="508860C5"/>
    <w:rsid w:val="508C2F1B"/>
    <w:rsid w:val="50947EB4"/>
    <w:rsid w:val="5096D96B"/>
    <w:rsid w:val="50984EC4"/>
    <w:rsid w:val="509CAA1A"/>
    <w:rsid w:val="509EEA74"/>
    <w:rsid w:val="50A2836F"/>
    <w:rsid w:val="50A64BCB"/>
    <w:rsid w:val="50A9E3B0"/>
    <w:rsid w:val="50AA9604"/>
    <w:rsid w:val="50B67E41"/>
    <w:rsid w:val="50CAA2C4"/>
    <w:rsid w:val="50CD0816"/>
    <w:rsid w:val="50CEBB5D"/>
    <w:rsid w:val="50D1EE45"/>
    <w:rsid w:val="50DBA970"/>
    <w:rsid w:val="50DE1D6D"/>
    <w:rsid w:val="50E1C999"/>
    <w:rsid w:val="50E3115F"/>
    <w:rsid w:val="50F61CF2"/>
    <w:rsid w:val="50FC2412"/>
    <w:rsid w:val="5105A7F5"/>
    <w:rsid w:val="510899DE"/>
    <w:rsid w:val="5109FE13"/>
    <w:rsid w:val="5111E40D"/>
    <w:rsid w:val="51125E85"/>
    <w:rsid w:val="51257BC9"/>
    <w:rsid w:val="5126A43E"/>
    <w:rsid w:val="51292088"/>
    <w:rsid w:val="512A040C"/>
    <w:rsid w:val="512A810A"/>
    <w:rsid w:val="512DA3A3"/>
    <w:rsid w:val="512E7D85"/>
    <w:rsid w:val="512F2F46"/>
    <w:rsid w:val="51304F59"/>
    <w:rsid w:val="51392430"/>
    <w:rsid w:val="513942B3"/>
    <w:rsid w:val="51398459"/>
    <w:rsid w:val="514C5829"/>
    <w:rsid w:val="514F5D16"/>
    <w:rsid w:val="5152B899"/>
    <w:rsid w:val="5154AFED"/>
    <w:rsid w:val="5154E2E5"/>
    <w:rsid w:val="515D03DE"/>
    <w:rsid w:val="515D9C61"/>
    <w:rsid w:val="5160B51B"/>
    <w:rsid w:val="5162F1C2"/>
    <w:rsid w:val="5163FC4E"/>
    <w:rsid w:val="51653932"/>
    <w:rsid w:val="516543D4"/>
    <w:rsid w:val="51694731"/>
    <w:rsid w:val="516C2DDB"/>
    <w:rsid w:val="516EA198"/>
    <w:rsid w:val="5172FC07"/>
    <w:rsid w:val="517B4CFB"/>
    <w:rsid w:val="517FFC8D"/>
    <w:rsid w:val="51857983"/>
    <w:rsid w:val="518D0A24"/>
    <w:rsid w:val="51902F3E"/>
    <w:rsid w:val="51919852"/>
    <w:rsid w:val="51988FCE"/>
    <w:rsid w:val="51A1CC4E"/>
    <w:rsid w:val="51A6C1C0"/>
    <w:rsid w:val="51A9B920"/>
    <w:rsid w:val="51AF2DE9"/>
    <w:rsid w:val="51B28BE4"/>
    <w:rsid w:val="51C24C83"/>
    <w:rsid w:val="51C51BA0"/>
    <w:rsid w:val="51C54A29"/>
    <w:rsid w:val="51CA2239"/>
    <w:rsid w:val="51D08A30"/>
    <w:rsid w:val="51D48AB3"/>
    <w:rsid w:val="51D6747C"/>
    <w:rsid w:val="51D8E888"/>
    <w:rsid w:val="51DC8614"/>
    <w:rsid w:val="51E32332"/>
    <w:rsid w:val="51EAB83B"/>
    <w:rsid w:val="51F073DC"/>
    <w:rsid w:val="51F16251"/>
    <w:rsid w:val="51F238AA"/>
    <w:rsid w:val="51F56B96"/>
    <w:rsid w:val="51F5EDD6"/>
    <w:rsid w:val="51FA4950"/>
    <w:rsid w:val="51FF0660"/>
    <w:rsid w:val="51FF26D4"/>
    <w:rsid w:val="5202B823"/>
    <w:rsid w:val="52042EF5"/>
    <w:rsid w:val="520452A4"/>
    <w:rsid w:val="52068A5D"/>
    <w:rsid w:val="520B3606"/>
    <w:rsid w:val="520E8FCA"/>
    <w:rsid w:val="521185B2"/>
    <w:rsid w:val="52193437"/>
    <w:rsid w:val="5222B300"/>
    <w:rsid w:val="5224494F"/>
    <w:rsid w:val="5228F133"/>
    <w:rsid w:val="522ACC74"/>
    <w:rsid w:val="52350167"/>
    <w:rsid w:val="5239B6F4"/>
    <w:rsid w:val="523FE34B"/>
    <w:rsid w:val="5241DB47"/>
    <w:rsid w:val="524ECBD4"/>
    <w:rsid w:val="524FDA14"/>
    <w:rsid w:val="5254684B"/>
    <w:rsid w:val="525A5E09"/>
    <w:rsid w:val="52628C79"/>
    <w:rsid w:val="526B5684"/>
    <w:rsid w:val="52703D19"/>
    <w:rsid w:val="527365F6"/>
    <w:rsid w:val="52744BA0"/>
    <w:rsid w:val="52752ABD"/>
    <w:rsid w:val="527AF06E"/>
    <w:rsid w:val="527DF80B"/>
    <w:rsid w:val="527F4D81"/>
    <w:rsid w:val="528D40FC"/>
    <w:rsid w:val="529F8C37"/>
    <w:rsid w:val="52A1BD5A"/>
    <w:rsid w:val="52A916FF"/>
    <w:rsid w:val="52A94C42"/>
    <w:rsid w:val="52AD54D4"/>
    <w:rsid w:val="52AF9E61"/>
    <w:rsid w:val="52B59263"/>
    <w:rsid w:val="52BB4808"/>
    <w:rsid w:val="52C1DAF8"/>
    <w:rsid w:val="52C78F54"/>
    <w:rsid w:val="52D10652"/>
    <w:rsid w:val="52D2E2BB"/>
    <w:rsid w:val="52D55198"/>
    <w:rsid w:val="52DFC187"/>
    <w:rsid w:val="52F01577"/>
    <w:rsid w:val="52F3C289"/>
    <w:rsid w:val="52FACDC6"/>
    <w:rsid w:val="52FEB110"/>
    <w:rsid w:val="52FF2763"/>
    <w:rsid w:val="5316D9EF"/>
    <w:rsid w:val="53177144"/>
    <w:rsid w:val="53195C47"/>
    <w:rsid w:val="531C5266"/>
    <w:rsid w:val="53218031"/>
    <w:rsid w:val="5326EC40"/>
    <w:rsid w:val="53289595"/>
    <w:rsid w:val="532F57B6"/>
    <w:rsid w:val="533324EA"/>
    <w:rsid w:val="5338EA76"/>
    <w:rsid w:val="533B21DB"/>
    <w:rsid w:val="533BC45C"/>
    <w:rsid w:val="533DA03D"/>
    <w:rsid w:val="5348F7F5"/>
    <w:rsid w:val="53500AF8"/>
    <w:rsid w:val="535A5727"/>
    <w:rsid w:val="535EBEF2"/>
    <w:rsid w:val="536DA461"/>
    <w:rsid w:val="536F75AE"/>
    <w:rsid w:val="53700DB9"/>
    <w:rsid w:val="5374E8A7"/>
    <w:rsid w:val="5377D4B1"/>
    <w:rsid w:val="537C1C3B"/>
    <w:rsid w:val="537C2286"/>
    <w:rsid w:val="537E2DB3"/>
    <w:rsid w:val="5388CB7A"/>
    <w:rsid w:val="53955048"/>
    <w:rsid w:val="539B87ED"/>
    <w:rsid w:val="53A03591"/>
    <w:rsid w:val="53B0E36A"/>
    <w:rsid w:val="53B229E7"/>
    <w:rsid w:val="53B5D9D1"/>
    <w:rsid w:val="53B763C8"/>
    <w:rsid w:val="53B94441"/>
    <w:rsid w:val="53B9DF84"/>
    <w:rsid w:val="53BD0224"/>
    <w:rsid w:val="53C5725B"/>
    <w:rsid w:val="53C8B8E7"/>
    <w:rsid w:val="53CA6E74"/>
    <w:rsid w:val="53CC1E70"/>
    <w:rsid w:val="53D2EFE3"/>
    <w:rsid w:val="53D49C21"/>
    <w:rsid w:val="53D695D9"/>
    <w:rsid w:val="53D7F8F9"/>
    <w:rsid w:val="53DA939A"/>
    <w:rsid w:val="53DAE651"/>
    <w:rsid w:val="53DD5D56"/>
    <w:rsid w:val="53E9C34D"/>
    <w:rsid w:val="53EFD1F3"/>
    <w:rsid w:val="53F327C4"/>
    <w:rsid w:val="53F4B57A"/>
    <w:rsid w:val="53F8688D"/>
    <w:rsid w:val="5400D350"/>
    <w:rsid w:val="5404C99B"/>
    <w:rsid w:val="54050113"/>
    <w:rsid w:val="54115D05"/>
    <w:rsid w:val="54148322"/>
    <w:rsid w:val="5417A4B0"/>
    <w:rsid w:val="541DA856"/>
    <w:rsid w:val="5420F29B"/>
    <w:rsid w:val="54220036"/>
    <w:rsid w:val="5426D193"/>
    <w:rsid w:val="54296298"/>
    <w:rsid w:val="5429F134"/>
    <w:rsid w:val="542F74AB"/>
    <w:rsid w:val="54339D19"/>
    <w:rsid w:val="5433B4B7"/>
    <w:rsid w:val="5435C501"/>
    <w:rsid w:val="5436322A"/>
    <w:rsid w:val="545090FF"/>
    <w:rsid w:val="5453B549"/>
    <w:rsid w:val="54543760"/>
    <w:rsid w:val="54571869"/>
    <w:rsid w:val="5459B750"/>
    <w:rsid w:val="545A5255"/>
    <w:rsid w:val="545A7E58"/>
    <w:rsid w:val="545DC611"/>
    <w:rsid w:val="54639401"/>
    <w:rsid w:val="546429FF"/>
    <w:rsid w:val="546E5ACC"/>
    <w:rsid w:val="54780D3E"/>
    <w:rsid w:val="547A8B31"/>
    <w:rsid w:val="547B1EAE"/>
    <w:rsid w:val="547B7FB2"/>
    <w:rsid w:val="548CC2A6"/>
    <w:rsid w:val="548D19FD"/>
    <w:rsid w:val="548DF02B"/>
    <w:rsid w:val="54966F5B"/>
    <w:rsid w:val="54992AD0"/>
    <w:rsid w:val="549A9BA6"/>
    <w:rsid w:val="549CB900"/>
    <w:rsid w:val="54AC2B32"/>
    <w:rsid w:val="54BC4B8D"/>
    <w:rsid w:val="54BE1CF7"/>
    <w:rsid w:val="54CC51B7"/>
    <w:rsid w:val="54D32177"/>
    <w:rsid w:val="54DA982F"/>
    <w:rsid w:val="54EDC1BB"/>
    <w:rsid w:val="54F26317"/>
    <w:rsid w:val="54F68431"/>
    <w:rsid w:val="54FAE139"/>
    <w:rsid w:val="54FB625C"/>
    <w:rsid w:val="550044EA"/>
    <w:rsid w:val="5503F333"/>
    <w:rsid w:val="550CD519"/>
    <w:rsid w:val="550FECBC"/>
    <w:rsid w:val="55107355"/>
    <w:rsid w:val="551463E8"/>
    <w:rsid w:val="55157326"/>
    <w:rsid w:val="551DE03D"/>
    <w:rsid w:val="551E92A4"/>
    <w:rsid w:val="552C6F89"/>
    <w:rsid w:val="552EE4A2"/>
    <w:rsid w:val="5532291A"/>
    <w:rsid w:val="553545BC"/>
    <w:rsid w:val="5537B4C7"/>
    <w:rsid w:val="5537EAFB"/>
    <w:rsid w:val="55393C3F"/>
    <w:rsid w:val="553B04D6"/>
    <w:rsid w:val="553D51A0"/>
    <w:rsid w:val="55435611"/>
    <w:rsid w:val="55477450"/>
    <w:rsid w:val="554CC3BD"/>
    <w:rsid w:val="555029AF"/>
    <w:rsid w:val="556BFFD2"/>
    <w:rsid w:val="556C10B9"/>
    <w:rsid w:val="556DB188"/>
    <w:rsid w:val="556EE834"/>
    <w:rsid w:val="55758A9B"/>
    <w:rsid w:val="55767256"/>
    <w:rsid w:val="557DFE2F"/>
    <w:rsid w:val="55905438"/>
    <w:rsid w:val="55A4B7E2"/>
    <w:rsid w:val="55A5F449"/>
    <w:rsid w:val="55AB8B05"/>
    <w:rsid w:val="55B3166C"/>
    <w:rsid w:val="55BEF6E4"/>
    <w:rsid w:val="55C31043"/>
    <w:rsid w:val="55C3F4F9"/>
    <w:rsid w:val="55C98C55"/>
    <w:rsid w:val="55D3985D"/>
    <w:rsid w:val="55D3BBE2"/>
    <w:rsid w:val="55D69830"/>
    <w:rsid w:val="55DAC374"/>
    <w:rsid w:val="55EF337E"/>
    <w:rsid w:val="55EFE85A"/>
    <w:rsid w:val="55F43944"/>
    <w:rsid w:val="55F6BB62"/>
    <w:rsid w:val="55F77B87"/>
    <w:rsid w:val="55FA1EF7"/>
    <w:rsid w:val="56059CBE"/>
    <w:rsid w:val="560BC6D3"/>
    <w:rsid w:val="561E37B3"/>
    <w:rsid w:val="561F9B35"/>
    <w:rsid w:val="562AE943"/>
    <w:rsid w:val="562DAEC8"/>
    <w:rsid w:val="56382A5B"/>
    <w:rsid w:val="56388961"/>
    <w:rsid w:val="563EF71E"/>
    <w:rsid w:val="5648B393"/>
    <w:rsid w:val="56654AE3"/>
    <w:rsid w:val="56690183"/>
    <w:rsid w:val="56698712"/>
    <w:rsid w:val="566B7A80"/>
    <w:rsid w:val="566DFF98"/>
    <w:rsid w:val="5682937C"/>
    <w:rsid w:val="56837648"/>
    <w:rsid w:val="5690A5A6"/>
    <w:rsid w:val="5697B311"/>
    <w:rsid w:val="569AF60D"/>
    <w:rsid w:val="569BF3CC"/>
    <w:rsid w:val="569C2874"/>
    <w:rsid w:val="569D110E"/>
    <w:rsid w:val="56AD2624"/>
    <w:rsid w:val="56B38A61"/>
    <w:rsid w:val="56B86DEA"/>
    <w:rsid w:val="56BDB3FD"/>
    <w:rsid w:val="56C1A088"/>
    <w:rsid w:val="56C73059"/>
    <w:rsid w:val="56C78242"/>
    <w:rsid w:val="56CF01FB"/>
    <w:rsid w:val="56D0CC71"/>
    <w:rsid w:val="56D2B58A"/>
    <w:rsid w:val="56D457BF"/>
    <w:rsid w:val="56E1EE0C"/>
    <w:rsid w:val="56E2AFC3"/>
    <w:rsid w:val="56E4D3B1"/>
    <w:rsid w:val="56E57164"/>
    <w:rsid w:val="56E795A3"/>
    <w:rsid w:val="56F37083"/>
    <w:rsid w:val="56F699A8"/>
    <w:rsid w:val="56FA01E0"/>
    <w:rsid w:val="56FDF158"/>
    <w:rsid w:val="570223A8"/>
    <w:rsid w:val="5711C4F3"/>
    <w:rsid w:val="5721435F"/>
    <w:rsid w:val="5723261E"/>
    <w:rsid w:val="572363F6"/>
    <w:rsid w:val="57239F69"/>
    <w:rsid w:val="57249E7A"/>
    <w:rsid w:val="572844B5"/>
    <w:rsid w:val="5729181A"/>
    <w:rsid w:val="5741C6B5"/>
    <w:rsid w:val="57422325"/>
    <w:rsid w:val="57466868"/>
    <w:rsid w:val="57490B82"/>
    <w:rsid w:val="574C445D"/>
    <w:rsid w:val="575163DA"/>
    <w:rsid w:val="5751C0D6"/>
    <w:rsid w:val="57552ABF"/>
    <w:rsid w:val="5757E674"/>
    <w:rsid w:val="576C5430"/>
    <w:rsid w:val="576DCC9B"/>
    <w:rsid w:val="5775DACE"/>
    <w:rsid w:val="5778D053"/>
    <w:rsid w:val="577A8F70"/>
    <w:rsid w:val="577AB6DA"/>
    <w:rsid w:val="577C3E76"/>
    <w:rsid w:val="577C6ACC"/>
    <w:rsid w:val="5787B10A"/>
    <w:rsid w:val="578B537F"/>
    <w:rsid w:val="578E9F1F"/>
    <w:rsid w:val="579320D2"/>
    <w:rsid w:val="579B989E"/>
    <w:rsid w:val="57A4C034"/>
    <w:rsid w:val="57ADF543"/>
    <w:rsid w:val="57B3207F"/>
    <w:rsid w:val="57B86D7E"/>
    <w:rsid w:val="57BAFD34"/>
    <w:rsid w:val="57BD8ED8"/>
    <w:rsid w:val="57C2F9F4"/>
    <w:rsid w:val="57C9461D"/>
    <w:rsid w:val="57D859D7"/>
    <w:rsid w:val="57DB070B"/>
    <w:rsid w:val="57E61C35"/>
    <w:rsid w:val="57E692F1"/>
    <w:rsid w:val="57EBF2A8"/>
    <w:rsid w:val="57EEA25C"/>
    <w:rsid w:val="57F37D51"/>
    <w:rsid w:val="57F5F1C6"/>
    <w:rsid w:val="57F67973"/>
    <w:rsid w:val="57FEC533"/>
    <w:rsid w:val="57FF2632"/>
    <w:rsid w:val="5801BFDC"/>
    <w:rsid w:val="580283D9"/>
    <w:rsid w:val="5804D1E4"/>
    <w:rsid w:val="58093B8B"/>
    <w:rsid w:val="58106DCB"/>
    <w:rsid w:val="5814E72C"/>
    <w:rsid w:val="5820FDFE"/>
    <w:rsid w:val="5827148E"/>
    <w:rsid w:val="582CB859"/>
    <w:rsid w:val="582DC84A"/>
    <w:rsid w:val="582DCA89"/>
    <w:rsid w:val="5837FDEA"/>
    <w:rsid w:val="583850BB"/>
    <w:rsid w:val="583A6891"/>
    <w:rsid w:val="583BE414"/>
    <w:rsid w:val="583C92C0"/>
    <w:rsid w:val="584137A3"/>
    <w:rsid w:val="584A094B"/>
    <w:rsid w:val="5857A84C"/>
    <w:rsid w:val="585C6457"/>
    <w:rsid w:val="585E747E"/>
    <w:rsid w:val="58603E33"/>
    <w:rsid w:val="58619589"/>
    <w:rsid w:val="58667086"/>
    <w:rsid w:val="587D6AD9"/>
    <w:rsid w:val="588063CE"/>
    <w:rsid w:val="5884B702"/>
    <w:rsid w:val="588F1A90"/>
    <w:rsid w:val="5891878E"/>
    <w:rsid w:val="5891E97C"/>
    <w:rsid w:val="589470A5"/>
    <w:rsid w:val="589B23F0"/>
    <w:rsid w:val="589E0160"/>
    <w:rsid w:val="589F11C6"/>
    <w:rsid w:val="58A201B1"/>
    <w:rsid w:val="58ABB0E9"/>
    <w:rsid w:val="58ABF286"/>
    <w:rsid w:val="58B01705"/>
    <w:rsid w:val="58B1E49B"/>
    <w:rsid w:val="58B55267"/>
    <w:rsid w:val="58BBDA8F"/>
    <w:rsid w:val="58C00F94"/>
    <w:rsid w:val="58C2B368"/>
    <w:rsid w:val="58C83B42"/>
    <w:rsid w:val="58CA4757"/>
    <w:rsid w:val="58CD0CD9"/>
    <w:rsid w:val="58D63B04"/>
    <w:rsid w:val="58D70838"/>
    <w:rsid w:val="58D9A71B"/>
    <w:rsid w:val="58DAFAFF"/>
    <w:rsid w:val="58E10649"/>
    <w:rsid w:val="58E7DFF1"/>
    <w:rsid w:val="58F11E96"/>
    <w:rsid w:val="58F1672C"/>
    <w:rsid w:val="58FBA50B"/>
    <w:rsid w:val="590379AB"/>
    <w:rsid w:val="590601BF"/>
    <w:rsid w:val="5906264A"/>
    <w:rsid w:val="590980B2"/>
    <w:rsid w:val="5912C38F"/>
    <w:rsid w:val="59136636"/>
    <w:rsid w:val="59199126"/>
    <w:rsid w:val="591A8D1F"/>
    <w:rsid w:val="591C97DC"/>
    <w:rsid w:val="592256CC"/>
    <w:rsid w:val="592921B9"/>
    <w:rsid w:val="5929A906"/>
    <w:rsid w:val="592E5307"/>
    <w:rsid w:val="59347B51"/>
    <w:rsid w:val="5938F6CD"/>
    <w:rsid w:val="593933A4"/>
    <w:rsid w:val="5942F5B2"/>
    <w:rsid w:val="59443615"/>
    <w:rsid w:val="594F1DE4"/>
    <w:rsid w:val="595090F8"/>
    <w:rsid w:val="5952ABE8"/>
    <w:rsid w:val="5956CD95"/>
    <w:rsid w:val="5959187C"/>
    <w:rsid w:val="595C46D5"/>
    <w:rsid w:val="595FF4CA"/>
    <w:rsid w:val="596BB2D1"/>
    <w:rsid w:val="597112D4"/>
    <w:rsid w:val="5975B4AB"/>
    <w:rsid w:val="59768D00"/>
    <w:rsid w:val="598443DA"/>
    <w:rsid w:val="5990B8DD"/>
    <w:rsid w:val="59944060"/>
    <w:rsid w:val="59A13432"/>
    <w:rsid w:val="59A22C59"/>
    <w:rsid w:val="59A61BCC"/>
    <w:rsid w:val="59A6929A"/>
    <w:rsid w:val="59AAF37D"/>
    <w:rsid w:val="59B2BBF5"/>
    <w:rsid w:val="59B3DA2B"/>
    <w:rsid w:val="59B63F05"/>
    <w:rsid w:val="59B82EEC"/>
    <w:rsid w:val="59BF3F8F"/>
    <w:rsid w:val="59C62275"/>
    <w:rsid w:val="59C674DA"/>
    <w:rsid w:val="59C7B042"/>
    <w:rsid w:val="59C998AB"/>
    <w:rsid w:val="59CC9373"/>
    <w:rsid w:val="59CD4CE3"/>
    <w:rsid w:val="59D00C1F"/>
    <w:rsid w:val="59D31B26"/>
    <w:rsid w:val="59D56C3F"/>
    <w:rsid w:val="59D67069"/>
    <w:rsid w:val="59D69033"/>
    <w:rsid w:val="59D8EDFD"/>
    <w:rsid w:val="59D94D88"/>
    <w:rsid w:val="59DAD3D9"/>
    <w:rsid w:val="59E1EE80"/>
    <w:rsid w:val="59E2B0F7"/>
    <w:rsid w:val="59E5C70D"/>
    <w:rsid w:val="59E9BAD9"/>
    <w:rsid w:val="59ECB311"/>
    <w:rsid w:val="59F0A0CC"/>
    <w:rsid w:val="59F23105"/>
    <w:rsid w:val="5A02C717"/>
    <w:rsid w:val="5A086D33"/>
    <w:rsid w:val="5A137813"/>
    <w:rsid w:val="5A176200"/>
    <w:rsid w:val="5A189CC6"/>
    <w:rsid w:val="5A1B787D"/>
    <w:rsid w:val="5A1F2855"/>
    <w:rsid w:val="5A1FBB4C"/>
    <w:rsid w:val="5A22A141"/>
    <w:rsid w:val="5A33BE7B"/>
    <w:rsid w:val="5A3DD212"/>
    <w:rsid w:val="5A48FF4C"/>
    <w:rsid w:val="5A4A0D1F"/>
    <w:rsid w:val="5A4A7386"/>
    <w:rsid w:val="5A4D2A64"/>
    <w:rsid w:val="5A534580"/>
    <w:rsid w:val="5A539C2E"/>
    <w:rsid w:val="5A53B7BD"/>
    <w:rsid w:val="5A5455D5"/>
    <w:rsid w:val="5A563C69"/>
    <w:rsid w:val="5A617593"/>
    <w:rsid w:val="5A63AC6C"/>
    <w:rsid w:val="5A68A1D9"/>
    <w:rsid w:val="5A698332"/>
    <w:rsid w:val="5A6FA1EA"/>
    <w:rsid w:val="5A729436"/>
    <w:rsid w:val="5A93AA85"/>
    <w:rsid w:val="5A976ACD"/>
    <w:rsid w:val="5A97F829"/>
    <w:rsid w:val="5A9B3496"/>
    <w:rsid w:val="5A9BEED5"/>
    <w:rsid w:val="5A9C9B02"/>
    <w:rsid w:val="5A9FD5EA"/>
    <w:rsid w:val="5AA12F4E"/>
    <w:rsid w:val="5AA4251B"/>
    <w:rsid w:val="5AAD8429"/>
    <w:rsid w:val="5AADF0DB"/>
    <w:rsid w:val="5AAE5F8A"/>
    <w:rsid w:val="5AB0F8DD"/>
    <w:rsid w:val="5AB3DF38"/>
    <w:rsid w:val="5AB55BCF"/>
    <w:rsid w:val="5AC141A3"/>
    <w:rsid w:val="5AC9D124"/>
    <w:rsid w:val="5ACB7C83"/>
    <w:rsid w:val="5AD12884"/>
    <w:rsid w:val="5AD1D10F"/>
    <w:rsid w:val="5AD55FA3"/>
    <w:rsid w:val="5AD5A716"/>
    <w:rsid w:val="5ADA68CB"/>
    <w:rsid w:val="5AE3EB57"/>
    <w:rsid w:val="5AED46AF"/>
    <w:rsid w:val="5AF248DF"/>
    <w:rsid w:val="5AF48DD5"/>
    <w:rsid w:val="5AFAF730"/>
    <w:rsid w:val="5AFB9233"/>
    <w:rsid w:val="5B00A26E"/>
    <w:rsid w:val="5B02230B"/>
    <w:rsid w:val="5B050327"/>
    <w:rsid w:val="5B0584EA"/>
    <w:rsid w:val="5B068E2A"/>
    <w:rsid w:val="5B12C196"/>
    <w:rsid w:val="5B17324B"/>
    <w:rsid w:val="5B1ACEA5"/>
    <w:rsid w:val="5B1F939F"/>
    <w:rsid w:val="5B2B2EED"/>
    <w:rsid w:val="5B2B33CC"/>
    <w:rsid w:val="5B304EAB"/>
    <w:rsid w:val="5B364F81"/>
    <w:rsid w:val="5B3987E4"/>
    <w:rsid w:val="5B3A249B"/>
    <w:rsid w:val="5B415C54"/>
    <w:rsid w:val="5B43A9FF"/>
    <w:rsid w:val="5B484DD5"/>
    <w:rsid w:val="5B497D03"/>
    <w:rsid w:val="5B4B2219"/>
    <w:rsid w:val="5B4E6A03"/>
    <w:rsid w:val="5B522250"/>
    <w:rsid w:val="5B536CF5"/>
    <w:rsid w:val="5B5F6AD2"/>
    <w:rsid w:val="5B626F55"/>
    <w:rsid w:val="5B682AF5"/>
    <w:rsid w:val="5B76D494"/>
    <w:rsid w:val="5B792328"/>
    <w:rsid w:val="5B7ABA1A"/>
    <w:rsid w:val="5B7E16C1"/>
    <w:rsid w:val="5B872B09"/>
    <w:rsid w:val="5B89DE62"/>
    <w:rsid w:val="5B89FBBF"/>
    <w:rsid w:val="5B8A588F"/>
    <w:rsid w:val="5BAB49A8"/>
    <w:rsid w:val="5BAD98D6"/>
    <w:rsid w:val="5BB28763"/>
    <w:rsid w:val="5BB671B0"/>
    <w:rsid w:val="5BBC027D"/>
    <w:rsid w:val="5BBCFEF4"/>
    <w:rsid w:val="5BBEFE7A"/>
    <w:rsid w:val="5BC37C5A"/>
    <w:rsid w:val="5BCB3805"/>
    <w:rsid w:val="5BCFE644"/>
    <w:rsid w:val="5BDF9045"/>
    <w:rsid w:val="5BE53616"/>
    <w:rsid w:val="5BE554D4"/>
    <w:rsid w:val="5BE82E9E"/>
    <w:rsid w:val="5BECD9A3"/>
    <w:rsid w:val="5BFE2E00"/>
    <w:rsid w:val="5C0C13F0"/>
    <w:rsid w:val="5C0CDB7A"/>
    <w:rsid w:val="5C0D0170"/>
    <w:rsid w:val="5C0E20AB"/>
    <w:rsid w:val="5C0F09A7"/>
    <w:rsid w:val="5C103764"/>
    <w:rsid w:val="5C105707"/>
    <w:rsid w:val="5C12E9A6"/>
    <w:rsid w:val="5C137881"/>
    <w:rsid w:val="5C17E9C9"/>
    <w:rsid w:val="5C212EB7"/>
    <w:rsid w:val="5C281AF8"/>
    <w:rsid w:val="5C326033"/>
    <w:rsid w:val="5C3440D4"/>
    <w:rsid w:val="5C381230"/>
    <w:rsid w:val="5C399011"/>
    <w:rsid w:val="5C4009BF"/>
    <w:rsid w:val="5C42AFD1"/>
    <w:rsid w:val="5C43A7FD"/>
    <w:rsid w:val="5C46BDBA"/>
    <w:rsid w:val="5C491E62"/>
    <w:rsid w:val="5C4CC93E"/>
    <w:rsid w:val="5C531074"/>
    <w:rsid w:val="5C546B8F"/>
    <w:rsid w:val="5C550A13"/>
    <w:rsid w:val="5C5C0496"/>
    <w:rsid w:val="5C5CADAF"/>
    <w:rsid w:val="5C5FEA95"/>
    <w:rsid w:val="5C605FB2"/>
    <w:rsid w:val="5C6379B3"/>
    <w:rsid w:val="5C67D165"/>
    <w:rsid w:val="5C6A1B63"/>
    <w:rsid w:val="5C721BBB"/>
    <w:rsid w:val="5C74B3A2"/>
    <w:rsid w:val="5C753F8D"/>
    <w:rsid w:val="5C783F9D"/>
    <w:rsid w:val="5C7FCE6D"/>
    <w:rsid w:val="5C8170E9"/>
    <w:rsid w:val="5C83649C"/>
    <w:rsid w:val="5C83A1C4"/>
    <w:rsid w:val="5C87CDD1"/>
    <w:rsid w:val="5C9717CD"/>
    <w:rsid w:val="5C97E176"/>
    <w:rsid w:val="5C98C291"/>
    <w:rsid w:val="5C9CB3B2"/>
    <w:rsid w:val="5CA3A136"/>
    <w:rsid w:val="5CAA0C3F"/>
    <w:rsid w:val="5CAB60A2"/>
    <w:rsid w:val="5CAD4537"/>
    <w:rsid w:val="5CAEBA1B"/>
    <w:rsid w:val="5CAF33E4"/>
    <w:rsid w:val="5CB194B0"/>
    <w:rsid w:val="5CB4B361"/>
    <w:rsid w:val="5CBE8F25"/>
    <w:rsid w:val="5CBF8C1B"/>
    <w:rsid w:val="5CC19400"/>
    <w:rsid w:val="5CC1EDB6"/>
    <w:rsid w:val="5CCA9170"/>
    <w:rsid w:val="5CCB1AA5"/>
    <w:rsid w:val="5CD0DC4C"/>
    <w:rsid w:val="5CD35CD7"/>
    <w:rsid w:val="5CDFDADA"/>
    <w:rsid w:val="5CE30C6A"/>
    <w:rsid w:val="5CEA4857"/>
    <w:rsid w:val="5CEA530B"/>
    <w:rsid w:val="5CF56DD2"/>
    <w:rsid w:val="5CFA2957"/>
    <w:rsid w:val="5CFC1C45"/>
    <w:rsid w:val="5D01396D"/>
    <w:rsid w:val="5D0768E6"/>
    <w:rsid w:val="5D097599"/>
    <w:rsid w:val="5D130164"/>
    <w:rsid w:val="5D157297"/>
    <w:rsid w:val="5D1C1398"/>
    <w:rsid w:val="5D23C704"/>
    <w:rsid w:val="5D27E635"/>
    <w:rsid w:val="5D2A0DD4"/>
    <w:rsid w:val="5D30584A"/>
    <w:rsid w:val="5D336A0C"/>
    <w:rsid w:val="5D362E33"/>
    <w:rsid w:val="5D367E27"/>
    <w:rsid w:val="5D378709"/>
    <w:rsid w:val="5D39FEF6"/>
    <w:rsid w:val="5D3DEC23"/>
    <w:rsid w:val="5D400DF5"/>
    <w:rsid w:val="5D41598F"/>
    <w:rsid w:val="5D44C511"/>
    <w:rsid w:val="5D495D3D"/>
    <w:rsid w:val="5D4A9E72"/>
    <w:rsid w:val="5D4C3ACB"/>
    <w:rsid w:val="5D523A69"/>
    <w:rsid w:val="5D5BF163"/>
    <w:rsid w:val="5D5EFB83"/>
    <w:rsid w:val="5D664813"/>
    <w:rsid w:val="5D690138"/>
    <w:rsid w:val="5D6BCA4E"/>
    <w:rsid w:val="5D70225F"/>
    <w:rsid w:val="5D7202EA"/>
    <w:rsid w:val="5D79E9AA"/>
    <w:rsid w:val="5D7B8368"/>
    <w:rsid w:val="5D83F407"/>
    <w:rsid w:val="5D883D25"/>
    <w:rsid w:val="5D88FD44"/>
    <w:rsid w:val="5D910EFD"/>
    <w:rsid w:val="5D947563"/>
    <w:rsid w:val="5D9D8F5C"/>
    <w:rsid w:val="5DA788E0"/>
    <w:rsid w:val="5DB8AEDF"/>
    <w:rsid w:val="5DB915F0"/>
    <w:rsid w:val="5DBA731A"/>
    <w:rsid w:val="5DBC3983"/>
    <w:rsid w:val="5DBDBD47"/>
    <w:rsid w:val="5DCF1855"/>
    <w:rsid w:val="5DD766F7"/>
    <w:rsid w:val="5DDC56D1"/>
    <w:rsid w:val="5DDE69F9"/>
    <w:rsid w:val="5DE1A516"/>
    <w:rsid w:val="5DE1AF7B"/>
    <w:rsid w:val="5DE2D894"/>
    <w:rsid w:val="5DEB322E"/>
    <w:rsid w:val="5DF26B81"/>
    <w:rsid w:val="5DF4F24A"/>
    <w:rsid w:val="5DFA4BDE"/>
    <w:rsid w:val="5DFDEAA7"/>
    <w:rsid w:val="5DFFFE46"/>
    <w:rsid w:val="5E043CAA"/>
    <w:rsid w:val="5E04AE81"/>
    <w:rsid w:val="5E069788"/>
    <w:rsid w:val="5E0B74EF"/>
    <w:rsid w:val="5E0BE322"/>
    <w:rsid w:val="5E12C83C"/>
    <w:rsid w:val="5E12F70B"/>
    <w:rsid w:val="5E164CF2"/>
    <w:rsid w:val="5E193674"/>
    <w:rsid w:val="5E1C74AF"/>
    <w:rsid w:val="5E1F59C4"/>
    <w:rsid w:val="5E2A72E9"/>
    <w:rsid w:val="5E2CE4A7"/>
    <w:rsid w:val="5E350C36"/>
    <w:rsid w:val="5E3EC899"/>
    <w:rsid w:val="5E3FE31E"/>
    <w:rsid w:val="5E4A5F63"/>
    <w:rsid w:val="5E62941F"/>
    <w:rsid w:val="5E63FDF2"/>
    <w:rsid w:val="5E66F6B4"/>
    <w:rsid w:val="5E687F42"/>
    <w:rsid w:val="5E689DEE"/>
    <w:rsid w:val="5E6D0DF3"/>
    <w:rsid w:val="5E72D62D"/>
    <w:rsid w:val="5E759D7C"/>
    <w:rsid w:val="5E7FB859"/>
    <w:rsid w:val="5E823C46"/>
    <w:rsid w:val="5E898790"/>
    <w:rsid w:val="5E8B85E2"/>
    <w:rsid w:val="5E959139"/>
    <w:rsid w:val="5E973904"/>
    <w:rsid w:val="5EA023FA"/>
    <w:rsid w:val="5EA292B4"/>
    <w:rsid w:val="5EA3A557"/>
    <w:rsid w:val="5EAA4057"/>
    <w:rsid w:val="5EAAA4DD"/>
    <w:rsid w:val="5EBC2B45"/>
    <w:rsid w:val="5EBC683E"/>
    <w:rsid w:val="5EC04E7C"/>
    <w:rsid w:val="5EC5695B"/>
    <w:rsid w:val="5EC633A4"/>
    <w:rsid w:val="5EC8B837"/>
    <w:rsid w:val="5ECB51D2"/>
    <w:rsid w:val="5ECB6E6C"/>
    <w:rsid w:val="5ED8CE27"/>
    <w:rsid w:val="5EDBDE56"/>
    <w:rsid w:val="5EDC3A61"/>
    <w:rsid w:val="5EDED552"/>
    <w:rsid w:val="5EDF02E8"/>
    <w:rsid w:val="5EE4A0F6"/>
    <w:rsid w:val="5EEE42B7"/>
    <w:rsid w:val="5EFBCB2A"/>
    <w:rsid w:val="5EFEF264"/>
    <w:rsid w:val="5F004772"/>
    <w:rsid w:val="5F004ADF"/>
    <w:rsid w:val="5F05E791"/>
    <w:rsid w:val="5F0846D3"/>
    <w:rsid w:val="5F0F7142"/>
    <w:rsid w:val="5F0F7E78"/>
    <w:rsid w:val="5F181E73"/>
    <w:rsid w:val="5F2E0C77"/>
    <w:rsid w:val="5F348ABF"/>
    <w:rsid w:val="5F37A296"/>
    <w:rsid w:val="5F431766"/>
    <w:rsid w:val="5F444CDA"/>
    <w:rsid w:val="5F468377"/>
    <w:rsid w:val="5F49B1D8"/>
    <w:rsid w:val="5F586F18"/>
    <w:rsid w:val="5F5B949D"/>
    <w:rsid w:val="5F60D28C"/>
    <w:rsid w:val="5F653E94"/>
    <w:rsid w:val="5F700BFB"/>
    <w:rsid w:val="5F76D3B3"/>
    <w:rsid w:val="5F799BD3"/>
    <w:rsid w:val="5F7A45E2"/>
    <w:rsid w:val="5F81B0AB"/>
    <w:rsid w:val="5F86BB57"/>
    <w:rsid w:val="5F903815"/>
    <w:rsid w:val="5F946B4F"/>
    <w:rsid w:val="5F9FEEE2"/>
    <w:rsid w:val="5FA70826"/>
    <w:rsid w:val="5FAD2FB8"/>
    <w:rsid w:val="5FAE7BFE"/>
    <w:rsid w:val="5FAF3BF2"/>
    <w:rsid w:val="5FB93AFF"/>
    <w:rsid w:val="5FC361A9"/>
    <w:rsid w:val="5FC3BBC8"/>
    <w:rsid w:val="5FC8C538"/>
    <w:rsid w:val="5FCBD354"/>
    <w:rsid w:val="5FCC84B3"/>
    <w:rsid w:val="5FCF0356"/>
    <w:rsid w:val="5FD08B9A"/>
    <w:rsid w:val="5FD58F50"/>
    <w:rsid w:val="5FD5A755"/>
    <w:rsid w:val="5FDAAC28"/>
    <w:rsid w:val="5FDDDC30"/>
    <w:rsid w:val="5FE59FF0"/>
    <w:rsid w:val="5FE711F3"/>
    <w:rsid w:val="5FEAC208"/>
    <w:rsid w:val="5FF036F4"/>
    <w:rsid w:val="5FF04AB3"/>
    <w:rsid w:val="5FF19D93"/>
    <w:rsid w:val="5FF25040"/>
    <w:rsid w:val="5FFEFCB3"/>
    <w:rsid w:val="6006542A"/>
    <w:rsid w:val="6013975B"/>
    <w:rsid w:val="601628A2"/>
    <w:rsid w:val="601D0DD5"/>
    <w:rsid w:val="601D30B2"/>
    <w:rsid w:val="601D3E94"/>
    <w:rsid w:val="601D4AD6"/>
    <w:rsid w:val="601F71FC"/>
    <w:rsid w:val="60242F34"/>
    <w:rsid w:val="602C86B9"/>
    <w:rsid w:val="602E308B"/>
    <w:rsid w:val="60326AF6"/>
    <w:rsid w:val="603B066D"/>
    <w:rsid w:val="6045518B"/>
    <w:rsid w:val="60576DBC"/>
    <w:rsid w:val="605CFEBA"/>
    <w:rsid w:val="60669F19"/>
    <w:rsid w:val="606AB951"/>
    <w:rsid w:val="6070AD4A"/>
    <w:rsid w:val="6078CE82"/>
    <w:rsid w:val="607D9D39"/>
    <w:rsid w:val="60816F39"/>
    <w:rsid w:val="60839390"/>
    <w:rsid w:val="60850ED1"/>
    <w:rsid w:val="608891DD"/>
    <w:rsid w:val="6089B321"/>
    <w:rsid w:val="608C9B33"/>
    <w:rsid w:val="6096C11A"/>
    <w:rsid w:val="609AB562"/>
    <w:rsid w:val="609BE6C6"/>
    <w:rsid w:val="60A2823B"/>
    <w:rsid w:val="60A5582E"/>
    <w:rsid w:val="60AC4058"/>
    <w:rsid w:val="60BCACBD"/>
    <w:rsid w:val="60C09203"/>
    <w:rsid w:val="60CA9F79"/>
    <w:rsid w:val="60CCF4BC"/>
    <w:rsid w:val="60D0EAAF"/>
    <w:rsid w:val="60D16A5B"/>
    <w:rsid w:val="60D6CCFB"/>
    <w:rsid w:val="60DAFEE3"/>
    <w:rsid w:val="61092896"/>
    <w:rsid w:val="610B32F7"/>
    <w:rsid w:val="610C7B37"/>
    <w:rsid w:val="6117CAE3"/>
    <w:rsid w:val="6123493D"/>
    <w:rsid w:val="6126085A"/>
    <w:rsid w:val="612867DB"/>
    <w:rsid w:val="61295FF3"/>
    <w:rsid w:val="612ECBA8"/>
    <w:rsid w:val="613806A5"/>
    <w:rsid w:val="613B19A3"/>
    <w:rsid w:val="613C86F5"/>
    <w:rsid w:val="6146508E"/>
    <w:rsid w:val="61483CCF"/>
    <w:rsid w:val="6157A488"/>
    <w:rsid w:val="61594FF5"/>
    <w:rsid w:val="615F1759"/>
    <w:rsid w:val="61614FEA"/>
    <w:rsid w:val="6171635A"/>
    <w:rsid w:val="61754CD8"/>
    <w:rsid w:val="617957FA"/>
    <w:rsid w:val="61799968"/>
    <w:rsid w:val="617B3A5D"/>
    <w:rsid w:val="61889677"/>
    <w:rsid w:val="61899542"/>
    <w:rsid w:val="618A20F3"/>
    <w:rsid w:val="619316F4"/>
    <w:rsid w:val="61973516"/>
    <w:rsid w:val="619C94D7"/>
    <w:rsid w:val="61A85763"/>
    <w:rsid w:val="61AAD43C"/>
    <w:rsid w:val="61B3AD0C"/>
    <w:rsid w:val="61B5B27B"/>
    <w:rsid w:val="61B92C11"/>
    <w:rsid w:val="61BAFAA0"/>
    <w:rsid w:val="61C30A1F"/>
    <w:rsid w:val="61CA0B98"/>
    <w:rsid w:val="61CBFCB2"/>
    <w:rsid w:val="61CCF41F"/>
    <w:rsid w:val="61DE84EB"/>
    <w:rsid w:val="61E24C86"/>
    <w:rsid w:val="61E32225"/>
    <w:rsid w:val="61E82AA9"/>
    <w:rsid w:val="61F4DF9E"/>
    <w:rsid w:val="61F5DCC9"/>
    <w:rsid w:val="61FDC382"/>
    <w:rsid w:val="6203941B"/>
    <w:rsid w:val="620FBA8F"/>
    <w:rsid w:val="62120E9F"/>
    <w:rsid w:val="621665CC"/>
    <w:rsid w:val="6217CD0D"/>
    <w:rsid w:val="62249057"/>
    <w:rsid w:val="622BE1E8"/>
    <w:rsid w:val="622D8B0B"/>
    <w:rsid w:val="622E7FE0"/>
    <w:rsid w:val="622F6FDD"/>
    <w:rsid w:val="62396C5B"/>
    <w:rsid w:val="623F7FE0"/>
    <w:rsid w:val="624059E5"/>
    <w:rsid w:val="6243B763"/>
    <w:rsid w:val="624BEDF8"/>
    <w:rsid w:val="62530EAB"/>
    <w:rsid w:val="625454EE"/>
    <w:rsid w:val="62577C46"/>
    <w:rsid w:val="6258F58E"/>
    <w:rsid w:val="625D1362"/>
    <w:rsid w:val="625DBD51"/>
    <w:rsid w:val="62662E3A"/>
    <w:rsid w:val="6268AD67"/>
    <w:rsid w:val="626B8FE0"/>
    <w:rsid w:val="6270D2A1"/>
    <w:rsid w:val="6273A816"/>
    <w:rsid w:val="62764307"/>
    <w:rsid w:val="628CB63B"/>
    <w:rsid w:val="628CCAFA"/>
    <w:rsid w:val="628F7977"/>
    <w:rsid w:val="6291711F"/>
    <w:rsid w:val="62A0FD7E"/>
    <w:rsid w:val="62A275CA"/>
    <w:rsid w:val="62AC1D76"/>
    <w:rsid w:val="62AE51B6"/>
    <w:rsid w:val="62AEAB91"/>
    <w:rsid w:val="62AF3F5B"/>
    <w:rsid w:val="62B6630C"/>
    <w:rsid w:val="62C2F402"/>
    <w:rsid w:val="62CB9988"/>
    <w:rsid w:val="62CF2C19"/>
    <w:rsid w:val="62CF485E"/>
    <w:rsid w:val="62E49EF9"/>
    <w:rsid w:val="62E898E3"/>
    <w:rsid w:val="62EAF5EA"/>
    <w:rsid w:val="62FA55DC"/>
    <w:rsid w:val="62FB8A52"/>
    <w:rsid w:val="62FF6DE4"/>
    <w:rsid w:val="630242CE"/>
    <w:rsid w:val="6306A418"/>
    <w:rsid w:val="630E042E"/>
    <w:rsid w:val="630FCBB6"/>
    <w:rsid w:val="631D0BE5"/>
    <w:rsid w:val="631D553D"/>
    <w:rsid w:val="631D863E"/>
    <w:rsid w:val="6332669F"/>
    <w:rsid w:val="63378A08"/>
    <w:rsid w:val="633B9F18"/>
    <w:rsid w:val="633CE66C"/>
    <w:rsid w:val="63559CE0"/>
    <w:rsid w:val="635ADB77"/>
    <w:rsid w:val="635EDDC0"/>
    <w:rsid w:val="636D159F"/>
    <w:rsid w:val="636D28C9"/>
    <w:rsid w:val="636FD929"/>
    <w:rsid w:val="6378B4F8"/>
    <w:rsid w:val="637AFCFA"/>
    <w:rsid w:val="637B7D02"/>
    <w:rsid w:val="63881845"/>
    <w:rsid w:val="638A2E1F"/>
    <w:rsid w:val="638A917F"/>
    <w:rsid w:val="638BC797"/>
    <w:rsid w:val="638EB9FB"/>
    <w:rsid w:val="638F278B"/>
    <w:rsid w:val="63961C27"/>
    <w:rsid w:val="639707C3"/>
    <w:rsid w:val="63978968"/>
    <w:rsid w:val="639D094B"/>
    <w:rsid w:val="639EC1BC"/>
    <w:rsid w:val="63A89949"/>
    <w:rsid w:val="63B35992"/>
    <w:rsid w:val="63B7D48D"/>
    <w:rsid w:val="63BDFB4F"/>
    <w:rsid w:val="63CB32E7"/>
    <w:rsid w:val="63D6B8C3"/>
    <w:rsid w:val="63DD9821"/>
    <w:rsid w:val="63DE1C95"/>
    <w:rsid w:val="63EC2722"/>
    <w:rsid w:val="63EEDF0C"/>
    <w:rsid w:val="63F01788"/>
    <w:rsid w:val="63F37911"/>
    <w:rsid w:val="63F8A734"/>
    <w:rsid w:val="63FD8AC1"/>
    <w:rsid w:val="64034A25"/>
    <w:rsid w:val="64054178"/>
    <w:rsid w:val="6406AA64"/>
    <w:rsid w:val="6406AEB5"/>
    <w:rsid w:val="6407BC50"/>
    <w:rsid w:val="64082230"/>
    <w:rsid w:val="640A1259"/>
    <w:rsid w:val="640E71D4"/>
    <w:rsid w:val="64116854"/>
    <w:rsid w:val="64141BFD"/>
    <w:rsid w:val="641CA000"/>
    <w:rsid w:val="641EE2B3"/>
    <w:rsid w:val="6423556F"/>
    <w:rsid w:val="64237D4E"/>
    <w:rsid w:val="6424644F"/>
    <w:rsid w:val="6424BE80"/>
    <w:rsid w:val="64251145"/>
    <w:rsid w:val="642896EF"/>
    <w:rsid w:val="6429E6B1"/>
    <w:rsid w:val="642A57C1"/>
    <w:rsid w:val="643026C8"/>
    <w:rsid w:val="643C5560"/>
    <w:rsid w:val="643D2AE5"/>
    <w:rsid w:val="6456975A"/>
    <w:rsid w:val="6457BBB2"/>
    <w:rsid w:val="6458D45E"/>
    <w:rsid w:val="645EE26D"/>
    <w:rsid w:val="64644388"/>
    <w:rsid w:val="64655FA4"/>
    <w:rsid w:val="646AFC7A"/>
    <w:rsid w:val="646E129E"/>
    <w:rsid w:val="64737AB2"/>
    <w:rsid w:val="647529B9"/>
    <w:rsid w:val="647537A9"/>
    <w:rsid w:val="647914E8"/>
    <w:rsid w:val="647DE43B"/>
    <w:rsid w:val="648360E2"/>
    <w:rsid w:val="6485EF23"/>
    <w:rsid w:val="648690AC"/>
    <w:rsid w:val="648CF35C"/>
    <w:rsid w:val="6495062E"/>
    <w:rsid w:val="64968A5E"/>
    <w:rsid w:val="64983DC5"/>
    <w:rsid w:val="649BA322"/>
    <w:rsid w:val="64A66912"/>
    <w:rsid w:val="64AA03F6"/>
    <w:rsid w:val="64AB2E9B"/>
    <w:rsid w:val="64ABA471"/>
    <w:rsid w:val="64B15D88"/>
    <w:rsid w:val="64B2ED8A"/>
    <w:rsid w:val="64B74A86"/>
    <w:rsid w:val="64B83BA5"/>
    <w:rsid w:val="64B97747"/>
    <w:rsid w:val="64C8F2FA"/>
    <w:rsid w:val="64C9D25E"/>
    <w:rsid w:val="64CB5839"/>
    <w:rsid w:val="64CCD479"/>
    <w:rsid w:val="64CE606F"/>
    <w:rsid w:val="64CF23AE"/>
    <w:rsid w:val="64DD2F03"/>
    <w:rsid w:val="64DE6E81"/>
    <w:rsid w:val="64E02FC8"/>
    <w:rsid w:val="64E078FE"/>
    <w:rsid w:val="64E667D3"/>
    <w:rsid w:val="64EE554F"/>
    <w:rsid w:val="64F16CE0"/>
    <w:rsid w:val="64F1977F"/>
    <w:rsid w:val="64F37DD4"/>
    <w:rsid w:val="64F5CEDB"/>
    <w:rsid w:val="64FC0B2C"/>
    <w:rsid w:val="64FD1CFC"/>
    <w:rsid w:val="6501FFCE"/>
    <w:rsid w:val="65087042"/>
    <w:rsid w:val="6510FB27"/>
    <w:rsid w:val="65121E20"/>
    <w:rsid w:val="6520A2E9"/>
    <w:rsid w:val="65224803"/>
    <w:rsid w:val="652A9FE4"/>
    <w:rsid w:val="652D2894"/>
    <w:rsid w:val="652E4887"/>
    <w:rsid w:val="65389B18"/>
    <w:rsid w:val="653B34B6"/>
    <w:rsid w:val="653BE823"/>
    <w:rsid w:val="65412094"/>
    <w:rsid w:val="65452A34"/>
    <w:rsid w:val="6546223A"/>
    <w:rsid w:val="654BE3B6"/>
    <w:rsid w:val="655017D1"/>
    <w:rsid w:val="6551F54B"/>
    <w:rsid w:val="655E10F3"/>
    <w:rsid w:val="6562EC2A"/>
    <w:rsid w:val="6564D1BE"/>
    <w:rsid w:val="65695161"/>
    <w:rsid w:val="656DD9C9"/>
    <w:rsid w:val="6575B30C"/>
    <w:rsid w:val="657647CF"/>
    <w:rsid w:val="657974A3"/>
    <w:rsid w:val="657DD017"/>
    <w:rsid w:val="657DD55A"/>
    <w:rsid w:val="65836F63"/>
    <w:rsid w:val="65859E49"/>
    <w:rsid w:val="6590A199"/>
    <w:rsid w:val="6594C444"/>
    <w:rsid w:val="65988F04"/>
    <w:rsid w:val="65A57AB5"/>
    <w:rsid w:val="65AFFCA2"/>
    <w:rsid w:val="65BC4646"/>
    <w:rsid w:val="65BF18F0"/>
    <w:rsid w:val="65BFF845"/>
    <w:rsid w:val="65C0C180"/>
    <w:rsid w:val="65C0E1A6"/>
    <w:rsid w:val="65C62CAC"/>
    <w:rsid w:val="65CB71A3"/>
    <w:rsid w:val="65CE3A3E"/>
    <w:rsid w:val="65D09C9F"/>
    <w:rsid w:val="65DA64C2"/>
    <w:rsid w:val="65EB980A"/>
    <w:rsid w:val="65EC0801"/>
    <w:rsid w:val="65EF0430"/>
    <w:rsid w:val="65EF8678"/>
    <w:rsid w:val="65F53B07"/>
    <w:rsid w:val="65FABDCF"/>
    <w:rsid w:val="66003970"/>
    <w:rsid w:val="6607F946"/>
    <w:rsid w:val="6610DB39"/>
    <w:rsid w:val="6610FA1A"/>
    <w:rsid w:val="66149416"/>
    <w:rsid w:val="66170A7F"/>
    <w:rsid w:val="661A3D00"/>
    <w:rsid w:val="66238057"/>
    <w:rsid w:val="662C0004"/>
    <w:rsid w:val="662C46B8"/>
    <w:rsid w:val="662FA460"/>
    <w:rsid w:val="663088AC"/>
    <w:rsid w:val="6634698A"/>
    <w:rsid w:val="66357399"/>
    <w:rsid w:val="6636DF57"/>
    <w:rsid w:val="663C0109"/>
    <w:rsid w:val="663E44DA"/>
    <w:rsid w:val="6642AC94"/>
    <w:rsid w:val="664ADB4C"/>
    <w:rsid w:val="664B930C"/>
    <w:rsid w:val="6651BC4E"/>
    <w:rsid w:val="66592FEA"/>
    <w:rsid w:val="6662BB0E"/>
    <w:rsid w:val="666A8DDA"/>
    <w:rsid w:val="666F7F09"/>
    <w:rsid w:val="66700EBC"/>
    <w:rsid w:val="668327A3"/>
    <w:rsid w:val="669362C6"/>
    <w:rsid w:val="6696D73A"/>
    <w:rsid w:val="66972D00"/>
    <w:rsid w:val="66A566C0"/>
    <w:rsid w:val="66A7F3C3"/>
    <w:rsid w:val="66A8DA93"/>
    <w:rsid w:val="66A94F70"/>
    <w:rsid w:val="66ADAF45"/>
    <w:rsid w:val="66AF46AE"/>
    <w:rsid w:val="66B08807"/>
    <w:rsid w:val="66B19E2E"/>
    <w:rsid w:val="66BCA980"/>
    <w:rsid w:val="66C31334"/>
    <w:rsid w:val="66C44C40"/>
    <w:rsid w:val="66C6A9B9"/>
    <w:rsid w:val="66C7B283"/>
    <w:rsid w:val="66C8F8F5"/>
    <w:rsid w:val="66CF7F21"/>
    <w:rsid w:val="66D087EB"/>
    <w:rsid w:val="66D08B76"/>
    <w:rsid w:val="66E35382"/>
    <w:rsid w:val="66E41C95"/>
    <w:rsid w:val="66E5AC6B"/>
    <w:rsid w:val="66E961FA"/>
    <w:rsid w:val="66EBB3D7"/>
    <w:rsid w:val="66EEADFC"/>
    <w:rsid w:val="66EF58CF"/>
    <w:rsid w:val="66F504F5"/>
    <w:rsid w:val="66F63C39"/>
    <w:rsid w:val="66F8BDA8"/>
    <w:rsid w:val="66FAD299"/>
    <w:rsid w:val="66FF1C8F"/>
    <w:rsid w:val="67043DE8"/>
    <w:rsid w:val="670577CB"/>
    <w:rsid w:val="6707999E"/>
    <w:rsid w:val="670B9462"/>
    <w:rsid w:val="6718F6D9"/>
    <w:rsid w:val="671AF856"/>
    <w:rsid w:val="671F823F"/>
    <w:rsid w:val="67258EAA"/>
    <w:rsid w:val="67287865"/>
    <w:rsid w:val="6731FF0A"/>
    <w:rsid w:val="673CAFAF"/>
    <w:rsid w:val="67416911"/>
    <w:rsid w:val="674611EF"/>
    <w:rsid w:val="67469D53"/>
    <w:rsid w:val="67487E62"/>
    <w:rsid w:val="674DDBC2"/>
    <w:rsid w:val="674E94C2"/>
    <w:rsid w:val="6751EE9E"/>
    <w:rsid w:val="675252FC"/>
    <w:rsid w:val="675A1298"/>
    <w:rsid w:val="675C229C"/>
    <w:rsid w:val="675D2A67"/>
    <w:rsid w:val="676726F0"/>
    <w:rsid w:val="6767ADCF"/>
    <w:rsid w:val="676A17C0"/>
    <w:rsid w:val="676A3BE3"/>
    <w:rsid w:val="676EBE05"/>
    <w:rsid w:val="676F21C9"/>
    <w:rsid w:val="67750657"/>
    <w:rsid w:val="67750C81"/>
    <w:rsid w:val="677ADAA5"/>
    <w:rsid w:val="677CBF82"/>
    <w:rsid w:val="67807D78"/>
    <w:rsid w:val="6784887B"/>
    <w:rsid w:val="678693EE"/>
    <w:rsid w:val="67871E14"/>
    <w:rsid w:val="67872655"/>
    <w:rsid w:val="6789C7E5"/>
    <w:rsid w:val="67915921"/>
    <w:rsid w:val="679EF45D"/>
    <w:rsid w:val="679F5B17"/>
    <w:rsid w:val="67A29D3C"/>
    <w:rsid w:val="67A6C098"/>
    <w:rsid w:val="67A89DCA"/>
    <w:rsid w:val="67B2DBF4"/>
    <w:rsid w:val="67B48A36"/>
    <w:rsid w:val="67B96832"/>
    <w:rsid w:val="67B9A853"/>
    <w:rsid w:val="67B9CC26"/>
    <w:rsid w:val="67BF7D74"/>
    <w:rsid w:val="67C062BD"/>
    <w:rsid w:val="67C8497D"/>
    <w:rsid w:val="67C90D5C"/>
    <w:rsid w:val="67D18800"/>
    <w:rsid w:val="67D514A7"/>
    <w:rsid w:val="67D57BB5"/>
    <w:rsid w:val="67DD19AE"/>
    <w:rsid w:val="67E3064B"/>
    <w:rsid w:val="67E53F19"/>
    <w:rsid w:val="67ED9D1B"/>
    <w:rsid w:val="67FCA2D8"/>
    <w:rsid w:val="68048A0E"/>
    <w:rsid w:val="680716DA"/>
    <w:rsid w:val="681FA75B"/>
    <w:rsid w:val="6823258F"/>
    <w:rsid w:val="68276B4A"/>
    <w:rsid w:val="68281EC3"/>
    <w:rsid w:val="6834AC8D"/>
    <w:rsid w:val="683B0B42"/>
    <w:rsid w:val="6844D5C1"/>
    <w:rsid w:val="68495C59"/>
    <w:rsid w:val="686394FE"/>
    <w:rsid w:val="6875BA4F"/>
    <w:rsid w:val="687A2999"/>
    <w:rsid w:val="687CDB04"/>
    <w:rsid w:val="6886A422"/>
    <w:rsid w:val="6887DC4C"/>
    <w:rsid w:val="68892F78"/>
    <w:rsid w:val="688B357A"/>
    <w:rsid w:val="688CDC53"/>
    <w:rsid w:val="688FEA31"/>
    <w:rsid w:val="68A72E4B"/>
    <w:rsid w:val="68B0CFF5"/>
    <w:rsid w:val="68B2DFDA"/>
    <w:rsid w:val="68B8F1DC"/>
    <w:rsid w:val="68B92154"/>
    <w:rsid w:val="68BF13D3"/>
    <w:rsid w:val="68C527EB"/>
    <w:rsid w:val="68CC2D71"/>
    <w:rsid w:val="68D26104"/>
    <w:rsid w:val="68D2D75C"/>
    <w:rsid w:val="68D517C0"/>
    <w:rsid w:val="68DA1FD8"/>
    <w:rsid w:val="68E0EE72"/>
    <w:rsid w:val="68E4F745"/>
    <w:rsid w:val="68E5D24B"/>
    <w:rsid w:val="68EBB06D"/>
    <w:rsid w:val="68F06F02"/>
    <w:rsid w:val="68F264D4"/>
    <w:rsid w:val="69013849"/>
    <w:rsid w:val="69019520"/>
    <w:rsid w:val="69039F1D"/>
    <w:rsid w:val="6907B359"/>
    <w:rsid w:val="6909201D"/>
    <w:rsid w:val="6909ED8B"/>
    <w:rsid w:val="690AECCE"/>
    <w:rsid w:val="690E0975"/>
    <w:rsid w:val="691CD92F"/>
    <w:rsid w:val="69239456"/>
    <w:rsid w:val="6924EA28"/>
    <w:rsid w:val="692AB048"/>
    <w:rsid w:val="692C519A"/>
    <w:rsid w:val="692D62F0"/>
    <w:rsid w:val="6931AB10"/>
    <w:rsid w:val="69353C5C"/>
    <w:rsid w:val="69353DA6"/>
    <w:rsid w:val="693A6637"/>
    <w:rsid w:val="69405209"/>
    <w:rsid w:val="6947B92A"/>
    <w:rsid w:val="6950C753"/>
    <w:rsid w:val="695FF248"/>
    <w:rsid w:val="69644495"/>
    <w:rsid w:val="69645487"/>
    <w:rsid w:val="6967DEE6"/>
    <w:rsid w:val="696CCAD1"/>
    <w:rsid w:val="69724FB8"/>
    <w:rsid w:val="6975E59C"/>
    <w:rsid w:val="698984E4"/>
    <w:rsid w:val="698E6AF3"/>
    <w:rsid w:val="69977392"/>
    <w:rsid w:val="699A8952"/>
    <w:rsid w:val="69A27A3B"/>
    <w:rsid w:val="69A3E1FC"/>
    <w:rsid w:val="69ACD07C"/>
    <w:rsid w:val="69AFAA6D"/>
    <w:rsid w:val="69B70155"/>
    <w:rsid w:val="69BAEBAC"/>
    <w:rsid w:val="69D26D7D"/>
    <w:rsid w:val="69D4002B"/>
    <w:rsid w:val="69D5396F"/>
    <w:rsid w:val="69D68B69"/>
    <w:rsid w:val="69D85658"/>
    <w:rsid w:val="69D88A71"/>
    <w:rsid w:val="69DC5F87"/>
    <w:rsid w:val="69E6B4D5"/>
    <w:rsid w:val="69EA118A"/>
    <w:rsid w:val="69EABFB2"/>
    <w:rsid w:val="69EB0404"/>
    <w:rsid w:val="69EFC843"/>
    <w:rsid w:val="69EFDB10"/>
    <w:rsid w:val="6A045EEF"/>
    <w:rsid w:val="6A08F0B9"/>
    <w:rsid w:val="6A11A679"/>
    <w:rsid w:val="6A20CF5C"/>
    <w:rsid w:val="6A22F478"/>
    <w:rsid w:val="6A23ACAD"/>
    <w:rsid w:val="6A2DFBE0"/>
    <w:rsid w:val="6A2E9AB2"/>
    <w:rsid w:val="6A314FD0"/>
    <w:rsid w:val="6A361AB5"/>
    <w:rsid w:val="6A3C47E4"/>
    <w:rsid w:val="6A467FE0"/>
    <w:rsid w:val="6A558AEA"/>
    <w:rsid w:val="6A5735A3"/>
    <w:rsid w:val="6A582F97"/>
    <w:rsid w:val="6A5C1D0E"/>
    <w:rsid w:val="6A69AFC5"/>
    <w:rsid w:val="6A6BC85B"/>
    <w:rsid w:val="6A74DB7C"/>
    <w:rsid w:val="6A7888CA"/>
    <w:rsid w:val="6A79507F"/>
    <w:rsid w:val="6A79DDA2"/>
    <w:rsid w:val="6A8179C3"/>
    <w:rsid w:val="6A8B4A0C"/>
    <w:rsid w:val="6A9B21BF"/>
    <w:rsid w:val="6A9EC7B2"/>
    <w:rsid w:val="6A9F5037"/>
    <w:rsid w:val="6AA0DF26"/>
    <w:rsid w:val="6AA458EA"/>
    <w:rsid w:val="6AACC7AE"/>
    <w:rsid w:val="6AAD97A7"/>
    <w:rsid w:val="6AB1BEF9"/>
    <w:rsid w:val="6AB7EF3B"/>
    <w:rsid w:val="6ABA3C24"/>
    <w:rsid w:val="6ABF9939"/>
    <w:rsid w:val="6AC10E52"/>
    <w:rsid w:val="6AC13714"/>
    <w:rsid w:val="6AC6B7A1"/>
    <w:rsid w:val="6ACBE71C"/>
    <w:rsid w:val="6ACF36F2"/>
    <w:rsid w:val="6ACFECCD"/>
    <w:rsid w:val="6AD20EEC"/>
    <w:rsid w:val="6AD26F77"/>
    <w:rsid w:val="6AE32B5F"/>
    <w:rsid w:val="6AE5E7A7"/>
    <w:rsid w:val="6AEF13F9"/>
    <w:rsid w:val="6AF1393D"/>
    <w:rsid w:val="6AF9C181"/>
    <w:rsid w:val="6AFDE1BF"/>
    <w:rsid w:val="6B034367"/>
    <w:rsid w:val="6B038A7F"/>
    <w:rsid w:val="6B0ACCF1"/>
    <w:rsid w:val="6B0BA3E0"/>
    <w:rsid w:val="6B0EE747"/>
    <w:rsid w:val="6B19F329"/>
    <w:rsid w:val="6B208ED7"/>
    <w:rsid w:val="6B213E21"/>
    <w:rsid w:val="6B23F602"/>
    <w:rsid w:val="6B24FEE1"/>
    <w:rsid w:val="6B2836EA"/>
    <w:rsid w:val="6B2E9EC9"/>
    <w:rsid w:val="6B36593C"/>
    <w:rsid w:val="6B44A8EE"/>
    <w:rsid w:val="6B55A957"/>
    <w:rsid w:val="6B6E5FFB"/>
    <w:rsid w:val="6B711095"/>
    <w:rsid w:val="6B7431CF"/>
    <w:rsid w:val="6B7AB0B3"/>
    <w:rsid w:val="6B7C3707"/>
    <w:rsid w:val="6B7D59BC"/>
    <w:rsid w:val="6B8446F3"/>
    <w:rsid w:val="6B86ECC4"/>
    <w:rsid w:val="6B8907F3"/>
    <w:rsid w:val="6B8EAD14"/>
    <w:rsid w:val="6B901AA3"/>
    <w:rsid w:val="6B98D17A"/>
    <w:rsid w:val="6BA4884B"/>
    <w:rsid w:val="6BA602C3"/>
    <w:rsid w:val="6BA81BC4"/>
    <w:rsid w:val="6BAD23B4"/>
    <w:rsid w:val="6BAF9656"/>
    <w:rsid w:val="6BB1CBA6"/>
    <w:rsid w:val="6BB2F917"/>
    <w:rsid w:val="6BB48DD4"/>
    <w:rsid w:val="6BB58ED6"/>
    <w:rsid w:val="6BB8A166"/>
    <w:rsid w:val="6BBA4DB2"/>
    <w:rsid w:val="6BC140B7"/>
    <w:rsid w:val="6BC66086"/>
    <w:rsid w:val="6BD50508"/>
    <w:rsid w:val="6BD51FB8"/>
    <w:rsid w:val="6BD7B0C3"/>
    <w:rsid w:val="6BE2EDC7"/>
    <w:rsid w:val="6BEC5093"/>
    <w:rsid w:val="6BF18D92"/>
    <w:rsid w:val="6BF1DC1C"/>
    <w:rsid w:val="6BF28A7F"/>
    <w:rsid w:val="6C0156A9"/>
    <w:rsid w:val="6C09C42B"/>
    <w:rsid w:val="6C13BE6F"/>
    <w:rsid w:val="6C15CCD8"/>
    <w:rsid w:val="6C187BB1"/>
    <w:rsid w:val="6C24B562"/>
    <w:rsid w:val="6C2FCBF8"/>
    <w:rsid w:val="6C3708FE"/>
    <w:rsid w:val="6C3766AB"/>
    <w:rsid w:val="6C3A9813"/>
    <w:rsid w:val="6C3BDEDB"/>
    <w:rsid w:val="6C3EDFA6"/>
    <w:rsid w:val="6C3F7BFA"/>
    <w:rsid w:val="6C42CA75"/>
    <w:rsid w:val="6C46D347"/>
    <w:rsid w:val="6C4C8AF1"/>
    <w:rsid w:val="6C4D67DC"/>
    <w:rsid w:val="6C4FA415"/>
    <w:rsid w:val="6C57844A"/>
    <w:rsid w:val="6C603E4B"/>
    <w:rsid w:val="6C647DB9"/>
    <w:rsid w:val="6C75FFCA"/>
    <w:rsid w:val="6C7E8321"/>
    <w:rsid w:val="6C83DE3B"/>
    <w:rsid w:val="6C85A0CF"/>
    <w:rsid w:val="6C8725B4"/>
    <w:rsid w:val="6C8E5509"/>
    <w:rsid w:val="6C8F26F8"/>
    <w:rsid w:val="6C909CAA"/>
    <w:rsid w:val="6C95FC91"/>
    <w:rsid w:val="6C988270"/>
    <w:rsid w:val="6C9FC6DF"/>
    <w:rsid w:val="6CA0A40A"/>
    <w:rsid w:val="6CA6C15D"/>
    <w:rsid w:val="6CA8251A"/>
    <w:rsid w:val="6CA90C31"/>
    <w:rsid w:val="6CAE5C10"/>
    <w:rsid w:val="6CB7877D"/>
    <w:rsid w:val="6CB9E370"/>
    <w:rsid w:val="6CBC6AE1"/>
    <w:rsid w:val="6CCA859B"/>
    <w:rsid w:val="6CD093B6"/>
    <w:rsid w:val="6CD2F069"/>
    <w:rsid w:val="6CD6CFD2"/>
    <w:rsid w:val="6CD7F334"/>
    <w:rsid w:val="6CDE72D0"/>
    <w:rsid w:val="6CE677F0"/>
    <w:rsid w:val="6CE91FF1"/>
    <w:rsid w:val="6CECF4AE"/>
    <w:rsid w:val="6CF8EEC7"/>
    <w:rsid w:val="6CF9673E"/>
    <w:rsid w:val="6CF9D515"/>
    <w:rsid w:val="6CFA2A10"/>
    <w:rsid w:val="6CFFA619"/>
    <w:rsid w:val="6D06E565"/>
    <w:rsid w:val="6D08DE81"/>
    <w:rsid w:val="6D120E1D"/>
    <w:rsid w:val="6D19529B"/>
    <w:rsid w:val="6D1B86E9"/>
    <w:rsid w:val="6D230E6C"/>
    <w:rsid w:val="6D28CD38"/>
    <w:rsid w:val="6D2BFA21"/>
    <w:rsid w:val="6D2FA196"/>
    <w:rsid w:val="6D3013CE"/>
    <w:rsid w:val="6D320724"/>
    <w:rsid w:val="6D361A7B"/>
    <w:rsid w:val="6D39584C"/>
    <w:rsid w:val="6D409A4F"/>
    <w:rsid w:val="6D4624AE"/>
    <w:rsid w:val="6D504B8D"/>
    <w:rsid w:val="6D50C3E7"/>
    <w:rsid w:val="6D552DD7"/>
    <w:rsid w:val="6D55CFC7"/>
    <w:rsid w:val="6D58C2B5"/>
    <w:rsid w:val="6D60DB06"/>
    <w:rsid w:val="6D6175EB"/>
    <w:rsid w:val="6D621484"/>
    <w:rsid w:val="6D646042"/>
    <w:rsid w:val="6D64BA44"/>
    <w:rsid w:val="6D6AF44B"/>
    <w:rsid w:val="6D6AF873"/>
    <w:rsid w:val="6D72605D"/>
    <w:rsid w:val="6D7390EF"/>
    <w:rsid w:val="6D79386A"/>
    <w:rsid w:val="6D7C8AAF"/>
    <w:rsid w:val="6D814A27"/>
    <w:rsid w:val="6D837F7A"/>
    <w:rsid w:val="6D8A45CF"/>
    <w:rsid w:val="6D926286"/>
    <w:rsid w:val="6D9CE5D7"/>
    <w:rsid w:val="6DA0CAEE"/>
    <w:rsid w:val="6DA11422"/>
    <w:rsid w:val="6DA4973B"/>
    <w:rsid w:val="6DA522CA"/>
    <w:rsid w:val="6DAA45A8"/>
    <w:rsid w:val="6DB2C330"/>
    <w:rsid w:val="6DB51164"/>
    <w:rsid w:val="6DB784C9"/>
    <w:rsid w:val="6DBCFA4A"/>
    <w:rsid w:val="6DC0683E"/>
    <w:rsid w:val="6DC19B21"/>
    <w:rsid w:val="6DC32E18"/>
    <w:rsid w:val="6DC461BF"/>
    <w:rsid w:val="6DC51559"/>
    <w:rsid w:val="6DCCDB2A"/>
    <w:rsid w:val="6DD55469"/>
    <w:rsid w:val="6DE1350B"/>
    <w:rsid w:val="6DE3026F"/>
    <w:rsid w:val="6DEFEDD2"/>
    <w:rsid w:val="6DFC2D6D"/>
    <w:rsid w:val="6E13C32C"/>
    <w:rsid w:val="6E1C07E0"/>
    <w:rsid w:val="6E1D1A4D"/>
    <w:rsid w:val="6E22D630"/>
    <w:rsid w:val="6E269822"/>
    <w:rsid w:val="6E29335E"/>
    <w:rsid w:val="6E2CC834"/>
    <w:rsid w:val="6E30BF4A"/>
    <w:rsid w:val="6E32C9F1"/>
    <w:rsid w:val="6E3751F2"/>
    <w:rsid w:val="6E3BFC8F"/>
    <w:rsid w:val="6E429829"/>
    <w:rsid w:val="6E453FC3"/>
    <w:rsid w:val="6E498589"/>
    <w:rsid w:val="6E4E7F16"/>
    <w:rsid w:val="6E5CAE7D"/>
    <w:rsid w:val="6E5DF995"/>
    <w:rsid w:val="6E5F1355"/>
    <w:rsid w:val="6E6075C6"/>
    <w:rsid w:val="6E645B33"/>
    <w:rsid w:val="6E64D44A"/>
    <w:rsid w:val="6E68CE28"/>
    <w:rsid w:val="6E89736E"/>
    <w:rsid w:val="6E8BB9F1"/>
    <w:rsid w:val="6E8D1614"/>
    <w:rsid w:val="6E8D46BD"/>
    <w:rsid w:val="6E9A0430"/>
    <w:rsid w:val="6E9CFDDC"/>
    <w:rsid w:val="6EA7B39B"/>
    <w:rsid w:val="6EB34F77"/>
    <w:rsid w:val="6EB72F32"/>
    <w:rsid w:val="6EB782A2"/>
    <w:rsid w:val="6EBEC8DF"/>
    <w:rsid w:val="6EBFC2DD"/>
    <w:rsid w:val="6EC34094"/>
    <w:rsid w:val="6EC6984B"/>
    <w:rsid w:val="6EC8EE9F"/>
    <w:rsid w:val="6ECE9BA7"/>
    <w:rsid w:val="6EDDB8B5"/>
    <w:rsid w:val="6EE4884D"/>
    <w:rsid w:val="6EEEA1A6"/>
    <w:rsid w:val="6EF78536"/>
    <w:rsid w:val="6EF9E636"/>
    <w:rsid w:val="6EFC7C9F"/>
    <w:rsid w:val="6F05A1B3"/>
    <w:rsid w:val="6F0C60DD"/>
    <w:rsid w:val="6F0DBF20"/>
    <w:rsid w:val="6F136F3C"/>
    <w:rsid w:val="6F1EA23F"/>
    <w:rsid w:val="6F2786A0"/>
    <w:rsid w:val="6F28FF6C"/>
    <w:rsid w:val="6F293DB1"/>
    <w:rsid w:val="6F355D4F"/>
    <w:rsid w:val="6F45FEEF"/>
    <w:rsid w:val="6F46F7F4"/>
    <w:rsid w:val="6F482E74"/>
    <w:rsid w:val="6F488AF2"/>
    <w:rsid w:val="6F4EEB06"/>
    <w:rsid w:val="6F557F29"/>
    <w:rsid w:val="6F58F1B5"/>
    <w:rsid w:val="6F667920"/>
    <w:rsid w:val="6F6BA891"/>
    <w:rsid w:val="6F6E265C"/>
    <w:rsid w:val="6F72D67C"/>
    <w:rsid w:val="6F804123"/>
    <w:rsid w:val="6F80C6D6"/>
    <w:rsid w:val="6F89E364"/>
    <w:rsid w:val="6F8C3D6B"/>
    <w:rsid w:val="6F8DF534"/>
    <w:rsid w:val="6F90710B"/>
    <w:rsid w:val="6F937E57"/>
    <w:rsid w:val="6F9BA07B"/>
    <w:rsid w:val="6F9D1D46"/>
    <w:rsid w:val="6F9D9D99"/>
    <w:rsid w:val="6F9F7319"/>
    <w:rsid w:val="6FA01C89"/>
    <w:rsid w:val="6FA11A02"/>
    <w:rsid w:val="6FA1F85D"/>
    <w:rsid w:val="6FB0336E"/>
    <w:rsid w:val="6FB0F4C9"/>
    <w:rsid w:val="6FB8623E"/>
    <w:rsid w:val="6FBFFDCC"/>
    <w:rsid w:val="6FC0A4F7"/>
    <w:rsid w:val="6FC4EE6D"/>
    <w:rsid w:val="6FC9A6A1"/>
    <w:rsid w:val="6FCD3A7A"/>
    <w:rsid w:val="6FCE8FC8"/>
    <w:rsid w:val="6FD0803C"/>
    <w:rsid w:val="6FD403B2"/>
    <w:rsid w:val="6FD60954"/>
    <w:rsid w:val="6FD65E75"/>
    <w:rsid w:val="6FD84EC3"/>
    <w:rsid w:val="6FD91B64"/>
    <w:rsid w:val="6FE2B5FE"/>
    <w:rsid w:val="6FE2BFB1"/>
    <w:rsid w:val="6FE3410E"/>
    <w:rsid w:val="6FE460AD"/>
    <w:rsid w:val="6FE9FA78"/>
    <w:rsid w:val="6FEC6608"/>
    <w:rsid w:val="6FF17720"/>
    <w:rsid w:val="6FF4870F"/>
    <w:rsid w:val="6FFB677C"/>
    <w:rsid w:val="70024C3C"/>
    <w:rsid w:val="70132A75"/>
    <w:rsid w:val="7013F19B"/>
    <w:rsid w:val="7014245D"/>
    <w:rsid w:val="7014DAB3"/>
    <w:rsid w:val="7015524B"/>
    <w:rsid w:val="70198554"/>
    <w:rsid w:val="701A0E1C"/>
    <w:rsid w:val="70215ABC"/>
    <w:rsid w:val="7021828E"/>
    <w:rsid w:val="702E3774"/>
    <w:rsid w:val="702EE3E8"/>
    <w:rsid w:val="7030C2DE"/>
    <w:rsid w:val="70320CD6"/>
    <w:rsid w:val="70336EA0"/>
    <w:rsid w:val="7042489F"/>
    <w:rsid w:val="704307C0"/>
    <w:rsid w:val="7046DC4D"/>
    <w:rsid w:val="70493454"/>
    <w:rsid w:val="704A7346"/>
    <w:rsid w:val="704AA6BA"/>
    <w:rsid w:val="704E503D"/>
    <w:rsid w:val="70528719"/>
    <w:rsid w:val="70596B58"/>
    <w:rsid w:val="705DA07A"/>
    <w:rsid w:val="705FB4D1"/>
    <w:rsid w:val="70608F11"/>
    <w:rsid w:val="7062B083"/>
    <w:rsid w:val="70667093"/>
    <w:rsid w:val="707C2CAF"/>
    <w:rsid w:val="707CEEFD"/>
    <w:rsid w:val="70835F1B"/>
    <w:rsid w:val="7083BB9E"/>
    <w:rsid w:val="7086E86E"/>
    <w:rsid w:val="708B8A06"/>
    <w:rsid w:val="708C2F41"/>
    <w:rsid w:val="7093BED0"/>
    <w:rsid w:val="70979872"/>
    <w:rsid w:val="709A6376"/>
    <w:rsid w:val="709DD3B6"/>
    <w:rsid w:val="709DDC36"/>
    <w:rsid w:val="70A7D7EB"/>
    <w:rsid w:val="70A8657A"/>
    <w:rsid w:val="70AF8318"/>
    <w:rsid w:val="70B737DF"/>
    <w:rsid w:val="70BFAE01"/>
    <w:rsid w:val="70C07684"/>
    <w:rsid w:val="70C82D95"/>
    <w:rsid w:val="70CD0919"/>
    <w:rsid w:val="70CD74EC"/>
    <w:rsid w:val="70D45839"/>
    <w:rsid w:val="70DCE89D"/>
    <w:rsid w:val="70F3D523"/>
    <w:rsid w:val="70F660D4"/>
    <w:rsid w:val="70FA0C52"/>
    <w:rsid w:val="710057EF"/>
    <w:rsid w:val="71008DB3"/>
    <w:rsid w:val="71014673"/>
    <w:rsid w:val="7109B183"/>
    <w:rsid w:val="710EC802"/>
    <w:rsid w:val="710F22DE"/>
    <w:rsid w:val="711096A7"/>
    <w:rsid w:val="71126318"/>
    <w:rsid w:val="7115AF9A"/>
    <w:rsid w:val="711A8D8E"/>
    <w:rsid w:val="711C9DF2"/>
    <w:rsid w:val="711D165D"/>
    <w:rsid w:val="7126A1D0"/>
    <w:rsid w:val="71304770"/>
    <w:rsid w:val="7131CA83"/>
    <w:rsid w:val="713276CB"/>
    <w:rsid w:val="71405DCC"/>
    <w:rsid w:val="7141EE64"/>
    <w:rsid w:val="71446A28"/>
    <w:rsid w:val="71536287"/>
    <w:rsid w:val="71575E96"/>
    <w:rsid w:val="715EADA2"/>
    <w:rsid w:val="716149A3"/>
    <w:rsid w:val="7173CE48"/>
    <w:rsid w:val="717CF390"/>
    <w:rsid w:val="7182790A"/>
    <w:rsid w:val="718837A5"/>
    <w:rsid w:val="718A8C66"/>
    <w:rsid w:val="718BEC45"/>
    <w:rsid w:val="71909EC6"/>
    <w:rsid w:val="71990767"/>
    <w:rsid w:val="719A7293"/>
    <w:rsid w:val="71A0D2B6"/>
    <w:rsid w:val="71A0EB16"/>
    <w:rsid w:val="71A0F3A4"/>
    <w:rsid w:val="71A16C47"/>
    <w:rsid w:val="71A69629"/>
    <w:rsid w:val="71A7AABE"/>
    <w:rsid w:val="71A9710B"/>
    <w:rsid w:val="71AAEC0D"/>
    <w:rsid w:val="71AD3DB5"/>
    <w:rsid w:val="71AFF61A"/>
    <w:rsid w:val="71B0E166"/>
    <w:rsid w:val="71B17533"/>
    <w:rsid w:val="71B70091"/>
    <w:rsid w:val="71BDFC60"/>
    <w:rsid w:val="71BE0760"/>
    <w:rsid w:val="71C39325"/>
    <w:rsid w:val="71CC09ED"/>
    <w:rsid w:val="71D198D9"/>
    <w:rsid w:val="71D99383"/>
    <w:rsid w:val="71DC194C"/>
    <w:rsid w:val="71E1BC52"/>
    <w:rsid w:val="71E576E6"/>
    <w:rsid w:val="71F899EC"/>
    <w:rsid w:val="71F9890F"/>
    <w:rsid w:val="71FCB91F"/>
    <w:rsid w:val="71FEE7FD"/>
    <w:rsid w:val="71FFE6CE"/>
    <w:rsid w:val="71FFF589"/>
    <w:rsid w:val="7206A78A"/>
    <w:rsid w:val="7209209F"/>
    <w:rsid w:val="720D4507"/>
    <w:rsid w:val="720D753E"/>
    <w:rsid w:val="720EFEC4"/>
    <w:rsid w:val="72107F29"/>
    <w:rsid w:val="72165AAE"/>
    <w:rsid w:val="7217C848"/>
    <w:rsid w:val="7217E0F7"/>
    <w:rsid w:val="721C51D0"/>
    <w:rsid w:val="721DCD3F"/>
    <w:rsid w:val="7223842A"/>
    <w:rsid w:val="7226C7F7"/>
    <w:rsid w:val="722AD217"/>
    <w:rsid w:val="722D1F92"/>
    <w:rsid w:val="722FB082"/>
    <w:rsid w:val="7231B319"/>
    <w:rsid w:val="7232C63F"/>
    <w:rsid w:val="72354FB3"/>
    <w:rsid w:val="7249CC99"/>
    <w:rsid w:val="724B4E26"/>
    <w:rsid w:val="724C9130"/>
    <w:rsid w:val="72591AE7"/>
    <w:rsid w:val="7259DB2D"/>
    <w:rsid w:val="725A349F"/>
    <w:rsid w:val="725FC8B4"/>
    <w:rsid w:val="72611DA0"/>
    <w:rsid w:val="726B81D9"/>
    <w:rsid w:val="726CFB97"/>
    <w:rsid w:val="726D68BB"/>
    <w:rsid w:val="7270B39D"/>
    <w:rsid w:val="7270C9AD"/>
    <w:rsid w:val="72786B7C"/>
    <w:rsid w:val="72796B51"/>
    <w:rsid w:val="727FA79F"/>
    <w:rsid w:val="72818AAD"/>
    <w:rsid w:val="7282F4EE"/>
    <w:rsid w:val="728351C9"/>
    <w:rsid w:val="7286EC25"/>
    <w:rsid w:val="728A8238"/>
    <w:rsid w:val="72989E6B"/>
    <w:rsid w:val="729A1E66"/>
    <w:rsid w:val="729F08E3"/>
    <w:rsid w:val="729F831E"/>
    <w:rsid w:val="72AC6708"/>
    <w:rsid w:val="72AD7C03"/>
    <w:rsid w:val="72BB1CC1"/>
    <w:rsid w:val="72BDBDA1"/>
    <w:rsid w:val="72C2D776"/>
    <w:rsid w:val="72CF6266"/>
    <w:rsid w:val="72D09BA8"/>
    <w:rsid w:val="72DA4153"/>
    <w:rsid w:val="72F29DDD"/>
    <w:rsid w:val="72F33995"/>
    <w:rsid w:val="72F5685F"/>
    <w:rsid w:val="72FDA4B7"/>
    <w:rsid w:val="730BC003"/>
    <w:rsid w:val="730BF0C3"/>
    <w:rsid w:val="73160109"/>
    <w:rsid w:val="731E496B"/>
    <w:rsid w:val="731FE6A1"/>
    <w:rsid w:val="7323B818"/>
    <w:rsid w:val="7325C7AA"/>
    <w:rsid w:val="732747EC"/>
    <w:rsid w:val="732ABEE5"/>
    <w:rsid w:val="733E9B41"/>
    <w:rsid w:val="734535FA"/>
    <w:rsid w:val="7345B396"/>
    <w:rsid w:val="734B1F69"/>
    <w:rsid w:val="734E6B30"/>
    <w:rsid w:val="734F8065"/>
    <w:rsid w:val="73507839"/>
    <w:rsid w:val="7352FBC4"/>
    <w:rsid w:val="73543DC0"/>
    <w:rsid w:val="7363C63F"/>
    <w:rsid w:val="736D061F"/>
    <w:rsid w:val="7374DD45"/>
    <w:rsid w:val="7376D55F"/>
    <w:rsid w:val="73778CD3"/>
    <w:rsid w:val="73848423"/>
    <w:rsid w:val="73855987"/>
    <w:rsid w:val="7385A135"/>
    <w:rsid w:val="7388C7D0"/>
    <w:rsid w:val="73929F38"/>
    <w:rsid w:val="73980EBC"/>
    <w:rsid w:val="739A7DAF"/>
    <w:rsid w:val="739C5FC2"/>
    <w:rsid w:val="73A03200"/>
    <w:rsid w:val="73A0C6BD"/>
    <w:rsid w:val="73A1A551"/>
    <w:rsid w:val="73A3493A"/>
    <w:rsid w:val="73A36E09"/>
    <w:rsid w:val="73A6241A"/>
    <w:rsid w:val="73A838BC"/>
    <w:rsid w:val="73AF1C75"/>
    <w:rsid w:val="73B08976"/>
    <w:rsid w:val="73B37C78"/>
    <w:rsid w:val="73B3E1CF"/>
    <w:rsid w:val="73B5E20D"/>
    <w:rsid w:val="73BE5A2B"/>
    <w:rsid w:val="73C1CF52"/>
    <w:rsid w:val="73C3009D"/>
    <w:rsid w:val="73CF3934"/>
    <w:rsid w:val="73D09D30"/>
    <w:rsid w:val="73DDEDFA"/>
    <w:rsid w:val="73DDF17B"/>
    <w:rsid w:val="73F146ED"/>
    <w:rsid w:val="73F3D723"/>
    <w:rsid w:val="73F43435"/>
    <w:rsid w:val="73FD4CD0"/>
    <w:rsid w:val="7402841F"/>
    <w:rsid w:val="74053AF9"/>
    <w:rsid w:val="7409FF95"/>
    <w:rsid w:val="741A70A7"/>
    <w:rsid w:val="741C017C"/>
    <w:rsid w:val="7420BFE8"/>
    <w:rsid w:val="7427514B"/>
    <w:rsid w:val="7429FC69"/>
    <w:rsid w:val="742A34B7"/>
    <w:rsid w:val="742B6FF5"/>
    <w:rsid w:val="7432002E"/>
    <w:rsid w:val="7433A876"/>
    <w:rsid w:val="74469B28"/>
    <w:rsid w:val="74495BF9"/>
    <w:rsid w:val="744CC20E"/>
    <w:rsid w:val="74521556"/>
    <w:rsid w:val="74536029"/>
    <w:rsid w:val="745415F5"/>
    <w:rsid w:val="7461BFE0"/>
    <w:rsid w:val="74660870"/>
    <w:rsid w:val="74665493"/>
    <w:rsid w:val="747C4283"/>
    <w:rsid w:val="747F756E"/>
    <w:rsid w:val="74803BCF"/>
    <w:rsid w:val="7480BB04"/>
    <w:rsid w:val="7480F240"/>
    <w:rsid w:val="748AA680"/>
    <w:rsid w:val="74A00909"/>
    <w:rsid w:val="74A533F2"/>
    <w:rsid w:val="74AB3A3C"/>
    <w:rsid w:val="74AEC548"/>
    <w:rsid w:val="74AF4D84"/>
    <w:rsid w:val="74B1A73A"/>
    <w:rsid w:val="74B34780"/>
    <w:rsid w:val="74B3A8EE"/>
    <w:rsid w:val="74B7F9C5"/>
    <w:rsid w:val="74B829F7"/>
    <w:rsid w:val="74C07453"/>
    <w:rsid w:val="74C344E1"/>
    <w:rsid w:val="74CFB2B5"/>
    <w:rsid w:val="74D62FBA"/>
    <w:rsid w:val="74D8A9D2"/>
    <w:rsid w:val="74DCB02F"/>
    <w:rsid w:val="74E1D076"/>
    <w:rsid w:val="74E2D9CF"/>
    <w:rsid w:val="74E38D15"/>
    <w:rsid w:val="74E40B07"/>
    <w:rsid w:val="74E40B8A"/>
    <w:rsid w:val="74E45D23"/>
    <w:rsid w:val="74E6EFCA"/>
    <w:rsid w:val="74F33697"/>
    <w:rsid w:val="74F35111"/>
    <w:rsid w:val="74F7A05C"/>
    <w:rsid w:val="74F8718A"/>
    <w:rsid w:val="750709EB"/>
    <w:rsid w:val="7509D0E4"/>
    <w:rsid w:val="751E88B2"/>
    <w:rsid w:val="752508D0"/>
    <w:rsid w:val="75297985"/>
    <w:rsid w:val="752A5CA2"/>
    <w:rsid w:val="75324773"/>
    <w:rsid w:val="75328218"/>
    <w:rsid w:val="753522D0"/>
    <w:rsid w:val="75367BD3"/>
    <w:rsid w:val="753CADCE"/>
    <w:rsid w:val="753E7574"/>
    <w:rsid w:val="754727BD"/>
    <w:rsid w:val="7547C703"/>
    <w:rsid w:val="754B8D2C"/>
    <w:rsid w:val="754D0312"/>
    <w:rsid w:val="755C2D1C"/>
    <w:rsid w:val="755F9204"/>
    <w:rsid w:val="7560D8EF"/>
    <w:rsid w:val="75619C8B"/>
    <w:rsid w:val="75670100"/>
    <w:rsid w:val="756CC50C"/>
    <w:rsid w:val="756D24ED"/>
    <w:rsid w:val="756ECE34"/>
    <w:rsid w:val="756FE8B0"/>
    <w:rsid w:val="7576F667"/>
    <w:rsid w:val="75804145"/>
    <w:rsid w:val="7587A8FA"/>
    <w:rsid w:val="7591200D"/>
    <w:rsid w:val="7591CBD8"/>
    <w:rsid w:val="7598BE62"/>
    <w:rsid w:val="7598F600"/>
    <w:rsid w:val="759B7133"/>
    <w:rsid w:val="75A66DA0"/>
    <w:rsid w:val="75AB1B5C"/>
    <w:rsid w:val="75B2C683"/>
    <w:rsid w:val="75B52D74"/>
    <w:rsid w:val="75B99D68"/>
    <w:rsid w:val="75BB19C8"/>
    <w:rsid w:val="75BDE6F1"/>
    <w:rsid w:val="75C66804"/>
    <w:rsid w:val="75CA967C"/>
    <w:rsid w:val="75D0A960"/>
    <w:rsid w:val="75D1C06D"/>
    <w:rsid w:val="75D3752C"/>
    <w:rsid w:val="75D9C09E"/>
    <w:rsid w:val="75E1BB52"/>
    <w:rsid w:val="75E46284"/>
    <w:rsid w:val="75E6FB23"/>
    <w:rsid w:val="75ECD29E"/>
    <w:rsid w:val="75F030EB"/>
    <w:rsid w:val="75F6B2AF"/>
    <w:rsid w:val="75FB502E"/>
    <w:rsid w:val="75FF398E"/>
    <w:rsid w:val="7601E51D"/>
    <w:rsid w:val="7604FC20"/>
    <w:rsid w:val="76078433"/>
    <w:rsid w:val="760823CB"/>
    <w:rsid w:val="760E3133"/>
    <w:rsid w:val="76166355"/>
    <w:rsid w:val="761AC67E"/>
    <w:rsid w:val="76298C49"/>
    <w:rsid w:val="762A294D"/>
    <w:rsid w:val="762E07FA"/>
    <w:rsid w:val="7630A3C9"/>
    <w:rsid w:val="76326F06"/>
    <w:rsid w:val="763709B8"/>
    <w:rsid w:val="76382E0A"/>
    <w:rsid w:val="763A6DC1"/>
    <w:rsid w:val="763B1057"/>
    <w:rsid w:val="763FA318"/>
    <w:rsid w:val="764B94CA"/>
    <w:rsid w:val="7652CB25"/>
    <w:rsid w:val="7655EA2D"/>
    <w:rsid w:val="765F8835"/>
    <w:rsid w:val="766EB87B"/>
    <w:rsid w:val="767B30BD"/>
    <w:rsid w:val="7685BE8A"/>
    <w:rsid w:val="76870558"/>
    <w:rsid w:val="769B9463"/>
    <w:rsid w:val="769D170C"/>
    <w:rsid w:val="76A74A14"/>
    <w:rsid w:val="76ACCF7C"/>
    <w:rsid w:val="76AF8A6F"/>
    <w:rsid w:val="76B7A80C"/>
    <w:rsid w:val="76BA5913"/>
    <w:rsid w:val="76BAE00B"/>
    <w:rsid w:val="76C06696"/>
    <w:rsid w:val="76C3A526"/>
    <w:rsid w:val="76C81B34"/>
    <w:rsid w:val="76CB9477"/>
    <w:rsid w:val="76D06D15"/>
    <w:rsid w:val="76D390FE"/>
    <w:rsid w:val="76D5F60A"/>
    <w:rsid w:val="76DF0466"/>
    <w:rsid w:val="76E2FA79"/>
    <w:rsid w:val="76E34687"/>
    <w:rsid w:val="76E82A38"/>
    <w:rsid w:val="76EA0DB3"/>
    <w:rsid w:val="76EC7947"/>
    <w:rsid w:val="76F05CD4"/>
    <w:rsid w:val="76F3F8A0"/>
    <w:rsid w:val="76F9876F"/>
    <w:rsid w:val="76FA3E4C"/>
    <w:rsid w:val="76FA48C2"/>
    <w:rsid w:val="7707494A"/>
    <w:rsid w:val="770F7473"/>
    <w:rsid w:val="770FF1FA"/>
    <w:rsid w:val="771141D0"/>
    <w:rsid w:val="7713550C"/>
    <w:rsid w:val="772A5C7A"/>
    <w:rsid w:val="772D4BCD"/>
    <w:rsid w:val="772FCC88"/>
    <w:rsid w:val="77360CF9"/>
    <w:rsid w:val="77401677"/>
    <w:rsid w:val="7740A2C8"/>
    <w:rsid w:val="77449F73"/>
    <w:rsid w:val="7746CB81"/>
    <w:rsid w:val="774921A5"/>
    <w:rsid w:val="77492A05"/>
    <w:rsid w:val="774C4ADD"/>
    <w:rsid w:val="774C552B"/>
    <w:rsid w:val="774EB02F"/>
    <w:rsid w:val="775BCE58"/>
    <w:rsid w:val="775D15E5"/>
    <w:rsid w:val="775E948F"/>
    <w:rsid w:val="7766CA8D"/>
    <w:rsid w:val="7766ED88"/>
    <w:rsid w:val="7768C538"/>
    <w:rsid w:val="776A3720"/>
    <w:rsid w:val="776C4E1C"/>
    <w:rsid w:val="77725AFF"/>
    <w:rsid w:val="77741FF4"/>
    <w:rsid w:val="7775B6EC"/>
    <w:rsid w:val="777B76B9"/>
    <w:rsid w:val="777D4ABA"/>
    <w:rsid w:val="77825414"/>
    <w:rsid w:val="778DEE85"/>
    <w:rsid w:val="779141C7"/>
    <w:rsid w:val="7791A26B"/>
    <w:rsid w:val="7792EF82"/>
    <w:rsid w:val="779B5CEC"/>
    <w:rsid w:val="779DA892"/>
    <w:rsid w:val="77A562F9"/>
    <w:rsid w:val="77AC75EB"/>
    <w:rsid w:val="77AF0F2A"/>
    <w:rsid w:val="77BDACE6"/>
    <w:rsid w:val="77BE6C7C"/>
    <w:rsid w:val="77C50919"/>
    <w:rsid w:val="77CE75F0"/>
    <w:rsid w:val="77D8BC2A"/>
    <w:rsid w:val="77D9E1EC"/>
    <w:rsid w:val="77E3C929"/>
    <w:rsid w:val="77EF7A4F"/>
    <w:rsid w:val="77F244B4"/>
    <w:rsid w:val="77F3D8DA"/>
    <w:rsid w:val="77F507BA"/>
    <w:rsid w:val="77F804FF"/>
    <w:rsid w:val="77F83F61"/>
    <w:rsid w:val="7801EEE9"/>
    <w:rsid w:val="780528CC"/>
    <w:rsid w:val="780EF799"/>
    <w:rsid w:val="780F1A34"/>
    <w:rsid w:val="78103528"/>
    <w:rsid w:val="781089DF"/>
    <w:rsid w:val="781702AD"/>
    <w:rsid w:val="7819693D"/>
    <w:rsid w:val="781F5A44"/>
    <w:rsid w:val="7824691F"/>
    <w:rsid w:val="78255828"/>
    <w:rsid w:val="78274566"/>
    <w:rsid w:val="782B5D79"/>
    <w:rsid w:val="7832EDC0"/>
    <w:rsid w:val="78371FC3"/>
    <w:rsid w:val="783B3153"/>
    <w:rsid w:val="783D773E"/>
    <w:rsid w:val="783DB4A2"/>
    <w:rsid w:val="783E23D1"/>
    <w:rsid w:val="785116C8"/>
    <w:rsid w:val="785324D3"/>
    <w:rsid w:val="7853786D"/>
    <w:rsid w:val="785550D5"/>
    <w:rsid w:val="7855F3C7"/>
    <w:rsid w:val="7858830A"/>
    <w:rsid w:val="785CFF66"/>
    <w:rsid w:val="7860A4A7"/>
    <w:rsid w:val="7865CD52"/>
    <w:rsid w:val="78682EB6"/>
    <w:rsid w:val="786B627D"/>
    <w:rsid w:val="786BDD88"/>
    <w:rsid w:val="786D9EB3"/>
    <w:rsid w:val="786DDDBD"/>
    <w:rsid w:val="786E864A"/>
    <w:rsid w:val="787248BF"/>
    <w:rsid w:val="7877C059"/>
    <w:rsid w:val="7878531A"/>
    <w:rsid w:val="788BEBE2"/>
    <w:rsid w:val="7891F8C7"/>
    <w:rsid w:val="78957A24"/>
    <w:rsid w:val="78988718"/>
    <w:rsid w:val="789ED3A4"/>
    <w:rsid w:val="78A1F441"/>
    <w:rsid w:val="78A414E5"/>
    <w:rsid w:val="78A5833B"/>
    <w:rsid w:val="78AF1FF5"/>
    <w:rsid w:val="78B21B34"/>
    <w:rsid w:val="78B6FA6A"/>
    <w:rsid w:val="78C74201"/>
    <w:rsid w:val="78CA217F"/>
    <w:rsid w:val="78CB35D2"/>
    <w:rsid w:val="78E0A863"/>
    <w:rsid w:val="78E2855C"/>
    <w:rsid w:val="78E7CE0F"/>
    <w:rsid w:val="78EA7709"/>
    <w:rsid w:val="78EF0C2C"/>
    <w:rsid w:val="78F003E7"/>
    <w:rsid w:val="78F01834"/>
    <w:rsid w:val="78F145F4"/>
    <w:rsid w:val="78F220D0"/>
    <w:rsid w:val="78F24909"/>
    <w:rsid w:val="78F28BB1"/>
    <w:rsid w:val="78F762E7"/>
    <w:rsid w:val="78FDFB72"/>
    <w:rsid w:val="7902A4B5"/>
    <w:rsid w:val="7903FBFE"/>
    <w:rsid w:val="790EBA02"/>
    <w:rsid w:val="791122DF"/>
    <w:rsid w:val="7914751D"/>
    <w:rsid w:val="7917E8DD"/>
    <w:rsid w:val="791A5486"/>
    <w:rsid w:val="7923BAED"/>
    <w:rsid w:val="792C001A"/>
    <w:rsid w:val="793178BB"/>
    <w:rsid w:val="7937A315"/>
    <w:rsid w:val="7937D072"/>
    <w:rsid w:val="79384E45"/>
    <w:rsid w:val="793AC4EA"/>
    <w:rsid w:val="793FBE59"/>
    <w:rsid w:val="7942CFEF"/>
    <w:rsid w:val="7944A0EC"/>
    <w:rsid w:val="79456CD2"/>
    <w:rsid w:val="794D00BE"/>
    <w:rsid w:val="794E8993"/>
    <w:rsid w:val="7958D66F"/>
    <w:rsid w:val="796BA452"/>
    <w:rsid w:val="796BF041"/>
    <w:rsid w:val="7977CCF1"/>
    <w:rsid w:val="7978CDD8"/>
    <w:rsid w:val="797992A9"/>
    <w:rsid w:val="798893E5"/>
    <w:rsid w:val="798A62BF"/>
    <w:rsid w:val="798D8C87"/>
    <w:rsid w:val="799151CD"/>
    <w:rsid w:val="79956377"/>
    <w:rsid w:val="799ED51A"/>
    <w:rsid w:val="79A29875"/>
    <w:rsid w:val="79A8E167"/>
    <w:rsid w:val="79AE2139"/>
    <w:rsid w:val="79AE303C"/>
    <w:rsid w:val="79AF3909"/>
    <w:rsid w:val="79B308B3"/>
    <w:rsid w:val="79B43545"/>
    <w:rsid w:val="79B77C2A"/>
    <w:rsid w:val="79BA8311"/>
    <w:rsid w:val="79BB2B7C"/>
    <w:rsid w:val="79BC6504"/>
    <w:rsid w:val="79BF0E9F"/>
    <w:rsid w:val="79C0AF60"/>
    <w:rsid w:val="79C37941"/>
    <w:rsid w:val="79C77647"/>
    <w:rsid w:val="79E10D45"/>
    <w:rsid w:val="79E7D0F1"/>
    <w:rsid w:val="79E8AAA9"/>
    <w:rsid w:val="79EA71A6"/>
    <w:rsid w:val="79EB59D9"/>
    <w:rsid w:val="79F19E60"/>
    <w:rsid w:val="79F54F87"/>
    <w:rsid w:val="79FB4429"/>
    <w:rsid w:val="7A00B1A5"/>
    <w:rsid w:val="7A02E4D9"/>
    <w:rsid w:val="7A03EF23"/>
    <w:rsid w:val="7A077C3A"/>
    <w:rsid w:val="7A07D802"/>
    <w:rsid w:val="7A10C09A"/>
    <w:rsid w:val="7A139885"/>
    <w:rsid w:val="7A16B956"/>
    <w:rsid w:val="7A218672"/>
    <w:rsid w:val="7A2605AB"/>
    <w:rsid w:val="7A2B961F"/>
    <w:rsid w:val="7A2E3EA9"/>
    <w:rsid w:val="7A2EAA2A"/>
    <w:rsid w:val="7A300A40"/>
    <w:rsid w:val="7A4085D3"/>
    <w:rsid w:val="7A447A39"/>
    <w:rsid w:val="7A46120C"/>
    <w:rsid w:val="7A47078F"/>
    <w:rsid w:val="7A4A7388"/>
    <w:rsid w:val="7A4E5E81"/>
    <w:rsid w:val="7A54AE79"/>
    <w:rsid w:val="7A5B3862"/>
    <w:rsid w:val="7A615822"/>
    <w:rsid w:val="7A6441FF"/>
    <w:rsid w:val="7A6633C2"/>
    <w:rsid w:val="7A676D4A"/>
    <w:rsid w:val="7A6A25E9"/>
    <w:rsid w:val="7A6EB041"/>
    <w:rsid w:val="7A71C5A3"/>
    <w:rsid w:val="7A71D68E"/>
    <w:rsid w:val="7A740241"/>
    <w:rsid w:val="7A7AA88C"/>
    <w:rsid w:val="7A7AFC47"/>
    <w:rsid w:val="7A7B3D16"/>
    <w:rsid w:val="7A91655C"/>
    <w:rsid w:val="7A986399"/>
    <w:rsid w:val="7AB0B06F"/>
    <w:rsid w:val="7AB21726"/>
    <w:rsid w:val="7AB48239"/>
    <w:rsid w:val="7ABD62A1"/>
    <w:rsid w:val="7AC8D007"/>
    <w:rsid w:val="7AC99343"/>
    <w:rsid w:val="7ACFA84D"/>
    <w:rsid w:val="7AD02BF5"/>
    <w:rsid w:val="7AD09285"/>
    <w:rsid w:val="7ADB8C77"/>
    <w:rsid w:val="7AE7F621"/>
    <w:rsid w:val="7AE92817"/>
    <w:rsid w:val="7AEBFF03"/>
    <w:rsid w:val="7AF325AD"/>
    <w:rsid w:val="7AF48256"/>
    <w:rsid w:val="7AFBD914"/>
    <w:rsid w:val="7AFF0AC9"/>
    <w:rsid w:val="7AFF8757"/>
    <w:rsid w:val="7B00FF94"/>
    <w:rsid w:val="7B022D13"/>
    <w:rsid w:val="7B0989C1"/>
    <w:rsid w:val="7B1B4B6A"/>
    <w:rsid w:val="7B1FCFDD"/>
    <w:rsid w:val="7B239826"/>
    <w:rsid w:val="7B26131F"/>
    <w:rsid w:val="7B261E6F"/>
    <w:rsid w:val="7B27E0E9"/>
    <w:rsid w:val="7B31FDD0"/>
    <w:rsid w:val="7B33CFDF"/>
    <w:rsid w:val="7B3B5744"/>
    <w:rsid w:val="7B47D5EA"/>
    <w:rsid w:val="7B583565"/>
    <w:rsid w:val="7B5A66EF"/>
    <w:rsid w:val="7B5C5683"/>
    <w:rsid w:val="7B6316AA"/>
    <w:rsid w:val="7B6C5659"/>
    <w:rsid w:val="7B6E7C49"/>
    <w:rsid w:val="7B704E91"/>
    <w:rsid w:val="7B70B9A2"/>
    <w:rsid w:val="7B78FD34"/>
    <w:rsid w:val="7B796726"/>
    <w:rsid w:val="7B7977E2"/>
    <w:rsid w:val="7B7BCD1C"/>
    <w:rsid w:val="7B7BFE24"/>
    <w:rsid w:val="7B7D9F36"/>
    <w:rsid w:val="7B92AFDF"/>
    <w:rsid w:val="7B9B707B"/>
    <w:rsid w:val="7BA07066"/>
    <w:rsid w:val="7BA0C93C"/>
    <w:rsid w:val="7BA34432"/>
    <w:rsid w:val="7BA5CF71"/>
    <w:rsid w:val="7BA9AF09"/>
    <w:rsid w:val="7BB39E41"/>
    <w:rsid w:val="7BB49B55"/>
    <w:rsid w:val="7BBE1C37"/>
    <w:rsid w:val="7BC6BD3C"/>
    <w:rsid w:val="7BC90A3A"/>
    <w:rsid w:val="7BCAF1E0"/>
    <w:rsid w:val="7BCE1282"/>
    <w:rsid w:val="7BD9DD9C"/>
    <w:rsid w:val="7BDBEA46"/>
    <w:rsid w:val="7BDCC344"/>
    <w:rsid w:val="7BDDBEDD"/>
    <w:rsid w:val="7BDDFC89"/>
    <w:rsid w:val="7BE250FC"/>
    <w:rsid w:val="7BE94C00"/>
    <w:rsid w:val="7BECD79F"/>
    <w:rsid w:val="7BED9933"/>
    <w:rsid w:val="7BEDCC45"/>
    <w:rsid w:val="7BF16C7E"/>
    <w:rsid w:val="7BFAFC49"/>
    <w:rsid w:val="7C0177E2"/>
    <w:rsid w:val="7C07BCB2"/>
    <w:rsid w:val="7C087036"/>
    <w:rsid w:val="7C0974A3"/>
    <w:rsid w:val="7C124B36"/>
    <w:rsid w:val="7C183C1D"/>
    <w:rsid w:val="7C1B7DA9"/>
    <w:rsid w:val="7C1BBFBC"/>
    <w:rsid w:val="7C296F47"/>
    <w:rsid w:val="7C2C6691"/>
    <w:rsid w:val="7C2F80BE"/>
    <w:rsid w:val="7C3A0E76"/>
    <w:rsid w:val="7C3D4B36"/>
    <w:rsid w:val="7C4020D1"/>
    <w:rsid w:val="7C405702"/>
    <w:rsid w:val="7C4099AF"/>
    <w:rsid w:val="7C5ADDD6"/>
    <w:rsid w:val="7C5BFB85"/>
    <w:rsid w:val="7C5F8064"/>
    <w:rsid w:val="7C61690B"/>
    <w:rsid w:val="7C64FE4E"/>
    <w:rsid w:val="7C6512F2"/>
    <w:rsid w:val="7C6BFC56"/>
    <w:rsid w:val="7C6DC567"/>
    <w:rsid w:val="7C71D090"/>
    <w:rsid w:val="7C78287D"/>
    <w:rsid w:val="7C7E8C9F"/>
    <w:rsid w:val="7C7F278F"/>
    <w:rsid w:val="7C859E99"/>
    <w:rsid w:val="7C906AB4"/>
    <w:rsid w:val="7C96C851"/>
    <w:rsid w:val="7C98FAD3"/>
    <w:rsid w:val="7C99D180"/>
    <w:rsid w:val="7C9DDCA3"/>
    <w:rsid w:val="7CA06A31"/>
    <w:rsid w:val="7CA309A5"/>
    <w:rsid w:val="7CA5CF45"/>
    <w:rsid w:val="7CA966D9"/>
    <w:rsid w:val="7CB4CC6D"/>
    <w:rsid w:val="7CB75CC1"/>
    <w:rsid w:val="7CBAC21F"/>
    <w:rsid w:val="7CBE7D2A"/>
    <w:rsid w:val="7CC42D1F"/>
    <w:rsid w:val="7CC549A4"/>
    <w:rsid w:val="7CD941A0"/>
    <w:rsid w:val="7CDCF35F"/>
    <w:rsid w:val="7CDEDF35"/>
    <w:rsid w:val="7CDF9909"/>
    <w:rsid w:val="7CE03B22"/>
    <w:rsid w:val="7CE26815"/>
    <w:rsid w:val="7CE8374A"/>
    <w:rsid w:val="7CEE0F65"/>
    <w:rsid w:val="7CF4D9D8"/>
    <w:rsid w:val="7CF868F0"/>
    <w:rsid w:val="7CFC8237"/>
    <w:rsid w:val="7D066068"/>
    <w:rsid w:val="7D0996C9"/>
    <w:rsid w:val="7D0FAF51"/>
    <w:rsid w:val="7D19C16C"/>
    <w:rsid w:val="7D1A5CA7"/>
    <w:rsid w:val="7D26A4A8"/>
    <w:rsid w:val="7D26F54C"/>
    <w:rsid w:val="7D2C8F89"/>
    <w:rsid w:val="7D30E3D4"/>
    <w:rsid w:val="7D32E6AA"/>
    <w:rsid w:val="7D3B380B"/>
    <w:rsid w:val="7D3EF102"/>
    <w:rsid w:val="7D42A4E9"/>
    <w:rsid w:val="7D456C05"/>
    <w:rsid w:val="7D48D174"/>
    <w:rsid w:val="7D492D62"/>
    <w:rsid w:val="7D5534A0"/>
    <w:rsid w:val="7D5E7F49"/>
    <w:rsid w:val="7D5EFE38"/>
    <w:rsid w:val="7D5F5291"/>
    <w:rsid w:val="7D69671B"/>
    <w:rsid w:val="7D740426"/>
    <w:rsid w:val="7D77E414"/>
    <w:rsid w:val="7D780732"/>
    <w:rsid w:val="7D7AD21C"/>
    <w:rsid w:val="7D7CAE66"/>
    <w:rsid w:val="7D7EF5BE"/>
    <w:rsid w:val="7D7F2EE1"/>
    <w:rsid w:val="7D8677D1"/>
    <w:rsid w:val="7D8801E3"/>
    <w:rsid w:val="7D8E5096"/>
    <w:rsid w:val="7D968C68"/>
    <w:rsid w:val="7D991A95"/>
    <w:rsid w:val="7DA2CAF3"/>
    <w:rsid w:val="7DB0EDC2"/>
    <w:rsid w:val="7DB5EA01"/>
    <w:rsid w:val="7DB766E5"/>
    <w:rsid w:val="7DB96662"/>
    <w:rsid w:val="7DBE0EF0"/>
    <w:rsid w:val="7DC27A59"/>
    <w:rsid w:val="7DC6F3DF"/>
    <w:rsid w:val="7DC83A33"/>
    <w:rsid w:val="7DCB9C4F"/>
    <w:rsid w:val="7DCE1986"/>
    <w:rsid w:val="7DCE9393"/>
    <w:rsid w:val="7DD41771"/>
    <w:rsid w:val="7DD459B4"/>
    <w:rsid w:val="7DD5B0B4"/>
    <w:rsid w:val="7DD6E279"/>
    <w:rsid w:val="7DD719FA"/>
    <w:rsid w:val="7DD8857D"/>
    <w:rsid w:val="7DDCFE64"/>
    <w:rsid w:val="7DDE291C"/>
    <w:rsid w:val="7DE0C077"/>
    <w:rsid w:val="7DE43F58"/>
    <w:rsid w:val="7DF6521C"/>
    <w:rsid w:val="7E036AB8"/>
    <w:rsid w:val="7E058DF2"/>
    <w:rsid w:val="7E078F11"/>
    <w:rsid w:val="7E1172B7"/>
    <w:rsid w:val="7E138A49"/>
    <w:rsid w:val="7E1D23A6"/>
    <w:rsid w:val="7E2BE0AD"/>
    <w:rsid w:val="7E2C3AC4"/>
    <w:rsid w:val="7E2D5B38"/>
    <w:rsid w:val="7E2F1A41"/>
    <w:rsid w:val="7E2FEE5A"/>
    <w:rsid w:val="7E31CF35"/>
    <w:rsid w:val="7E36AB8B"/>
    <w:rsid w:val="7E3C3A92"/>
    <w:rsid w:val="7E3C9B1C"/>
    <w:rsid w:val="7E41848C"/>
    <w:rsid w:val="7E4BC10F"/>
    <w:rsid w:val="7E5B46A9"/>
    <w:rsid w:val="7E615CF9"/>
    <w:rsid w:val="7E6360FD"/>
    <w:rsid w:val="7E6A7A67"/>
    <w:rsid w:val="7E6BCD91"/>
    <w:rsid w:val="7E76849A"/>
    <w:rsid w:val="7E7AE0CC"/>
    <w:rsid w:val="7E8B01C4"/>
    <w:rsid w:val="7E904894"/>
    <w:rsid w:val="7E9686FB"/>
    <w:rsid w:val="7E9C901A"/>
    <w:rsid w:val="7EA013BF"/>
    <w:rsid w:val="7EAC658F"/>
    <w:rsid w:val="7EB06A11"/>
    <w:rsid w:val="7EB0C178"/>
    <w:rsid w:val="7EB20538"/>
    <w:rsid w:val="7EB420D7"/>
    <w:rsid w:val="7EB42C8D"/>
    <w:rsid w:val="7EB47D5F"/>
    <w:rsid w:val="7EB69891"/>
    <w:rsid w:val="7EBB97F2"/>
    <w:rsid w:val="7EBD5FA1"/>
    <w:rsid w:val="7EC383C2"/>
    <w:rsid w:val="7ECA6811"/>
    <w:rsid w:val="7ECCB435"/>
    <w:rsid w:val="7ECF89F3"/>
    <w:rsid w:val="7ED2B447"/>
    <w:rsid w:val="7ED6DAB0"/>
    <w:rsid w:val="7ED78A82"/>
    <w:rsid w:val="7ED9E89D"/>
    <w:rsid w:val="7EE22A16"/>
    <w:rsid w:val="7EE28B28"/>
    <w:rsid w:val="7EE2C28F"/>
    <w:rsid w:val="7EE7A80A"/>
    <w:rsid w:val="7EE8C0B7"/>
    <w:rsid w:val="7EE9C7C9"/>
    <w:rsid w:val="7EEF23E6"/>
    <w:rsid w:val="7EEF2C42"/>
    <w:rsid w:val="7EF5E050"/>
    <w:rsid w:val="7EF8E46C"/>
    <w:rsid w:val="7EFBD07B"/>
    <w:rsid w:val="7EFDEDBF"/>
    <w:rsid w:val="7EFE6C20"/>
    <w:rsid w:val="7EFF099A"/>
    <w:rsid w:val="7EFF8398"/>
    <w:rsid w:val="7F006C46"/>
    <w:rsid w:val="7F027CDB"/>
    <w:rsid w:val="7F029D20"/>
    <w:rsid w:val="7F0BE8AD"/>
    <w:rsid w:val="7F0DDEBE"/>
    <w:rsid w:val="7F11D86A"/>
    <w:rsid w:val="7F1357A1"/>
    <w:rsid w:val="7F157B29"/>
    <w:rsid w:val="7F32B9FB"/>
    <w:rsid w:val="7F3B9DE3"/>
    <w:rsid w:val="7F461801"/>
    <w:rsid w:val="7F494650"/>
    <w:rsid w:val="7F524B03"/>
    <w:rsid w:val="7F526AF6"/>
    <w:rsid w:val="7F5AC474"/>
    <w:rsid w:val="7F5D7D4F"/>
    <w:rsid w:val="7F61CD35"/>
    <w:rsid w:val="7F63A560"/>
    <w:rsid w:val="7F655257"/>
    <w:rsid w:val="7F68E202"/>
    <w:rsid w:val="7F6976B3"/>
    <w:rsid w:val="7F697C35"/>
    <w:rsid w:val="7F6AECA8"/>
    <w:rsid w:val="7F6D54DF"/>
    <w:rsid w:val="7F71212A"/>
    <w:rsid w:val="7F739D99"/>
    <w:rsid w:val="7F77CF0D"/>
    <w:rsid w:val="7F784510"/>
    <w:rsid w:val="7F7D171E"/>
    <w:rsid w:val="7F83D274"/>
    <w:rsid w:val="7F840ACD"/>
    <w:rsid w:val="7F85F5FF"/>
    <w:rsid w:val="7F879D76"/>
    <w:rsid w:val="7F8D7BB4"/>
    <w:rsid w:val="7FA1B004"/>
    <w:rsid w:val="7FAD0E65"/>
    <w:rsid w:val="7FBB3333"/>
    <w:rsid w:val="7FBCC66F"/>
    <w:rsid w:val="7FCE61E5"/>
    <w:rsid w:val="7FD27BEC"/>
    <w:rsid w:val="7FD299B2"/>
    <w:rsid w:val="7FDF20BA"/>
    <w:rsid w:val="7FE610B3"/>
    <w:rsid w:val="7FEA430B"/>
    <w:rsid w:val="7FEABA7C"/>
    <w:rsid w:val="7FF22B6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1AEAD"/>
  <w15:chartTrackingRefBased/>
  <w15:docId w15:val="{6715208E-0633-F843-BA0D-F8D739AB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1AE1"/>
    <w:pPr>
      <w:jc w:val="both"/>
    </w:pPr>
    <w:rPr>
      <w:rFonts w:ascii="Arial" w:hAnsi="Arial"/>
      <w:sz w:val="21"/>
    </w:rPr>
  </w:style>
  <w:style w:type="paragraph" w:styleId="Heading1">
    <w:name w:val="heading 1"/>
    <w:basedOn w:val="Normal"/>
    <w:next w:val="Normal"/>
    <w:link w:val="Heading1Char"/>
    <w:uiPriority w:val="9"/>
    <w:qFormat/>
    <w:rsid w:val="00A32E3A"/>
    <w:pPr>
      <w:keepNext/>
      <w:keepLines/>
      <w:spacing w:before="240" w:after="0"/>
      <w:outlineLvl w:val="0"/>
    </w:pPr>
    <w:rPr>
      <w:rFonts w:eastAsiaTheme="majorEastAsia" w:cstheme="majorBidi"/>
      <w:color w:val="0F4BEB"/>
      <w:sz w:val="44"/>
      <w:szCs w:val="32"/>
    </w:rPr>
  </w:style>
  <w:style w:type="paragraph" w:styleId="Heading2">
    <w:name w:val="heading 2"/>
    <w:basedOn w:val="Normal"/>
    <w:next w:val="Normal"/>
    <w:link w:val="Heading2Char"/>
    <w:uiPriority w:val="9"/>
    <w:unhideWhenUsed/>
    <w:qFormat/>
    <w:rsid w:val="00A32E3A"/>
    <w:pPr>
      <w:keepNext/>
      <w:keepLines/>
      <w:spacing w:before="240" w:after="120"/>
      <w:outlineLvl w:val="1"/>
    </w:pPr>
    <w:rPr>
      <w:rFonts w:eastAsiaTheme="majorEastAsia" w:cstheme="majorBidi"/>
      <w:color w:val="0F4BEB"/>
      <w:sz w:val="30"/>
      <w:szCs w:val="26"/>
    </w:rPr>
  </w:style>
  <w:style w:type="paragraph" w:styleId="Heading3">
    <w:name w:val="heading 3"/>
    <w:basedOn w:val="Normal"/>
    <w:next w:val="Normal"/>
    <w:link w:val="Heading3Char"/>
    <w:uiPriority w:val="9"/>
    <w:unhideWhenUsed/>
    <w:qFormat/>
    <w:rsid w:val="00D63331"/>
    <w:pPr>
      <w:keepNext/>
      <w:keepLines/>
      <w:spacing w:before="240" w:after="240"/>
      <w:outlineLvl w:val="2"/>
    </w:pPr>
    <w:rPr>
      <w:rFonts w:eastAsiaTheme="majorEastAsia" w:cstheme="majorBidi"/>
      <w:color w:val="0F4BEB"/>
      <w:sz w:val="24"/>
      <w:szCs w:val="24"/>
    </w:rPr>
  </w:style>
  <w:style w:type="paragraph" w:styleId="Heading4">
    <w:name w:val="heading 4"/>
    <w:basedOn w:val="Normal"/>
    <w:next w:val="Normal"/>
    <w:link w:val="Heading4Char"/>
    <w:uiPriority w:val="9"/>
    <w:unhideWhenUsed/>
    <w:qFormat/>
    <w:rsid w:val="005805F2"/>
    <w:pPr>
      <w:keepNext/>
      <w:keepLines/>
      <w:spacing w:before="120" w:after="240"/>
      <w:outlineLvl w:val="3"/>
    </w:pPr>
    <w:rPr>
      <w:rFonts w:asciiTheme="majorHAnsi" w:eastAsiaTheme="majorEastAsia" w:hAnsiTheme="majorHAnsi" w:cstheme="majorBidi"/>
      <w:i/>
      <w:iCs/>
      <w:color w:val="0F4BE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629A8"/>
    <w:pPr>
      <w:ind w:left="720"/>
      <w:contextualSpacing/>
    </w:pPr>
  </w:style>
  <w:style w:type="paragraph" w:styleId="FootnoteText">
    <w:name w:val="footnote text"/>
    <w:basedOn w:val="Normal"/>
    <w:link w:val="FootnoteTextChar"/>
    <w:uiPriority w:val="99"/>
    <w:unhideWhenUsed/>
    <w:rsid w:val="009B25CD"/>
    <w:pPr>
      <w:spacing w:after="0" w:line="240" w:lineRule="auto"/>
    </w:pPr>
    <w:rPr>
      <w:sz w:val="20"/>
      <w:szCs w:val="20"/>
    </w:rPr>
  </w:style>
  <w:style w:type="character" w:customStyle="1" w:styleId="FootnoteTextChar">
    <w:name w:val="Footnote Text Char"/>
    <w:basedOn w:val="DefaultParagraphFont"/>
    <w:link w:val="FootnoteText"/>
    <w:uiPriority w:val="99"/>
    <w:rsid w:val="009B25CD"/>
    <w:rPr>
      <w:sz w:val="20"/>
      <w:szCs w:val="20"/>
    </w:rPr>
  </w:style>
  <w:style w:type="character" w:styleId="FootnoteReference">
    <w:name w:val="footnote reference"/>
    <w:basedOn w:val="DefaultParagraphFont"/>
    <w:uiPriority w:val="99"/>
    <w:unhideWhenUsed/>
    <w:rsid w:val="009B25CD"/>
    <w:rPr>
      <w:vertAlign w:val="superscript"/>
    </w:rPr>
  </w:style>
  <w:style w:type="paragraph" w:styleId="Header">
    <w:name w:val="header"/>
    <w:basedOn w:val="Normal"/>
    <w:link w:val="HeaderChar"/>
    <w:uiPriority w:val="99"/>
    <w:unhideWhenUsed/>
    <w:rsid w:val="009028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284F"/>
  </w:style>
  <w:style w:type="paragraph" w:styleId="Footer">
    <w:name w:val="footer"/>
    <w:basedOn w:val="Normal"/>
    <w:link w:val="FooterChar"/>
    <w:uiPriority w:val="99"/>
    <w:unhideWhenUsed/>
    <w:rsid w:val="009028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284F"/>
  </w:style>
  <w:style w:type="character" w:customStyle="1" w:styleId="Heading1Char">
    <w:name w:val="Heading 1 Char"/>
    <w:basedOn w:val="DefaultParagraphFont"/>
    <w:link w:val="Heading1"/>
    <w:uiPriority w:val="9"/>
    <w:rsid w:val="00A32E3A"/>
    <w:rPr>
      <w:rFonts w:ascii="Arial" w:eastAsiaTheme="majorEastAsia" w:hAnsi="Arial" w:cstheme="majorBidi"/>
      <w:color w:val="0F4BEB"/>
      <w:sz w:val="44"/>
      <w:szCs w:val="32"/>
    </w:rPr>
  </w:style>
  <w:style w:type="character" w:customStyle="1" w:styleId="Heading2Char">
    <w:name w:val="Heading 2 Char"/>
    <w:basedOn w:val="DefaultParagraphFont"/>
    <w:link w:val="Heading2"/>
    <w:uiPriority w:val="9"/>
    <w:rsid w:val="00A32E3A"/>
    <w:rPr>
      <w:rFonts w:ascii="Arial" w:eastAsiaTheme="majorEastAsia" w:hAnsi="Arial" w:cstheme="majorBidi"/>
      <w:color w:val="0F4BEB"/>
      <w:sz w:val="30"/>
      <w:szCs w:val="26"/>
    </w:rPr>
  </w:style>
  <w:style w:type="character" w:customStyle="1" w:styleId="Heading3Char">
    <w:name w:val="Heading 3 Char"/>
    <w:basedOn w:val="DefaultParagraphFont"/>
    <w:link w:val="Heading3"/>
    <w:uiPriority w:val="9"/>
    <w:rsid w:val="00D63331"/>
    <w:rPr>
      <w:rFonts w:ascii="Arial" w:eastAsiaTheme="majorEastAsia" w:hAnsi="Arial" w:cstheme="majorBidi"/>
      <w:color w:val="0F4BEB"/>
      <w:sz w:val="24"/>
      <w:szCs w:val="24"/>
    </w:rPr>
  </w:style>
  <w:style w:type="character" w:styleId="Hyperlink">
    <w:name w:val="Hyperlink"/>
    <w:basedOn w:val="DefaultParagraphFont"/>
    <w:uiPriority w:val="99"/>
    <w:unhideWhenUsed/>
    <w:rsid w:val="00E51C2B"/>
    <w:rPr>
      <w:color w:val="0000FF" w:themeColor="hyperlink"/>
      <w:u w:val="single"/>
    </w:rPr>
  </w:style>
  <w:style w:type="character" w:customStyle="1" w:styleId="markedcontent">
    <w:name w:val="markedcontent"/>
    <w:basedOn w:val="DefaultParagraphFont"/>
    <w:rsid w:val="00FE61F6"/>
  </w:style>
  <w:style w:type="character" w:customStyle="1" w:styleId="Heading4Char">
    <w:name w:val="Heading 4 Char"/>
    <w:basedOn w:val="DefaultParagraphFont"/>
    <w:link w:val="Heading4"/>
    <w:uiPriority w:val="9"/>
    <w:rsid w:val="005805F2"/>
    <w:rPr>
      <w:rFonts w:asciiTheme="majorHAnsi" w:eastAsiaTheme="majorEastAsia" w:hAnsiTheme="majorHAnsi" w:cstheme="majorBidi"/>
      <w:i/>
      <w:iCs/>
      <w:color w:val="0F4BEB"/>
    </w:rPr>
  </w:style>
  <w:style w:type="paragraph" w:customStyle="1" w:styleId="paragraph">
    <w:name w:val="paragraph"/>
    <w:basedOn w:val="Normal"/>
    <w:rsid w:val="00A14AC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A14ACB"/>
  </w:style>
  <w:style w:type="character" w:customStyle="1" w:styleId="eop">
    <w:name w:val="eop"/>
    <w:basedOn w:val="DefaultParagraphFont"/>
    <w:rsid w:val="00A14ACB"/>
  </w:style>
  <w:style w:type="character" w:customStyle="1" w:styleId="superscript">
    <w:name w:val="superscript"/>
    <w:basedOn w:val="DefaultParagraphFont"/>
    <w:rsid w:val="00DC7893"/>
  </w:style>
  <w:style w:type="character" w:styleId="CommentReference">
    <w:name w:val="annotation reference"/>
    <w:basedOn w:val="DefaultParagraphFont"/>
    <w:uiPriority w:val="99"/>
    <w:semiHidden/>
    <w:unhideWhenUsed/>
    <w:rsid w:val="001843D5"/>
    <w:rPr>
      <w:sz w:val="16"/>
      <w:szCs w:val="16"/>
    </w:rPr>
  </w:style>
  <w:style w:type="paragraph" w:styleId="CommentText">
    <w:name w:val="annotation text"/>
    <w:basedOn w:val="Normal"/>
    <w:link w:val="CommentTextChar"/>
    <w:uiPriority w:val="99"/>
    <w:unhideWhenUsed/>
    <w:rsid w:val="001843D5"/>
    <w:pPr>
      <w:spacing w:line="240" w:lineRule="auto"/>
    </w:pPr>
    <w:rPr>
      <w:sz w:val="20"/>
      <w:szCs w:val="20"/>
    </w:rPr>
  </w:style>
  <w:style w:type="character" w:customStyle="1" w:styleId="CommentTextChar">
    <w:name w:val="Comment Text Char"/>
    <w:basedOn w:val="DefaultParagraphFont"/>
    <w:link w:val="CommentText"/>
    <w:uiPriority w:val="99"/>
    <w:rsid w:val="001843D5"/>
    <w:rPr>
      <w:sz w:val="20"/>
      <w:szCs w:val="20"/>
    </w:rPr>
  </w:style>
  <w:style w:type="paragraph" w:styleId="CommentSubject">
    <w:name w:val="annotation subject"/>
    <w:basedOn w:val="CommentText"/>
    <w:next w:val="CommentText"/>
    <w:link w:val="CommentSubjectChar"/>
    <w:uiPriority w:val="99"/>
    <w:semiHidden/>
    <w:unhideWhenUsed/>
    <w:rsid w:val="001843D5"/>
    <w:rPr>
      <w:b/>
      <w:bCs/>
    </w:rPr>
  </w:style>
  <w:style w:type="character" w:customStyle="1" w:styleId="CommentSubjectChar">
    <w:name w:val="Comment Subject Char"/>
    <w:basedOn w:val="CommentTextChar"/>
    <w:link w:val="CommentSubject"/>
    <w:uiPriority w:val="99"/>
    <w:semiHidden/>
    <w:rsid w:val="001843D5"/>
    <w:rPr>
      <w:b/>
      <w:bCs/>
      <w:sz w:val="20"/>
      <w:szCs w:val="20"/>
    </w:rPr>
  </w:style>
  <w:style w:type="paragraph" w:styleId="Revision">
    <w:name w:val="Revision"/>
    <w:hidden/>
    <w:uiPriority w:val="99"/>
    <w:semiHidden/>
    <w:rsid w:val="00B45EA5"/>
    <w:pPr>
      <w:spacing w:after="0" w:line="240" w:lineRule="auto"/>
    </w:pPr>
  </w:style>
  <w:style w:type="table" w:styleId="TableGrid">
    <w:name w:val="Table Grid"/>
    <w:basedOn w:val="TableNormal"/>
    <w:uiPriority w:val="39"/>
    <w:rsid w:val="00160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6saadr4fx">
    <w:name w:val="mark6saadr4fx"/>
    <w:basedOn w:val="DefaultParagraphFont"/>
    <w:rsid w:val="000E30B4"/>
  </w:style>
  <w:style w:type="paragraph" w:customStyle="1" w:styleId="pf0">
    <w:name w:val="pf0"/>
    <w:basedOn w:val="Normal"/>
    <w:rsid w:val="0083635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83635F"/>
    <w:rPr>
      <w:rFonts w:ascii="Segoe UI" w:hAnsi="Segoe UI" w:cs="Segoe UI" w:hint="default"/>
      <w:sz w:val="18"/>
      <w:szCs w:val="18"/>
    </w:rPr>
  </w:style>
  <w:style w:type="paragraph" w:styleId="BalloonText">
    <w:name w:val="Balloon Text"/>
    <w:basedOn w:val="Normal"/>
    <w:link w:val="BalloonTextChar"/>
    <w:uiPriority w:val="99"/>
    <w:semiHidden/>
    <w:unhideWhenUsed/>
    <w:rsid w:val="006920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031"/>
    <w:rPr>
      <w:rFonts w:ascii="Segoe UI" w:hAnsi="Segoe UI" w:cs="Segoe UI"/>
      <w:sz w:val="18"/>
      <w:szCs w:val="18"/>
    </w:rPr>
  </w:style>
  <w:style w:type="paragraph" w:styleId="TOC1">
    <w:name w:val="toc 1"/>
    <w:basedOn w:val="Normal"/>
    <w:next w:val="Normal"/>
    <w:autoRedefine/>
    <w:uiPriority w:val="39"/>
    <w:unhideWhenUsed/>
    <w:rsid w:val="002A5B3E"/>
    <w:pPr>
      <w:tabs>
        <w:tab w:val="left" w:pos="1117"/>
        <w:tab w:val="right" w:pos="9016"/>
      </w:tabs>
      <w:spacing w:before="240" w:after="0"/>
    </w:pPr>
    <w:rPr>
      <w:rFonts w:asciiTheme="majorHAnsi" w:hAnsiTheme="majorHAnsi"/>
      <w:bCs/>
      <w:caps/>
      <w:noProof/>
      <w:color w:val="0F4BEB"/>
      <w:sz w:val="24"/>
      <w:szCs w:val="24"/>
    </w:rPr>
  </w:style>
  <w:style w:type="paragraph" w:styleId="TOC3">
    <w:name w:val="toc 3"/>
    <w:basedOn w:val="Normal"/>
    <w:next w:val="Normal"/>
    <w:autoRedefine/>
    <w:uiPriority w:val="39"/>
    <w:unhideWhenUsed/>
    <w:rsid w:val="005854BA"/>
    <w:pPr>
      <w:tabs>
        <w:tab w:val="right" w:pos="8756"/>
      </w:tabs>
      <w:spacing w:after="0"/>
      <w:ind w:left="1117" w:hanging="720"/>
    </w:pPr>
    <w:rPr>
      <w:rFonts w:cstheme="minorHAnsi"/>
      <w:sz w:val="20"/>
      <w:szCs w:val="20"/>
    </w:rPr>
  </w:style>
  <w:style w:type="paragraph" w:styleId="TOC2">
    <w:name w:val="toc 2"/>
    <w:basedOn w:val="Normal"/>
    <w:next w:val="Normal"/>
    <w:autoRedefine/>
    <w:uiPriority w:val="39"/>
    <w:unhideWhenUsed/>
    <w:rsid w:val="00D017FC"/>
    <w:pPr>
      <w:tabs>
        <w:tab w:val="left" w:pos="440"/>
        <w:tab w:val="right" w:pos="9016"/>
      </w:tabs>
      <w:spacing w:before="240" w:after="0"/>
      <w:ind w:left="221"/>
    </w:pPr>
    <w:rPr>
      <w:rFonts w:cstheme="minorHAnsi"/>
      <w:b/>
      <w:bCs/>
      <w:sz w:val="20"/>
      <w:szCs w:val="20"/>
    </w:rPr>
  </w:style>
  <w:style w:type="paragraph" w:styleId="TOC4">
    <w:name w:val="toc 4"/>
    <w:basedOn w:val="Normal"/>
    <w:next w:val="Normal"/>
    <w:autoRedefine/>
    <w:uiPriority w:val="39"/>
    <w:unhideWhenUsed/>
    <w:rsid w:val="00692031"/>
    <w:pPr>
      <w:spacing w:after="0"/>
      <w:ind w:left="440"/>
    </w:pPr>
    <w:rPr>
      <w:rFonts w:cstheme="minorHAnsi"/>
      <w:sz w:val="20"/>
      <w:szCs w:val="20"/>
    </w:rPr>
  </w:style>
  <w:style w:type="paragraph" w:styleId="TOC5">
    <w:name w:val="toc 5"/>
    <w:basedOn w:val="Normal"/>
    <w:next w:val="Normal"/>
    <w:autoRedefine/>
    <w:uiPriority w:val="39"/>
    <w:unhideWhenUsed/>
    <w:rsid w:val="00692031"/>
    <w:pPr>
      <w:spacing w:after="0"/>
      <w:ind w:left="660"/>
    </w:pPr>
    <w:rPr>
      <w:rFonts w:cstheme="minorHAnsi"/>
      <w:sz w:val="20"/>
      <w:szCs w:val="20"/>
    </w:rPr>
  </w:style>
  <w:style w:type="paragraph" w:styleId="TOC6">
    <w:name w:val="toc 6"/>
    <w:basedOn w:val="Normal"/>
    <w:next w:val="Normal"/>
    <w:autoRedefine/>
    <w:uiPriority w:val="39"/>
    <w:unhideWhenUsed/>
    <w:rsid w:val="00692031"/>
    <w:pPr>
      <w:spacing w:after="0"/>
      <w:ind w:left="880"/>
    </w:pPr>
    <w:rPr>
      <w:rFonts w:cstheme="minorHAnsi"/>
      <w:sz w:val="20"/>
      <w:szCs w:val="20"/>
    </w:rPr>
  </w:style>
  <w:style w:type="paragraph" w:styleId="TOC7">
    <w:name w:val="toc 7"/>
    <w:basedOn w:val="Normal"/>
    <w:next w:val="Normal"/>
    <w:autoRedefine/>
    <w:uiPriority w:val="39"/>
    <w:unhideWhenUsed/>
    <w:rsid w:val="00692031"/>
    <w:pPr>
      <w:spacing w:after="0"/>
      <w:ind w:left="1100"/>
    </w:pPr>
    <w:rPr>
      <w:rFonts w:cstheme="minorHAnsi"/>
      <w:sz w:val="20"/>
      <w:szCs w:val="20"/>
    </w:rPr>
  </w:style>
  <w:style w:type="paragraph" w:styleId="TOC8">
    <w:name w:val="toc 8"/>
    <w:basedOn w:val="Normal"/>
    <w:next w:val="Normal"/>
    <w:autoRedefine/>
    <w:uiPriority w:val="39"/>
    <w:unhideWhenUsed/>
    <w:rsid w:val="00692031"/>
    <w:pPr>
      <w:spacing w:after="0"/>
      <w:ind w:left="1320"/>
    </w:pPr>
    <w:rPr>
      <w:rFonts w:cstheme="minorHAnsi"/>
      <w:sz w:val="20"/>
      <w:szCs w:val="20"/>
    </w:rPr>
  </w:style>
  <w:style w:type="paragraph" w:styleId="TOC9">
    <w:name w:val="toc 9"/>
    <w:basedOn w:val="Normal"/>
    <w:next w:val="Normal"/>
    <w:autoRedefine/>
    <w:uiPriority w:val="39"/>
    <w:unhideWhenUsed/>
    <w:rsid w:val="00692031"/>
    <w:pPr>
      <w:spacing w:after="0"/>
      <w:ind w:left="1540"/>
    </w:pPr>
    <w:rPr>
      <w:rFonts w:cstheme="minorHAnsi"/>
      <w:sz w:val="20"/>
      <w:szCs w:val="20"/>
    </w:rPr>
  </w:style>
  <w:style w:type="paragraph" w:styleId="NoSpacing">
    <w:name w:val="No Spacing"/>
    <w:link w:val="NoSpacingChar"/>
    <w:uiPriority w:val="1"/>
    <w:qFormat/>
    <w:rsid w:val="00A32E3A"/>
    <w:pPr>
      <w:spacing w:after="0" w:line="240" w:lineRule="auto"/>
    </w:pPr>
    <w:rPr>
      <w:rFonts w:ascii="Arial" w:eastAsiaTheme="minorEastAsia" w:hAnsi="Arial"/>
      <w:sz w:val="16"/>
      <w:lang w:val="en-US" w:eastAsia="zh-CN"/>
    </w:rPr>
  </w:style>
  <w:style w:type="character" w:customStyle="1" w:styleId="NoSpacingChar">
    <w:name w:val="No Spacing Char"/>
    <w:basedOn w:val="DefaultParagraphFont"/>
    <w:link w:val="NoSpacing"/>
    <w:uiPriority w:val="1"/>
    <w:rsid w:val="00A32E3A"/>
    <w:rPr>
      <w:rFonts w:ascii="Arial" w:eastAsiaTheme="minorEastAsia" w:hAnsi="Arial"/>
      <w:sz w:val="16"/>
      <w:lang w:val="en-US" w:eastAsia="zh-CN"/>
    </w:rPr>
  </w:style>
  <w:style w:type="character" w:customStyle="1" w:styleId="UnresolvedMention1">
    <w:name w:val="Unresolved Mention1"/>
    <w:basedOn w:val="DefaultParagraphFont"/>
    <w:uiPriority w:val="99"/>
    <w:semiHidden/>
    <w:unhideWhenUsed/>
    <w:rsid w:val="00692031"/>
    <w:rPr>
      <w:color w:val="605E5C"/>
      <w:shd w:val="clear" w:color="auto" w:fill="E1DFDD"/>
    </w:rPr>
  </w:style>
  <w:style w:type="character" w:styleId="FollowedHyperlink">
    <w:name w:val="FollowedHyperlink"/>
    <w:basedOn w:val="DefaultParagraphFont"/>
    <w:uiPriority w:val="99"/>
    <w:semiHidden/>
    <w:unhideWhenUsed/>
    <w:rsid w:val="00E94702"/>
    <w:rPr>
      <w:color w:val="800080" w:themeColor="followedHyperlink"/>
      <w:u w:val="single"/>
    </w:rPr>
  </w:style>
  <w:style w:type="character" w:styleId="UnresolvedMention">
    <w:name w:val="Unresolved Mention"/>
    <w:basedOn w:val="DefaultParagraphFont"/>
    <w:uiPriority w:val="99"/>
    <w:semiHidden/>
    <w:unhideWhenUsed/>
    <w:rsid w:val="00DB725A"/>
    <w:rPr>
      <w:color w:val="605E5C"/>
      <w:shd w:val="clear" w:color="auto" w:fill="E1DFDD"/>
    </w:rPr>
  </w:style>
  <w:style w:type="character" w:styleId="Strong">
    <w:name w:val="Strong"/>
    <w:basedOn w:val="DefaultParagraphFont"/>
    <w:uiPriority w:val="22"/>
    <w:qFormat/>
    <w:rsid w:val="002C6A0E"/>
    <w:rPr>
      <w:b/>
      <w:bCs/>
    </w:rPr>
  </w:style>
  <w:style w:type="paragraph" w:styleId="Caption">
    <w:name w:val="caption"/>
    <w:basedOn w:val="Normal"/>
    <w:next w:val="Normal"/>
    <w:uiPriority w:val="35"/>
    <w:unhideWhenUsed/>
    <w:qFormat/>
    <w:rsid w:val="00CE1DD7"/>
    <w:pPr>
      <w:spacing w:line="240" w:lineRule="auto"/>
    </w:pPr>
    <w:rPr>
      <w:i/>
      <w:iCs/>
      <w:color w:val="1F497D" w:themeColor="text2"/>
      <w:sz w:val="18"/>
      <w:szCs w:val="18"/>
    </w:rPr>
  </w:style>
  <w:style w:type="table" w:customStyle="1" w:styleId="TableGrid1">
    <w:name w:val="Table Grid1"/>
    <w:basedOn w:val="TableNormal"/>
    <w:next w:val="TableGrid"/>
    <w:uiPriority w:val="39"/>
    <w:rsid w:val="005A4293"/>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709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9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92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70928"/>
    <w:rPr>
      <w:rFonts w:eastAsiaTheme="minorEastAsia"/>
      <w:color w:val="5A5A5A" w:themeColor="text1" w:themeTint="A5"/>
      <w:spacing w:val="15"/>
    </w:rPr>
  </w:style>
  <w:style w:type="paragraph" w:styleId="BodyText">
    <w:name w:val="Body Text"/>
    <w:aliases w:val="UTS Body"/>
    <w:basedOn w:val="Normal"/>
    <w:link w:val="BodyTextChar"/>
    <w:qFormat/>
    <w:rsid w:val="000078D1"/>
    <w:pPr>
      <w:spacing w:before="120" w:after="120" w:line="240" w:lineRule="auto"/>
    </w:pPr>
    <w:rPr>
      <w:rFonts w:eastAsia="Times New Roman" w:cstheme="minorHAnsi"/>
      <w:color w:val="000000" w:themeColor="text1"/>
      <w:szCs w:val="24"/>
      <w:lang w:eastAsia="en-AU"/>
    </w:rPr>
  </w:style>
  <w:style w:type="character" w:customStyle="1" w:styleId="BodyTextChar">
    <w:name w:val="Body Text Char"/>
    <w:aliases w:val="UTS Body Char"/>
    <w:basedOn w:val="DefaultParagraphFont"/>
    <w:link w:val="BodyText"/>
    <w:rsid w:val="000078D1"/>
    <w:rPr>
      <w:rFonts w:ascii="Arial" w:eastAsia="Times New Roman" w:hAnsi="Arial" w:cstheme="minorHAnsi"/>
      <w:color w:val="000000" w:themeColor="text1"/>
      <w:sz w:val="21"/>
      <w:szCs w:val="24"/>
      <w:lang w:eastAsia="en-AU"/>
    </w:rPr>
  </w:style>
  <w:style w:type="paragraph" w:styleId="NormalWeb">
    <w:name w:val="Normal (Web)"/>
    <w:basedOn w:val="Normal"/>
    <w:uiPriority w:val="99"/>
    <w:semiHidden/>
    <w:unhideWhenUsed/>
    <w:rsid w:val="00547CEC"/>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customStyle="1" w:styleId="Bullets">
    <w:name w:val="Bullets"/>
    <w:basedOn w:val="ListParagraph"/>
    <w:link w:val="BulletsChar"/>
    <w:qFormat/>
    <w:rsid w:val="00D63331"/>
    <w:pPr>
      <w:numPr>
        <w:numId w:val="55"/>
      </w:numPr>
      <w:spacing w:after="120"/>
      <w:contextualSpacing w:val="0"/>
    </w:pPr>
  </w:style>
  <w:style w:type="character" w:customStyle="1" w:styleId="ListParagraphChar">
    <w:name w:val="List Paragraph Char"/>
    <w:basedOn w:val="DefaultParagraphFont"/>
    <w:link w:val="ListParagraph"/>
    <w:uiPriority w:val="34"/>
    <w:rsid w:val="00D63331"/>
    <w:rPr>
      <w:rFonts w:ascii="Arial" w:hAnsi="Arial"/>
      <w:sz w:val="21"/>
    </w:rPr>
  </w:style>
  <w:style w:type="character" w:customStyle="1" w:styleId="BulletsChar">
    <w:name w:val="Bullets Char"/>
    <w:basedOn w:val="ListParagraphChar"/>
    <w:link w:val="Bullets"/>
    <w:rsid w:val="00D63331"/>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78278">
      <w:bodyDiv w:val="1"/>
      <w:marLeft w:val="0"/>
      <w:marRight w:val="0"/>
      <w:marTop w:val="0"/>
      <w:marBottom w:val="0"/>
      <w:divBdr>
        <w:top w:val="none" w:sz="0" w:space="0" w:color="auto"/>
        <w:left w:val="none" w:sz="0" w:space="0" w:color="auto"/>
        <w:bottom w:val="none" w:sz="0" w:space="0" w:color="auto"/>
        <w:right w:val="none" w:sz="0" w:space="0" w:color="auto"/>
      </w:divBdr>
    </w:div>
    <w:div w:id="142966389">
      <w:bodyDiv w:val="1"/>
      <w:marLeft w:val="0"/>
      <w:marRight w:val="0"/>
      <w:marTop w:val="0"/>
      <w:marBottom w:val="0"/>
      <w:divBdr>
        <w:top w:val="none" w:sz="0" w:space="0" w:color="auto"/>
        <w:left w:val="none" w:sz="0" w:space="0" w:color="auto"/>
        <w:bottom w:val="none" w:sz="0" w:space="0" w:color="auto"/>
        <w:right w:val="none" w:sz="0" w:space="0" w:color="auto"/>
      </w:divBdr>
      <w:divsChild>
        <w:div w:id="1643929226">
          <w:marLeft w:val="0"/>
          <w:marRight w:val="0"/>
          <w:marTop w:val="0"/>
          <w:marBottom w:val="0"/>
          <w:divBdr>
            <w:top w:val="none" w:sz="0" w:space="0" w:color="auto"/>
            <w:left w:val="none" w:sz="0" w:space="0" w:color="auto"/>
            <w:bottom w:val="none" w:sz="0" w:space="0" w:color="auto"/>
            <w:right w:val="none" w:sz="0" w:space="0" w:color="auto"/>
          </w:divBdr>
          <w:divsChild>
            <w:div w:id="536160431">
              <w:marLeft w:val="0"/>
              <w:marRight w:val="0"/>
              <w:marTop w:val="0"/>
              <w:marBottom w:val="0"/>
              <w:divBdr>
                <w:top w:val="none" w:sz="0" w:space="0" w:color="auto"/>
                <w:left w:val="none" w:sz="0" w:space="0" w:color="auto"/>
                <w:bottom w:val="none" w:sz="0" w:space="0" w:color="auto"/>
                <w:right w:val="none" w:sz="0" w:space="0" w:color="auto"/>
              </w:divBdr>
              <w:divsChild>
                <w:div w:id="5408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58146">
      <w:bodyDiv w:val="1"/>
      <w:marLeft w:val="0"/>
      <w:marRight w:val="0"/>
      <w:marTop w:val="0"/>
      <w:marBottom w:val="0"/>
      <w:divBdr>
        <w:top w:val="none" w:sz="0" w:space="0" w:color="auto"/>
        <w:left w:val="none" w:sz="0" w:space="0" w:color="auto"/>
        <w:bottom w:val="none" w:sz="0" w:space="0" w:color="auto"/>
        <w:right w:val="none" w:sz="0" w:space="0" w:color="auto"/>
      </w:divBdr>
    </w:div>
    <w:div w:id="186455356">
      <w:bodyDiv w:val="1"/>
      <w:marLeft w:val="0"/>
      <w:marRight w:val="0"/>
      <w:marTop w:val="0"/>
      <w:marBottom w:val="0"/>
      <w:divBdr>
        <w:top w:val="none" w:sz="0" w:space="0" w:color="auto"/>
        <w:left w:val="none" w:sz="0" w:space="0" w:color="auto"/>
        <w:bottom w:val="none" w:sz="0" w:space="0" w:color="auto"/>
        <w:right w:val="none" w:sz="0" w:space="0" w:color="auto"/>
      </w:divBdr>
    </w:div>
    <w:div w:id="202403674">
      <w:bodyDiv w:val="1"/>
      <w:marLeft w:val="0"/>
      <w:marRight w:val="0"/>
      <w:marTop w:val="0"/>
      <w:marBottom w:val="0"/>
      <w:divBdr>
        <w:top w:val="none" w:sz="0" w:space="0" w:color="auto"/>
        <w:left w:val="none" w:sz="0" w:space="0" w:color="auto"/>
        <w:bottom w:val="none" w:sz="0" w:space="0" w:color="auto"/>
        <w:right w:val="none" w:sz="0" w:space="0" w:color="auto"/>
      </w:divBdr>
    </w:div>
    <w:div w:id="219639074">
      <w:bodyDiv w:val="1"/>
      <w:marLeft w:val="0"/>
      <w:marRight w:val="0"/>
      <w:marTop w:val="0"/>
      <w:marBottom w:val="0"/>
      <w:divBdr>
        <w:top w:val="none" w:sz="0" w:space="0" w:color="auto"/>
        <w:left w:val="none" w:sz="0" w:space="0" w:color="auto"/>
        <w:bottom w:val="none" w:sz="0" w:space="0" w:color="auto"/>
        <w:right w:val="none" w:sz="0" w:space="0" w:color="auto"/>
      </w:divBdr>
    </w:div>
    <w:div w:id="466359093">
      <w:bodyDiv w:val="1"/>
      <w:marLeft w:val="0"/>
      <w:marRight w:val="0"/>
      <w:marTop w:val="0"/>
      <w:marBottom w:val="0"/>
      <w:divBdr>
        <w:top w:val="none" w:sz="0" w:space="0" w:color="auto"/>
        <w:left w:val="none" w:sz="0" w:space="0" w:color="auto"/>
        <w:bottom w:val="none" w:sz="0" w:space="0" w:color="auto"/>
        <w:right w:val="none" w:sz="0" w:space="0" w:color="auto"/>
      </w:divBdr>
    </w:div>
    <w:div w:id="547301237">
      <w:bodyDiv w:val="1"/>
      <w:marLeft w:val="0"/>
      <w:marRight w:val="0"/>
      <w:marTop w:val="0"/>
      <w:marBottom w:val="0"/>
      <w:divBdr>
        <w:top w:val="none" w:sz="0" w:space="0" w:color="auto"/>
        <w:left w:val="none" w:sz="0" w:space="0" w:color="auto"/>
        <w:bottom w:val="none" w:sz="0" w:space="0" w:color="auto"/>
        <w:right w:val="none" w:sz="0" w:space="0" w:color="auto"/>
      </w:divBdr>
    </w:div>
    <w:div w:id="565336183">
      <w:bodyDiv w:val="1"/>
      <w:marLeft w:val="0"/>
      <w:marRight w:val="0"/>
      <w:marTop w:val="0"/>
      <w:marBottom w:val="0"/>
      <w:divBdr>
        <w:top w:val="none" w:sz="0" w:space="0" w:color="auto"/>
        <w:left w:val="none" w:sz="0" w:space="0" w:color="auto"/>
        <w:bottom w:val="none" w:sz="0" w:space="0" w:color="auto"/>
        <w:right w:val="none" w:sz="0" w:space="0" w:color="auto"/>
      </w:divBdr>
    </w:div>
    <w:div w:id="574557058">
      <w:bodyDiv w:val="1"/>
      <w:marLeft w:val="0"/>
      <w:marRight w:val="0"/>
      <w:marTop w:val="0"/>
      <w:marBottom w:val="0"/>
      <w:divBdr>
        <w:top w:val="none" w:sz="0" w:space="0" w:color="auto"/>
        <w:left w:val="none" w:sz="0" w:space="0" w:color="auto"/>
        <w:bottom w:val="none" w:sz="0" w:space="0" w:color="auto"/>
        <w:right w:val="none" w:sz="0" w:space="0" w:color="auto"/>
      </w:divBdr>
      <w:divsChild>
        <w:div w:id="50007578">
          <w:marLeft w:val="0"/>
          <w:marRight w:val="0"/>
          <w:marTop w:val="0"/>
          <w:marBottom w:val="0"/>
          <w:divBdr>
            <w:top w:val="none" w:sz="0" w:space="0" w:color="auto"/>
            <w:left w:val="none" w:sz="0" w:space="0" w:color="auto"/>
            <w:bottom w:val="none" w:sz="0" w:space="0" w:color="auto"/>
            <w:right w:val="none" w:sz="0" w:space="0" w:color="auto"/>
          </w:divBdr>
        </w:div>
        <w:div w:id="339549292">
          <w:marLeft w:val="0"/>
          <w:marRight w:val="0"/>
          <w:marTop w:val="0"/>
          <w:marBottom w:val="0"/>
          <w:divBdr>
            <w:top w:val="none" w:sz="0" w:space="0" w:color="auto"/>
            <w:left w:val="none" w:sz="0" w:space="0" w:color="auto"/>
            <w:bottom w:val="none" w:sz="0" w:space="0" w:color="auto"/>
            <w:right w:val="none" w:sz="0" w:space="0" w:color="auto"/>
          </w:divBdr>
        </w:div>
        <w:div w:id="842939351">
          <w:marLeft w:val="0"/>
          <w:marRight w:val="0"/>
          <w:marTop w:val="0"/>
          <w:marBottom w:val="0"/>
          <w:divBdr>
            <w:top w:val="none" w:sz="0" w:space="0" w:color="auto"/>
            <w:left w:val="none" w:sz="0" w:space="0" w:color="auto"/>
            <w:bottom w:val="none" w:sz="0" w:space="0" w:color="auto"/>
            <w:right w:val="none" w:sz="0" w:space="0" w:color="auto"/>
          </w:divBdr>
        </w:div>
        <w:div w:id="870805599">
          <w:marLeft w:val="0"/>
          <w:marRight w:val="0"/>
          <w:marTop w:val="0"/>
          <w:marBottom w:val="0"/>
          <w:divBdr>
            <w:top w:val="none" w:sz="0" w:space="0" w:color="auto"/>
            <w:left w:val="none" w:sz="0" w:space="0" w:color="auto"/>
            <w:bottom w:val="none" w:sz="0" w:space="0" w:color="auto"/>
            <w:right w:val="none" w:sz="0" w:space="0" w:color="auto"/>
          </w:divBdr>
        </w:div>
        <w:div w:id="979532054">
          <w:marLeft w:val="0"/>
          <w:marRight w:val="0"/>
          <w:marTop w:val="0"/>
          <w:marBottom w:val="0"/>
          <w:divBdr>
            <w:top w:val="none" w:sz="0" w:space="0" w:color="auto"/>
            <w:left w:val="none" w:sz="0" w:space="0" w:color="auto"/>
            <w:bottom w:val="none" w:sz="0" w:space="0" w:color="auto"/>
            <w:right w:val="none" w:sz="0" w:space="0" w:color="auto"/>
          </w:divBdr>
        </w:div>
        <w:div w:id="1290017898">
          <w:marLeft w:val="0"/>
          <w:marRight w:val="0"/>
          <w:marTop w:val="0"/>
          <w:marBottom w:val="0"/>
          <w:divBdr>
            <w:top w:val="none" w:sz="0" w:space="0" w:color="auto"/>
            <w:left w:val="none" w:sz="0" w:space="0" w:color="auto"/>
            <w:bottom w:val="none" w:sz="0" w:space="0" w:color="auto"/>
            <w:right w:val="none" w:sz="0" w:space="0" w:color="auto"/>
          </w:divBdr>
        </w:div>
        <w:div w:id="1975133280">
          <w:marLeft w:val="0"/>
          <w:marRight w:val="0"/>
          <w:marTop w:val="0"/>
          <w:marBottom w:val="0"/>
          <w:divBdr>
            <w:top w:val="none" w:sz="0" w:space="0" w:color="auto"/>
            <w:left w:val="none" w:sz="0" w:space="0" w:color="auto"/>
            <w:bottom w:val="none" w:sz="0" w:space="0" w:color="auto"/>
            <w:right w:val="none" w:sz="0" w:space="0" w:color="auto"/>
          </w:divBdr>
        </w:div>
        <w:div w:id="2053264965">
          <w:marLeft w:val="0"/>
          <w:marRight w:val="0"/>
          <w:marTop w:val="0"/>
          <w:marBottom w:val="0"/>
          <w:divBdr>
            <w:top w:val="none" w:sz="0" w:space="0" w:color="auto"/>
            <w:left w:val="none" w:sz="0" w:space="0" w:color="auto"/>
            <w:bottom w:val="none" w:sz="0" w:space="0" w:color="auto"/>
            <w:right w:val="none" w:sz="0" w:space="0" w:color="auto"/>
          </w:divBdr>
        </w:div>
        <w:div w:id="2098013104">
          <w:marLeft w:val="0"/>
          <w:marRight w:val="0"/>
          <w:marTop w:val="0"/>
          <w:marBottom w:val="0"/>
          <w:divBdr>
            <w:top w:val="none" w:sz="0" w:space="0" w:color="auto"/>
            <w:left w:val="none" w:sz="0" w:space="0" w:color="auto"/>
            <w:bottom w:val="none" w:sz="0" w:space="0" w:color="auto"/>
            <w:right w:val="none" w:sz="0" w:space="0" w:color="auto"/>
          </w:divBdr>
        </w:div>
        <w:div w:id="2120253282">
          <w:marLeft w:val="0"/>
          <w:marRight w:val="0"/>
          <w:marTop w:val="0"/>
          <w:marBottom w:val="0"/>
          <w:divBdr>
            <w:top w:val="none" w:sz="0" w:space="0" w:color="auto"/>
            <w:left w:val="none" w:sz="0" w:space="0" w:color="auto"/>
            <w:bottom w:val="none" w:sz="0" w:space="0" w:color="auto"/>
            <w:right w:val="none" w:sz="0" w:space="0" w:color="auto"/>
          </w:divBdr>
        </w:div>
      </w:divsChild>
    </w:div>
    <w:div w:id="639766759">
      <w:bodyDiv w:val="1"/>
      <w:marLeft w:val="0"/>
      <w:marRight w:val="0"/>
      <w:marTop w:val="0"/>
      <w:marBottom w:val="0"/>
      <w:divBdr>
        <w:top w:val="none" w:sz="0" w:space="0" w:color="auto"/>
        <w:left w:val="none" w:sz="0" w:space="0" w:color="auto"/>
        <w:bottom w:val="none" w:sz="0" w:space="0" w:color="auto"/>
        <w:right w:val="none" w:sz="0" w:space="0" w:color="auto"/>
      </w:divBdr>
    </w:div>
    <w:div w:id="640766459">
      <w:bodyDiv w:val="1"/>
      <w:marLeft w:val="0"/>
      <w:marRight w:val="0"/>
      <w:marTop w:val="0"/>
      <w:marBottom w:val="0"/>
      <w:divBdr>
        <w:top w:val="none" w:sz="0" w:space="0" w:color="auto"/>
        <w:left w:val="none" w:sz="0" w:space="0" w:color="auto"/>
        <w:bottom w:val="none" w:sz="0" w:space="0" w:color="auto"/>
        <w:right w:val="none" w:sz="0" w:space="0" w:color="auto"/>
      </w:divBdr>
    </w:div>
    <w:div w:id="714280455">
      <w:bodyDiv w:val="1"/>
      <w:marLeft w:val="0"/>
      <w:marRight w:val="0"/>
      <w:marTop w:val="0"/>
      <w:marBottom w:val="0"/>
      <w:divBdr>
        <w:top w:val="none" w:sz="0" w:space="0" w:color="auto"/>
        <w:left w:val="none" w:sz="0" w:space="0" w:color="auto"/>
        <w:bottom w:val="none" w:sz="0" w:space="0" w:color="auto"/>
        <w:right w:val="none" w:sz="0" w:space="0" w:color="auto"/>
      </w:divBdr>
    </w:div>
    <w:div w:id="731200250">
      <w:bodyDiv w:val="1"/>
      <w:marLeft w:val="0"/>
      <w:marRight w:val="0"/>
      <w:marTop w:val="0"/>
      <w:marBottom w:val="0"/>
      <w:divBdr>
        <w:top w:val="none" w:sz="0" w:space="0" w:color="auto"/>
        <w:left w:val="none" w:sz="0" w:space="0" w:color="auto"/>
        <w:bottom w:val="none" w:sz="0" w:space="0" w:color="auto"/>
        <w:right w:val="none" w:sz="0" w:space="0" w:color="auto"/>
      </w:divBdr>
    </w:div>
    <w:div w:id="758327377">
      <w:bodyDiv w:val="1"/>
      <w:marLeft w:val="0"/>
      <w:marRight w:val="0"/>
      <w:marTop w:val="0"/>
      <w:marBottom w:val="0"/>
      <w:divBdr>
        <w:top w:val="none" w:sz="0" w:space="0" w:color="auto"/>
        <w:left w:val="none" w:sz="0" w:space="0" w:color="auto"/>
        <w:bottom w:val="none" w:sz="0" w:space="0" w:color="auto"/>
        <w:right w:val="none" w:sz="0" w:space="0" w:color="auto"/>
      </w:divBdr>
      <w:divsChild>
        <w:div w:id="90668679">
          <w:marLeft w:val="0"/>
          <w:marRight w:val="0"/>
          <w:marTop w:val="0"/>
          <w:marBottom w:val="0"/>
          <w:divBdr>
            <w:top w:val="none" w:sz="0" w:space="0" w:color="auto"/>
            <w:left w:val="none" w:sz="0" w:space="0" w:color="auto"/>
            <w:bottom w:val="none" w:sz="0" w:space="0" w:color="auto"/>
            <w:right w:val="none" w:sz="0" w:space="0" w:color="auto"/>
          </w:divBdr>
          <w:divsChild>
            <w:div w:id="1874875948">
              <w:marLeft w:val="0"/>
              <w:marRight w:val="0"/>
              <w:marTop w:val="0"/>
              <w:marBottom w:val="0"/>
              <w:divBdr>
                <w:top w:val="none" w:sz="0" w:space="0" w:color="auto"/>
                <w:left w:val="none" w:sz="0" w:space="0" w:color="auto"/>
                <w:bottom w:val="none" w:sz="0" w:space="0" w:color="auto"/>
                <w:right w:val="none" w:sz="0" w:space="0" w:color="auto"/>
              </w:divBdr>
            </w:div>
          </w:divsChild>
        </w:div>
        <w:div w:id="691802371">
          <w:marLeft w:val="0"/>
          <w:marRight w:val="0"/>
          <w:marTop w:val="0"/>
          <w:marBottom w:val="0"/>
          <w:divBdr>
            <w:top w:val="none" w:sz="0" w:space="0" w:color="auto"/>
            <w:left w:val="none" w:sz="0" w:space="0" w:color="auto"/>
            <w:bottom w:val="none" w:sz="0" w:space="0" w:color="auto"/>
            <w:right w:val="none" w:sz="0" w:space="0" w:color="auto"/>
          </w:divBdr>
          <w:divsChild>
            <w:div w:id="65150111">
              <w:marLeft w:val="0"/>
              <w:marRight w:val="0"/>
              <w:marTop w:val="0"/>
              <w:marBottom w:val="0"/>
              <w:divBdr>
                <w:top w:val="none" w:sz="0" w:space="0" w:color="auto"/>
                <w:left w:val="none" w:sz="0" w:space="0" w:color="auto"/>
                <w:bottom w:val="none" w:sz="0" w:space="0" w:color="auto"/>
                <w:right w:val="none" w:sz="0" w:space="0" w:color="auto"/>
              </w:divBdr>
            </w:div>
            <w:div w:id="390425807">
              <w:marLeft w:val="0"/>
              <w:marRight w:val="0"/>
              <w:marTop w:val="0"/>
              <w:marBottom w:val="0"/>
              <w:divBdr>
                <w:top w:val="none" w:sz="0" w:space="0" w:color="auto"/>
                <w:left w:val="none" w:sz="0" w:space="0" w:color="auto"/>
                <w:bottom w:val="none" w:sz="0" w:space="0" w:color="auto"/>
                <w:right w:val="none" w:sz="0" w:space="0" w:color="auto"/>
              </w:divBdr>
            </w:div>
            <w:div w:id="2128810079">
              <w:marLeft w:val="0"/>
              <w:marRight w:val="0"/>
              <w:marTop w:val="0"/>
              <w:marBottom w:val="0"/>
              <w:divBdr>
                <w:top w:val="none" w:sz="0" w:space="0" w:color="auto"/>
                <w:left w:val="none" w:sz="0" w:space="0" w:color="auto"/>
                <w:bottom w:val="none" w:sz="0" w:space="0" w:color="auto"/>
                <w:right w:val="none" w:sz="0" w:space="0" w:color="auto"/>
              </w:divBdr>
            </w:div>
            <w:div w:id="2138907048">
              <w:marLeft w:val="0"/>
              <w:marRight w:val="0"/>
              <w:marTop w:val="0"/>
              <w:marBottom w:val="0"/>
              <w:divBdr>
                <w:top w:val="none" w:sz="0" w:space="0" w:color="auto"/>
                <w:left w:val="none" w:sz="0" w:space="0" w:color="auto"/>
                <w:bottom w:val="none" w:sz="0" w:space="0" w:color="auto"/>
                <w:right w:val="none" w:sz="0" w:space="0" w:color="auto"/>
              </w:divBdr>
            </w:div>
          </w:divsChild>
        </w:div>
        <w:div w:id="1187141155">
          <w:marLeft w:val="0"/>
          <w:marRight w:val="0"/>
          <w:marTop w:val="0"/>
          <w:marBottom w:val="0"/>
          <w:divBdr>
            <w:top w:val="none" w:sz="0" w:space="0" w:color="auto"/>
            <w:left w:val="none" w:sz="0" w:space="0" w:color="auto"/>
            <w:bottom w:val="none" w:sz="0" w:space="0" w:color="auto"/>
            <w:right w:val="none" w:sz="0" w:space="0" w:color="auto"/>
          </w:divBdr>
          <w:divsChild>
            <w:div w:id="42681350">
              <w:marLeft w:val="0"/>
              <w:marRight w:val="0"/>
              <w:marTop w:val="0"/>
              <w:marBottom w:val="0"/>
              <w:divBdr>
                <w:top w:val="none" w:sz="0" w:space="0" w:color="auto"/>
                <w:left w:val="none" w:sz="0" w:space="0" w:color="auto"/>
                <w:bottom w:val="none" w:sz="0" w:space="0" w:color="auto"/>
                <w:right w:val="none" w:sz="0" w:space="0" w:color="auto"/>
              </w:divBdr>
            </w:div>
          </w:divsChild>
        </w:div>
        <w:div w:id="1221752272">
          <w:marLeft w:val="0"/>
          <w:marRight w:val="0"/>
          <w:marTop w:val="0"/>
          <w:marBottom w:val="0"/>
          <w:divBdr>
            <w:top w:val="none" w:sz="0" w:space="0" w:color="auto"/>
            <w:left w:val="none" w:sz="0" w:space="0" w:color="auto"/>
            <w:bottom w:val="none" w:sz="0" w:space="0" w:color="auto"/>
            <w:right w:val="none" w:sz="0" w:space="0" w:color="auto"/>
          </w:divBdr>
          <w:divsChild>
            <w:div w:id="293292289">
              <w:marLeft w:val="0"/>
              <w:marRight w:val="0"/>
              <w:marTop w:val="0"/>
              <w:marBottom w:val="0"/>
              <w:divBdr>
                <w:top w:val="none" w:sz="0" w:space="0" w:color="auto"/>
                <w:left w:val="none" w:sz="0" w:space="0" w:color="auto"/>
                <w:bottom w:val="none" w:sz="0" w:space="0" w:color="auto"/>
                <w:right w:val="none" w:sz="0" w:space="0" w:color="auto"/>
              </w:divBdr>
            </w:div>
            <w:div w:id="896745386">
              <w:marLeft w:val="0"/>
              <w:marRight w:val="0"/>
              <w:marTop w:val="0"/>
              <w:marBottom w:val="0"/>
              <w:divBdr>
                <w:top w:val="none" w:sz="0" w:space="0" w:color="auto"/>
                <w:left w:val="none" w:sz="0" w:space="0" w:color="auto"/>
                <w:bottom w:val="none" w:sz="0" w:space="0" w:color="auto"/>
                <w:right w:val="none" w:sz="0" w:space="0" w:color="auto"/>
              </w:divBdr>
            </w:div>
            <w:div w:id="1215698396">
              <w:marLeft w:val="0"/>
              <w:marRight w:val="0"/>
              <w:marTop w:val="0"/>
              <w:marBottom w:val="0"/>
              <w:divBdr>
                <w:top w:val="none" w:sz="0" w:space="0" w:color="auto"/>
                <w:left w:val="none" w:sz="0" w:space="0" w:color="auto"/>
                <w:bottom w:val="none" w:sz="0" w:space="0" w:color="auto"/>
                <w:right w:val="none" w:sz="0" w:space="0" w:color="auto"/>
              </w:divBdr>
            </w:div>
            <w:div w:id="1942060278">
              <w:marLeft w:val="0"/>
              <w:marRight w:val="0"/>
              <w:marTop w:val="0"/>
              <w:marBottom w:val="0"/>
              <w:divBdr>
                <w:top w:val="none" w:sz="0" w:space="0" w:color="auto"/>
                <w:left w:val="none" w:sz="0" w:space="0" w:color="auto"/>
                <w:bottom w:val="none" w:sz="0" w:space="0" w:color="auto"/>
                <w:right w:val="none" w:sz="0" w:space="0" w:color="auto"/>
              </w:divBdr>
            </w:div>
          </w:divsChild>
        </w:div>
        <w:div w:id="1784493100">
          <w:marLeft w:val="0"/>
          <w:marRight w:val="0"/>
          <w:marTop w:val="0"/>
          <w:marBottom w:val="0"/>
          <w:divBdr>
            <w:top w:val="none" w:sz="0" w:space="0" w:color="auto"/>
            <w:left w:val="none" w:sz="0" w:space="0" w:color="auto"/>
            <w:bottom w:val="none" w:sz="0" w:space="0" w:color="auto"/>
            <w:right w:val="none" w:sz="0" w:space="0" w:color="auto"/>
          </w:divBdr>
          <w:divsChild>
            <w:div w:id="100927107">
              <w:marLeft w:val="0"/>
              <w:marRight w:val="0"/>
              <w:marTop w:val="0"/>
              <w:marBottom w:val="0"/>
              <w:divBdr>
                <w:top w:val="none" w:sz="0" w:space="0" w:color="auto"/>
                <w:left w:val="none" w:sz="0" w:space="0" w:color="auto"/>
                <w:bottom w:val="none" w:sz="0" w:space="0" w:color="auto"/>
                <w:right w:val="none" w:sz="0" w:space="0" w:color="auto"/>
              </w:divBdr>
            </w:div>
          </w:divsChild>
        </w:div>
        <w:div w:id="1843428118">
          <w:marLeft w:val="0"/>
          <w:marRight w:val="0"/>
          <w:marTop w:val="0"/>
          <w:marBottom w:val="0"/>
          <w:divBdr>
            <w:top w:val="none" w:sz="0" w:space="0" w:color="auto"/>
            <w:left w:val="none" w:sz="0" w:space="0" w:color="auto"/>
            <w:bottom w:val="none" w:sz="0" w:space="0" w:color="auto"/>
            <w:right w:val="none" w:sz="0" w:space="0" w:color="auto"/>
          </w:divBdr>
          <w:divsChild>
            <w:div w:id="1000622481">
              <w:marLeft w:val="0"/>
              <w:marRight w:val="0"/>
              <w:marTop w:val="0"/>
              <w:marBottom w:val="0"/>
              <w:divBdr>
                <w:top w:val="none" w:sz="0" w:space="0" w:color="auto"/>
                <w:left w:val="none" w:sz="0" w:space="0" w:color="auto"/>
                <w:bottom w:val="none" w:sz="0" w:space="0" w:color="auto"/>
                <w:right w:val="none" w:sz="0" w:space="0" w:color="auto"/>
              </w:divBdr>
            </w:div>
            <w:div w:id="1607931128">
              <w:marLeft w:val="0"/>
              <w:marRight w:val="0"/>
              <w:marTop w:val="0"/>
              <w:marBottom w:val="0"/>
              <w:divBdr>
                <w:top w:val="none" w:sz="0" w:space="0" w:color="auto"/>
                <w:left w:val="none" w:sz="0" w:space="0" w:color="auto"/>
                <w:bottom w:val="none" w:sz="0" w:space="0" w:color="auto"/>
                <w:right w:val="none" w:sz="0" w:space="0" w:color="auto"/>
              </w:divBdr>
            </w:div>
            <w:div w:id="1738018593">
              <w:marLeft w:val="0"/>
              <w:marRight w:val="0"/>
              <w:marTop w:val="0"/>
              <w:marBottom w:val="0"/>
              <w:divBdr>
                <w:top w:val="none" w:sz="0" w:space="0" w:color="auto"/>
                <w:left w:val="none" w:sz="0" w:space="0" w:color="auto"/>
                <w:bottom w:val="none" w:sz="0" w:space="0" w:color="auto"/>
                <w:right w:val="none" w:sz="0" w:space="0" w:color="auto"/>
              </w:divBdr>
            </w:div>
          </w:divsChild>
        </w:div>
        <w:div w:id="1925528924">
          <w:marLeft w:val="0"/>
          <w:marRight w:val="0"/>
          <w:marTop w:val="0"/>
          <w:marBottom w:val="0"/>
          <w:divBdr>
            <w:top w:val="none" w:sz="0" w:space="0" w:color="auto"/>
            <w:left w:val="none" w:sz="0" w:space="0" w:color="auto"/>
            <w:bottom w:val="none" w:sz="0" w:space="0" w:color="auto"/>
            <w:right w:val="none" w:sz="0" w:space="0" w:color="auto"/>
          </w:divBdr>
          <w:divsChild>
            <w:div w:id="596451523">
              <w:marLeft w:val="0"/>
              <w:marRight w:val="0"/>
              <w:marTop w:val="0"/>
              <w:marBottom w:val="0"/>
              <w:divBdr>
                <w:top w:val="none" w:sz="0" w:space="0" w:color="auto"/>
                <w:left w:val="none" w:sz="0" w:space="0" w:color="auto"/>
                <w:bottom w:val="none" w:sz="0" w:space="0" w:color="auto"/>
                <w:right w:val="none" w:sz="0" w:space="0" w:color="auto"/>
              </w:divBdr>
            </w:div>
          </w:divsChild>
        </w:div>
        <w:div w:id="1981688978">
          <w:marLeft w:val="0"/>
          <w:marRight w:val="0"/>
          <w:marTop w:val="0"/>
          <w:marBottom w:val="0"/>
          <w:divBdr>
            <w:top w:val="none" w:sz="0" w:space="0" w:color="auto"/>
            <w:left w:val="none" w:sz="0" w:space="0" w:color="auto"/>
            <w:bottom w:val="none" w:sz="0" w:space="0" w:color="auto"/>
            <w:right w:val="none" w:sz="0" w:space="0" w:color="auto"/>
          </w:divBdr>
          <w:divsChild>
            <w:div w:id="99125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36711">
      <w:bodyDiv w:val="1"/>
      <w:marLeft w:val="0"/>
      <w:marRight w:val="0"/>
      <w:marTop w:val="0"/>
      <w:marBottom w:val="0"/>
      <w:divBdr>
        <w:top w:val="none" w:sz="0" w:space="0" w:color="auto"/>
        <w:left w:val="none" w:sz="0" w:space="0" w:color="auto"/>
        <w:bottom w:val="none" w:sz="0" w:space="0" w:color="auto"/>
        <w:right w:val="none" w:sz="0" w:space="0" w:color="auto"/>
      </w:divBdr>
    </w:div>
    <w:div w:id="854854337">
      <w:bodyDiv w:val="1"/>
      <w:marLeft w:val="0"/>
      <w:marRight w:val="0"/>
      <w:marTop w:val="0"/>
      <w:marBottom w:val="0"/>
      <w:divBdr>
        <w:top w:val="none" w:sz="0" w:space="0" w:color="auto"/>
        <w:left w:val="none" w:sz="0" w:space="0" w:color="auto"/>
        <w:bottom w:val="none" w:sz="0" w:space="0" w:color="auto"/>
        <w:right w:val="none" w:sz="0" w:space="0" w:color="auto"/>
      </w:divBdr>
    </w:div>
    <w:div w:id="887377009">
      <w:bodyDiv w:val="1"/>
      <w:marLeft w:val="0"/>
      <w:marRight w:val="0"/>
      <w:marTop w:val="0"/>
      <w:marBottom w:val="0"/>
      <w:divBdr>
        <w:top w:val="none" w:sz="0" w:space="0" w:color="auto"/>
        <w:left w:val="none" w:sz="0" w:space="0" w:color="auto"/>
        <w:bottom w:val="none" w:sz="0" w:space="0" w:color="auto"/>
        <w:right w:val="none" w:sz="0" w:space="0" w:color="auto"/>
      </w:divBdr>
    </w:div>
    <w:div w:id="895778547">
      <w:bodyDiv w:val="1"/>
      <w:marLeft w:val="0"/>
      <w:marRight w:val="0"/>
      <w:marTop w:val="0"/>
      <w:marBottom w:val="0"/>
      <w:divBdr>
        <w:top w:val="none" w:sz="0" w:space="0" w:color="auto"/>
        <w:left w:val="none" w:sz="0" w:space="0" w:color="auto"/>
        <w:bottom w:val="none" w:sz="0" w:space="0" w:color="auto"/>
        <w:right w:val="none" w:sz="0" w:space="0" w:color="auto"/>
      </w:divBdr>
    </w:div>
    <w:div w:id="933590883">
      <w:bodyDiv w:val="1"/>
      <w:marLeft w:val="0"/>
      <w:marRight w:val="0"/>
      <w:marTop w:val="0"/>
      <w:marBottom w:val="0"/>
      <w:divBdr>
        <w:top w:val="none" w:sz="0" w:space="0" w:color="auto"/>
        <w:left w:val="none" w:sz="0" w:space="0" w:color="auto"/>
        <w:bottom w:val="none" w:sz="0" w:space="0" w:color="auto"/>
        <w:right w:val="none" w:sz="0" w:space="0" w:color="auto"/>
      </w:divBdr>
    </w:div>
    <w:div w:id="981160540">
      <w:bodyDiv w:val="1"/>
      <w:marLeft w:val="0"/>
      <w:marRight w:val="0"/>
      <w:marTop w:val="0"/>
      <w:marBottom w:val="0"/>
      <w:divBdr>
        <w:top w:val="none" w:sz="0" w:space="0" w:color="auto"/>
        <w:left w:val="none" w:sz="0" w:space="0" w:color="auto"/>
        <w:bottom w:val="none" w:sz="0" w:space="0" w:color="auto"/>
        <w:right w:val="none" w:sz="0" w:space="0" w:color="auto"/>
      </w:divBdr>
    </w:div>
    <w:div w:id="1077091881">
      <w:bodyDiv w:val="1"/>
      <w:marLeft w:val="0"/>
      <w:marRight w:val="0"/>
      <w:marTop w:val="0"/>
      <w:marBottom w:val="0"/>
      <w:divBdr>
        <w:top w:val="none" w:sz="0" w:space="0" w:color="auto"/>
        <w:left w:val="none" w:sz="0" w:space="0" w:color="auto"/>
        <w:bottom w:val="none" w:sz="0" w:space="0" w:color="auto"/>
        <w:right w:val="none" w:sz="0" w:space="0" w:color="auto"/>
      </w:divBdr>
    </w:div>
    <w:div w:id="1109161734">
      <w:bodyDiv w:val="1"/>
      <w:marLeft w:val="0"/>
      <w:marRight w:val="0"/>
      <w:marTop w:val="0"/>
      <w:marBottom w:val="0"/>
      <w:divBdr>
        <w:top w:val="none" w:sz="0" w:space="0" w:color="auto"/>
        <w:left w:val="none" w:sz="0" w:space="0" w:color="auto"/>
        <w:bottom w:val="none" w:sz="0" w:space="0" w:color="auto"/>
        <w:right w:val="none" w:sz="0" w:space="0" w:color="auto"/>
      </w:divBdr>
    </w:div>
    <w:div w:id="1119254603">
      <w:bodyDiv w:val="1"/>
      <w:marLeft w:val="0"/>
      <w:marRight w:val="0"/>
      <w:marTop w:val="0"/>
      <w:marBottom w:val="0"/>
      <w:divBdr>
        <w:top w:val="none" w:sz="0" w:space="0" w:color="auto"/>
        <w:left w:val="none" w:sz="0" w:space="0" w:color="auto"/>
        <w:bottom w:val="none" w:sz="0" w:space="0" w:color="auto"/>
        <w:right w:val="none" w:sz="0" w:space="0" w:color="auto"/>
      </w:divBdr>
    </w:div>
    <w:div w:id="1170289345">
      <w:bodyDiv w:val="1"/>
      <w:marLeft w:val="0"/>
      <w:marRight w:val="0"/>
      <w:marTop w:val="0"/>
      <w:marBottom w:val="0"/>
      <w:divBdr>
        <w:top w:val="none" w:sz="0" w:space="0" w:color="auto"/>
        <w:left w:val="none" w:sz="0" w:space="0" w:color="auto"/>
        <w:bottom w:val="none" w:sz="0" w:space="0" w:color="auto"/>
        <w:right w:val="none" w:sz="0" w:space="0" w:color="auto"/>
      </w:divBdr>
    </w:div>
    <w:div w:id="1209806364">
      <w:bodyDiv w:val="1"/>
      <w:marLeft w:val="0"/>
      <w:marRight w:val="0"/>
      <w:marTop w:val="0"/>
      <w:marBottom w:val="0"/>
      <w:divBdr>
        <w:top w:val="none" w:sz="0" w:space="0" w:color="auto"/>
        <w:left w:val="none" w:sz="0" w:space="0" w:color="auto"/>
        <w:bottom w:val="none" w:sz="0" w:space="0" w:color="auto"/>
        <w:right w:val="none" w:sz="0" w:space="0" w:color="auto"/>
      </w:divBdr>
    </w:div>
    <w:div w:id="1279605751">
      <w:bodyDiv w:val="1"/>
      <w:marLeft w:val="0"/>
      <w:marRight w:val="0"/>
      <w:marTop w:val="0"/>
      <w:marBottom w:val="0"/>
      <w:divBdr>
        <w:top w:val="none" w:sz="0" w:space="0" w:color="auto"/>
        <w:left w:val="none" w:sz="0" w:space="0" w:color="auto"/>
        <w:bottom w:val="none" w:sz="0" w:space="0" w:color="auto"/>
        <w:right w:val="none" w:sz="0" w:space="0" w:color="auto"/>
      </w:divBdr>
    </w:div>
    <w:div w:id="1540434565">
      <w:bodyDiv w:val="1"/>
      <w:marLeft w:val="0"/>
      <w:marRight w:val="0"/>
      <w:marTop w:val="0"/>
      <w:marBottom w:val="0"/>
      <w:divBdr>
        <w:top w:val="none" w:sz="0" w:space="0" w:color="auto"/>
        <w:left w:val="none" w:sz="0" w:space="0" w:color="auto"/>
        <w:bottom w:val="none" w:sz="0" w:space="0" w:color="auto"/>
        <w:right w:val="none" w:sz="0" w:space="0" w:color="auto"/>
      </w:divBdr>
    </w:div>
    <w:div w:id="1575309895">
      <w:bodyDiv w:val="1"/>
      <w:marLeft w:val="0"/>
      <w:marRight w:val="0"/>
      <w:marTop w:val="0"/>
      <w:marBottom w:val="0"/>
      <w:divBdr>
        <w:top w:val="none" w:sz="0" w:space="0" w:color="auto"/>
        <w:left w:val="none" w:sz="0" w:space="0" w:color="auto"/>
        <w:bottom w:val="none" w:sz="0" w:space="0" w:color="auto"/>
        <w:right w:val="none" w:sz="0" w:space="0" w:color="auto"/>
      </w:divBdr>
    </w:div>
    <w:div w:id="1659115729">
      <w:bodyDiv w:val="1"/>
      <w:marLeft w:val="0"/>
      <w:marRight w:val="0"/>
      <w:marTop w:val="0"/>
      <w:marBottom w:val="0"/>
      <w:divBdr>
        <w:top w:val="none" w:sz="0" w:space="0" w:color="auto"/>
        <w:left w:val="none" w:sz="0" w:space="0" w:color="auto"/>
        <w:bottom w:val="none" w:sz="0" w:space="0" w:color="auto"/>
        <w:right w:val="none" w:sz="0" w:space="0" w:color="auto"/>
      </w:divBdr>
    </w:div>
    <w:div w:id="1672832688">
      <w:bodyDiv w:val="1"/>
      <w:marLeft w:val="0"/>
      <w:marRight w:val="0"/>
      <w:marTop w:val="0"/>
      <w:marBottom w:val="0"/>
      <w:divBdr>
        <w:top w:val="none" w:sz="0" w:space="0" w:color="auto"/>
        <w:left w:val="none" w:sz="0" w:space="0" w:color="auto"/>
        <w:bottom w:val="none" w:sz="0" w:space="0" w:color="auto"/>
        <w:right w:val="none" w:sz="0" w:space="0" w:color="auto"/>
      </w:divBdr>
    </w:div>
    <w:div w:id="1677414370">
      <w:bodyDiv w:val="1"/>
      <w:marLeft w:val="0"/>
      <w:marRight w:val="0"/>
      <w:marTop w:val="0"/>
      <w:marBottom w:val="0"/>
      <w:divBdr>
        <w:top w:val="none" w:sz="0" w:space="0" w:color="auto"/>
        <w:left w:val="none" w:sz="0" w:space="0" w:color="auto"/>
        <w:bottom w:val="none" w:sz="0" w:space="0" w:color="auto"/>
        <w:right w:val="none" w:sz="0" w:space="0" w:color="auto"/>
      </w:divBdr>
    </w:div>
    <w:div w:id="1729761467">
      <w:bodyDiv w:val="1"/>
      <w:marLeft w:val="0"/>
      <w:marRight w:val="0"/>
      <w:marTop w:val="0"/>
      <w:marBottom w:val="0"/>
      <w:divBdr>
        <w:top w:val="none" w:sz="0" w:space="0" w:color="auto"/>
        <w:left w:val="none" w:sz="0" w:space="0" w:color="auto"/>
        <w:bottom w:val="none" w:sz="0" w:space="0" w:color="auto"/>
        <w:right w:val="none" w:sz="0" w:space="0" w:color="auto"/>
      </w:divBdr>
    </w:div>
    <w:div w:id="1845395059">
      <w:bodyDiv w:val="1"/>
      <w:marLeft w:val="0"/>
      <w:marRight w:val="0"/>
      <w:marTop w:val="0"/>
      <w:marBottom w:val="0"/>
      <w:divBdr>
        <w:top w:val="none" w:sz="0" w:space="0" w:color="auto"/>
        <w:left w:val="none" w:sz="0" w:space="0" w:color="auto"/>
        <w:bottom w:val="none" w:sz="0" w:space="0" w:color="auto"/>
        <w:right w:val="none" w:sz="0" w:space="0" w:color="auto"/>
      </w:divBdr>
    </w:div>
    <w:div w:id="1888100117">
      <w:bodyDiv w:val="1"/>
      <w:marLeft w:val="0"/>
      <w:marRight w:val="0"/>
      <w:marTop w:val="0"/>
      <w:marBottom w:val="0"/>
      <w:divBdr>
        <w:top w:val="none" w:sz="0" w:space="0" w:color="auto"/>
        <w:left w:val="none" w:sz="0" w:space="0" w:color="auto"/>
        <w:bottom w:val="none" w:sz="0" w:space="0" w:color="auto"/>
        <w:right w:val="none" w:sz="0" w:space="0" w:color="auto"/>
      </w:divBdr>
      <w:divsChild>
        <w:div w:id="1363290561">
          <w:marLeft w:val="0"/>
          <w:marRight w:val="0"/>
          <w:marTop w:val="0"/>
          <w:marBottom w:val="0"/>
          <w:divBdr>
            <w:top w:val="none" w:sz="0" w:space="0" w:color="auto"/>
            <w:left w:val="none" w:sz="0" w:space="0" w:color="auto"/>
            <w:bottom w:val="none" w:sz="0" w:space="0" w:color="auto"/>
            <w:right w:val="none" w:sz="0" w:space="0" w:color="auto"/>
          </w:divBdr>
          <w:divsChild>
            <w:div w:id="256715330">
              <w:marLeft w:val="0"/>
              <w:marRight w:val="0"/>
              <w:marTop w:val="0"/>
              <w:marBottom w:val="0"/>
              <w:divBdr>
                <w:top w:val="none" w:sz="0" w:space="0" w:color="auto"/>
                <w:left w:val="none" w:sz="0" w:space="0" w:color="auto"/>
                <w:bottom w:val="none" w:sz="0" w:space="0" w:color="auto"/>
                <w:right w:val="none" w:sz="0" w:space="0" w:color="auto"/>
              </w:divBdr>
              <w:divsChild>
                <w:div w:id="441651186">
                  <w:marLeft w:val="0"/>
                  <w:marRight w:val="0"/>
                  <w:marTop w:val="0"/>
                  <w:marBottom w:val="0"/>
                  <w:divBdr>
                    <w:top w:val="none" w:sz="0" w:space="0" w:color="auto"/>
                    <w:left w:val="none" w:sz="0" w:space="0" w:color="auto"/>
                    <w:bottom w:val="none" w:sz="0" w:space="0" w:color="auto"/>
                    <w:right w:val="none" w:sz="0" w:space="0" w:color="auto"/>
                  </w:divBdr>
                </w:div>
                <w:div w:id="475529350">
                  <w:marLeft w:val="0"/>
                  <w:marRight w:val="0"/>
                  <w:marTop w:val="0"/>
                  <w:marBottom w:val="0"/>
                  <w:divBdr>
                    <w:top w:val="none" w:sz="0" w:space="0" w:color="auto"/>
                    <w:left w:val="none" w:sz="0" w:space="0" w:color="auto"/>
                    <w:bottom w:val="none" w:sz="0" w:space="0" w:color="auto"/>
                    <w:right w:val="none" w:sz="0" w:space="0" w:color="auto"/>
                  </w:divBdr>
                </w:div>
                <w:div w:id="854808523">
                  <w:marLeft w:val="0"/>
                  <w:marRight w:val="0"/>
                  <w:marTop w:val="0"/>
                  <w:marBottom w:val="0"/>
                  <w:divBdr>
                    <w:top w:val="none" w:sz="0" w:space="0" w:color="auto"/>
                    <w:left w:val="none" w:sz="0" w:space="0" w:color="auto"/>
                    <w:bottom w:val="none" w:sz="0" w:space="0" w:color="auto"/>
                    <w:right w:val="none" w:sz="0" w:space="0" w:color="auto"/>
                  </w:divBdr>
                </w:div>
                <w:div w:id="935941028">
                  <w:marLeft w:val="0"/>
                  <w:marRight w:val="0"/>
                  <w:marTop w:val="0"/>
                  <w:marBottom w:val="0"/>
                  <w:divBdr>
                    <w:top w:val="none" w:sz="0" w:space="0" w:color="auto"/>
                    <w:left w:val="none" w:sz="0" w:space="0" w:color="auto"/>
                    <w:bottom w:val="none" w:sz="0" w:space="0" w:color="auto"/>
                    <w:right w:val="none" w:sz="0" w:space="0" w:color="auto"/>
                  </w:divBdr>
                </w:div>
              </w:divsChild>
            </w:div>
            <w:div w:id="309751375">
              <w:marLeft w:val="0"/>
              <w:marRight w:val="0"/>
              <w:marTop w:val="0"/>
              <w:marBottom w:val="0"/>
              <w:divBdr>
                <w:top w:val="none" w:sz="0" w:space="0" w:color="auto"/>
                <w:left w:val="none" w:sz="0" w:space="0" w:color="auto"/>
                <w:bottom w:val="none" w:sz="0" w:space="0" w:color="auto"/>
                <w:right w:val="none" w:sz="0" w:space="0" w:color="auto"/>
              </w:divBdr>
            </w:div>
            <w:div w:id="433131644">
              <w:marLeft w:val="0"/>
              <w:marRight w:val="0"/>
              <w:marTop w:val="0"/>
              <w:marBottom w:val="0"/>
              <w:divBdr>
                <w:top w:val="none" w:sz="0" w:space="0" w:color="auto"/>
                <w:left w:val="none" w:sz="0" w:space="0" w:color="auto"/>
                <w:bottom w:val="none" w:sz="0" w:space="0" w:color="auto"/>
                <w:right w:val="none" w:sz="0" w:space="0" w:color="auto"/>
              </w:divBdr>
            </w:div>
            <w:div w:id="529270385">
              <w:marLeft w:val="0"/>
              <w:marRight w:val="0"/>
              <w:marTop w:val="0"/>
              <w:marBottom w:val="0"/>
              <w:divBdr>
                <w:top w:val="none" w:sz="0" w:space="0" w:color="auto"/>
                <w:left w:val="none" w:sz="0" w:space="0" w:color="auto"/>
                <w:bottom w:val="none" w:sz="0" w:space="0" w:color="auto"/>
                <w:right w:val="none" w:sz="0" w:space="0" w:color="auto"/>
              </w:divBdr>
            </w:div>
            <w:div w:id="540558973">
              <w:marLeft w:val="0"/>
              <w:marRight w:val="0"/>
              <w:marTop w:val="0"/>
              <w:marBottom w:val="0"/>
              <w:divBdr>
                <w:top w:val="none" w:sz="0" w:space="0" w:color="auto"/>
                <w:left w:val="none" w:sz="0" w:space="0" w:color="auto"/>
                <w:bottom w:val="none" w:sz="0" w:space="0" w:color="auto"/>
                <w:right w:val="none" w:sz="0" w:space="0" w:color="auto"/>
              </w:divBdr>
              <w:divsChild>
                <w:div w:id="796333097">
                  <w:marLeft w:val="0"/>
                  <w:marRight w:val="0"/>
                  <w:marTop w:val="0"/>
                  <w:marBottom w:val="0"/>
                  <w:divBdr>
                    <w:top w:val="none" w:sz="0" w:space="0" w:color="auto"/>
                    <w:left w:val="none" w:sz="0" w:space="0" w:color="auto"/>
                    <w:bottom w:val="none" w:sz="0" w:space="0" w:color="auto"/>
                    <w:right w:val="none" w:sz="0" w:space="0" w:color="auto"/>
                  </w:divBdr>
                </w:div>
                <w:div w:id="837887341">
                  <w:marLeft w:val="0"/>
                  <w:marRight w:val="0"/>
                  <w:marTop w:val="0"/>
                  <w:marBottom w:val="0"/>
                  <w:divBdr>
                    <w:top w:val="none" w:sz="0" w:space="0" w:color="auto"/>
                    <w:left w:val="none" w:sz="0" w:space="0" w:color="auto"/>
                    <w:bottom w:val="none" w:sz="0" w:space="0" w:color="auto"/>
                    <w:right w:val="none" w:sz="0" w:space="0" w:color="auto"/>
                  </w:divBdr>
                </w:div>
                <w:div w:id="1739284731">
                  <w:marLeft w:val="0"/>
                  <w:marRight w:val="0"/>
                  <w:marTop w:val="0"/>
                  <w:marBottom w:val="0"/>
                  <w:divBdr>
                    <w:top w:val="none" w:sz="0" w:space="0" w:color="auto"/>
                    <w:left w:val="none" w:sz="0" w:space="0" w:color="auto"/>
                    <w:bottom w:val="none" w:sz="0" w:space="0" w:color="auto"/>
                    <w:right w:val="none" w:sz="0" w:space="0" w:color="auto"/>
                  </w:divBdr>
                </w:div>
                <w:div w:id="1742487838">
                  <w:marLeft w:val="0"/>
                  <w:marRight w:val="0"/>
                  <w:marTop w:val="0"/>
                  <w:marBottom w:val="0"/>
                  <w:divBdr>
                    <w:top w:val="none" w:sz="0" w:space="0" w:color="auto"/>
                    <w:left w:val="none" w:sz="0" w:space="0" w:color="auto"/>
                    <w:bottom w:val="none" w:sz="0" w:space="0" w:color="auto"/>
                    <w:right w:val="none" w:sz="0" w:space="0" w:color="auto"/>
                  </w:divBdr>
                </w:div>
                <w:div w:id="1781532639">
                  <w:marLeft w:val="0"/>
                  <w:marRight w:val="0"/>
                  <w:marTop w:val="0"/>
                  <w:marBottom w:val="0"/>
                  <w:divBdr>
                    <w:top w:val="none" w:sz="0" w:space="0" w:color="auto"/>
                    <w:left w:val="none" w:sz="0" w:space="0" w:color="auto"/>
                    <w:bottom w:val="none" w:sz="0" w:space="0" w:color="auto"/>
                    <w:right w:val="none" w:sz="0" w:space="0" w:color="auto"/>
                  </w:divBdr>
                </w:div>
              </w:divsChild>
            </w:div>
            <w:div w:id="668213221">
              <w:marLeft w:val="0"/>
              <w:marRight w:val="0"/>
              <w:marTop w:val="0"/>
              <w:marBottom w:val="0"/>
              <w:divBdr>
                <w:top w:val="none" w:sz="0" w:space="0" w:color="auto"/>
                <w:left w:val="none" w:sz="0" w:space="0" w:color="auto"/>
                <w:bottom w:val="none" w:sz="0" w:space="0" w:color="auto"/>
                <w:right w:val="none" w:sz="0" w:space="0" w:color="auto"/>
              </w:divBdr>
            </w:div>
            <w:div w:id="692347361">
              <w:marLeft w:val="0"/>
              <w:marRight w:val="0"/>
              <w:marTop w:val="0"/>
              <w:marBottom w:val="0"/>
              <w:divBdr>
                <w:top w:val="none" w:sz="0" w:space="0" w:color="auto"/>
                <w:left w:val="none" w:sz="0" w:space="0" w:color="auto"/>
                <w:bottom w:val="none" w:sz="0" w:space="0" w:color="auto"/>
                <w:right w:val="none" w:sz="0" w:space="0" w:color="auto"/>
              </w:divBdr>
            </w:div>
            <w:div w:id="814031230">
              <w:marLeft w:val="0"/>
              <w:marRight w:val="0"/>
              <w:marTop w:val="0"/>
              <w:marBottom w:val="0"/>
              <w:divBdr>
                <w:top w:val="none" w:sz="0" w:space="0" w:color="auto"/>
                <w:left w:val="none" w:sz="0" w:space="0" w:color="auto"/>
                <w:bottom w:val="none" w:sz="0" w:space="0" w:color="auto"/>
                <w:right w:val="none" w:sz="0" w:space="0" w:color="auto"/>
              </w:divBdr>
              <w:divsChild>
                <w:div w:id="1019283736">
                  <w:marLeft w:val="0"/>
                  <w:marRight w:val="0"/>
                  <w:marTop w:val="0"/>
                  <w:marBottom w:val="0"/>
                  <w:divBdr>
                    <w:top w:val="none" w:sz="0" w:space="0" w:color="auto"/>
                    <w:left w:val="none" w:sz="0" w:space="0" w:color="auto"/>
                    <w:bottom w:val="none" w:sz="0" w:space="0" w:color="auto"/>
                    <w:right w:val="none" w:sz="0" w:space="0" w:color="auto"/>
                  </w:divBdr>
                </w:div>
                <w:div w:id="1219586244">
                  <w:marLeft w:val="0"/>
                  <w:marRight w:val="0"/>
                  <w:marTop w:val="0"/>
                  <w:marBottom w:val="0"/>
                  <w:divBdr>
                    <w:top w:val="none" w:sz="0" w:space="0" w:color="auto"/>
                    <w:left w:val="none" w:sz="0" w:space="0" w:color="auto"/>
                    <w:bottom w:val="none" w:sz="0" w:space="0" w:color="auto"/>
                    <w:right w:val="none" w:sz="0" w:space="0" w:color="auto"/>
                  </w:divBdr>
                </w:div>
                <w:div w:id="1319067129">
                  <w:marLeft w:val="0"/>
                  <w:marRight w:val="0"/>
                  <w:marTop w:val="0"/>
                  <w:marBottom w:val="0"/>
                  <w:divBdr>
                    <w:top w:val="none" w:sz="0" w:space="0" w:color="auto"/>
                    <w:left w:val="none" w:sz="0" w:space="0" w:color="auto"/>
                    <w:bottom w:val="none" w:sz="0" w:space="0" w:color="auto"/>
                    <w:right w:val="none" w:sz="0" w:space="0" w:color="auto"/>
                  </w:divBdr>
                </w:div>
                <w:div w:id="1744598976">
                  <w:marLeft w:val="0"/>
                  <w:marRight w:val="0"/>
                  <w:marTop w:val="0"/>
                  <w:marBottom w:val="0"/>
                  <w:divBdr>
                    <w:top w:val="none" w:sz="0" w:space="0" w:color="auto"/>
                    <w:left w:val="none" w:sz="0" w:space="0" w:color="auto"/>
                    <w:bottom w:val="none" w:sz="0" w:space="0" w:color="auto"/>
                    <w:right w:val="none" w:sz="0" w:space="0" w:color="auto"/>
                  </w:divBdr>
                </w:div>
              </w:divsChild>
            </w:div>
            <w:div w:id="994726035">
              <w:marLeft w:val="0"/>
              <w:marRight w:val="0"/>
              <w:marTop w:val="0"/>
              <w:marBottom w:val="0"/>
              <w:divBdr>
                <w:top w:val="none" w:sz="0" w:space="0" w:color="auto"/>
                <w:left w:val="none" w:sz="0" w:space="0" w:color="auto"/>
                <w:bottom w:val="none" w:sz="0" w:space="0" w:color="auto"/>
                <w:right w:val="none" w:sz="0" w:space="0" w:color="auto"/>
              </w:divBdr>
              <w:divsChild>
                <w:div w:id="78871408">
                  <w:marLeft w:val="0"/>
                  <w:marRight w:val="0"/>
                  <w:marTop w:val="0"/>
                  <w:marBottom w:val="0"/>
                  <w:divBdr>
                    <w:top w:val="none" w:sz="0" w:space="0" w:color="auto"/>
                    <w:left w:val="none" w:sz="0" w:space="0" w:color="auto"/>
                    <w:bottom w:val="none" w:sz="0" w:space="0" w:color="auto"/>
                    <w:right w:val="none" w:sz="0" w:space="0" w:color="auto"/>
                  </w:divBdr>
                </w:div>
                <w:div w:id="893466452">
                  <w:marLeft w:val="0"/>
                  <w:marRight w:val="0"/>
                  <w:marTop w:val="0"/>
                  <w:marBottom w:val="0"/>
                  <w:divBdr>
                    <w:top w:val="none" w:sz="0" w:space="0" w:color="auto"/>
                    <w:left w:val="none" w:sz="0" w:space="0" w:color="auto"/>
                    <w:bottom w:val="none" w:sz="0" w:space="0" w:color="auto"/>
                    <w:right w:val="none" w:sz="0" w:space="0" w:color="auto"/>
                  </w:divBdr>
                </w:div>
                <w:div w:id="1758750460">
                  <w:marLeft w:val="0"/>
                  <w:marRight w:val="0"/>
                  <w:marTop w:val="0"/>
                  <w:marBottom w:val="0"/>
                  <w:divBdr>
                    <w:top w:val="none" w:sz="0" w:space="0" w:color="auto"/>
                    <w:left w:val="none" w:sz="0" w:space="0" w:color="auto"/>
                    <w:bottom w:val="none" w:sz="0" w:space="0" w:color="auto"/>
                    <w:right w:val="none" w:sz="0" w:space="0" w:color="auto"/>
                  </w:divBdr>
                </w:div>
                <w:div w:id="1952206036">
                  <w:marLeft w:val="0"/>
                  <w:marRight w:val="0"/>
                  <w:marTop w:val="0"/>
                  <w:marBottom w:val="0"/>
                  <w:divBdr>
                    <w:top w:val="none" w:sz="0" w:space="0" w:color="auto"/>
                    <w:left w:val="none" w:sz="0" w:space="0" w:color="auto"/>
                    <w:bottom w:val="none" w:sz="0" w:space="0" w:color="auto"/>
                    <w:right w:val="none" w:sz="0" w:space="0" w:color="auto"/>
                  </w:divBdr>
                </w:div>
              </w:divsChild>
            </w:div>
            <w:div w:id="1134787777">
              <w:marLeft w:val="0"/>
              <w:marRight w:val="0"/>
              <w:marTop w:val="0"/>
              <w:marBottom w:val="0"/>
              <w:divBdr>
                <w:top w:val="none" w:sz="0" w:space="0" w:color="auto"/>
                <w:left w:val="none" w:sz="0" w:space="0" w:color="auto"/>
                <w:bottom w:val="none" w:sz="0" w:space="0" w:color="auto"/>
                <w:right w:val="none" w:sz="0" w:space="0" w:color="auto"/>
              </w:divBdr>
              <w:divsChild>
                <w:div w:id="1363630629">
                  <w:marLeft w:val="0"/>
                  <w:marRight w:val="0"/>
                  <w:marTop w:val="0"/>
                  <w:marBottom w:val="0"/>
                  <w:divBdr>
                    <w:top w:val="none" w:sz="0" w:space="0" w:color="auto"/>
                    <w:left w:val="none" w:sz="0" w:space="0" w:color="auto"/>
                    <w:bottom w:val="none" w:sz="0" w:space="0" w:color="auto"/>
                    <w:right w:val="none" w:sz="0" w:space="0" w:color="auto"/>
                  </w:divBdr>
                </w:div>
                <w:div w:id="1394813536">
                  <w:marLeft w:val="0"/>
                  <w:marRight w:val="0"/>
                  <w:marTop w:val="0"/>
                  <w:marBottom w:val="0"/>
                  <w:divBdr>
                    <w:top w:val="none" w:sz="0" w:space="0" w:color="auto"/>
                    <w:left w:val="none" w:sz="0" w:space="0" w:color="auto"/>
                    <w:bottom w:val="none" w:sz="0" w:space="0" w:color="auto"/>
                    <w:right w:val="none" w:sz="0" w:space="0" w:color="auto"/>
                  </w:divBdr>
                </w:div>
                <w:div w:id="1730416269">
                  <w:marLeft w:val="0"/>
                  <w:marRight w:val="0"/>
                  <w:marTop w:val="0"/>
                  <w:marBottom w:val="0"/>
                  <w:divBdr>
                    <w:top w:val="none" w:sz="0" w:space="0" w:color="auto"/>
                    <w:left w:val="none" w:sz="0" w:space="0" w:color="auto"/>
                    <w:bottom w:val="none" w:sz="0" w:space="0" w:color="auto"/>
                    <w:right w:val="none" w:sz="0" w:space="0" w:color="auto"/>
                  </w:divBdr>
                </w:div>
                <w:div w:id="1908346757">
                  <w:marLeft w:val="0"/>
                  <w:marRight w:val="0"/>
                  <w:marTop w:val="0"/>
                  <w:marBottom w:val="0"/>
                  <w:divBdr>
                    <w:top w:val="none" w:sz="0" w:space="0" w:color="auto"/>
                    <w:left w:val="none" w:sz="0" w:space="0" w:color="auto"/>
                    <w:bottom w:val="none" w:sz="0" w:space="0" w:color="auto"/>
                    <w:right w:val="none" w:sz="0" w:space="0" w:color="auto"/>
                  </w:divBdr>
                </w:div>
              </w:divsChild>
            </w:div>
            <w:div w:id="1203596304">
              <w:marLeft w:val="0"/>
              <w:marRight w:val="0"/>
              <w:marTop w:val="0"/>
              <w:marBottom w:val="0"/>
              <w:divBdr>
                <w:top w:val="none" w:sz="0" w:space="0" w:color="auto"/>
                <w:left w:val="none" w:sz="0" w:space="0" w:color="auto"/>
                <w:bottom w:val="none" w:sz="0" w:space="0" w:color="auto"/>
                <w:right w:val="none" w:sz="0" w:space="0" w:color="auto"/>
              </w:divBdr>
              <w:divsChild>
                <w:div w:id="496576967">
                  <w:marLeft w:val="0"/>
                  <w:marRight w:val="0"/>
                  <w:marTop w:val="0"/>
                  <w:marBottom w:val="0"/>
                  <w:divBdr>
                    <w:top w:val="none" w:sz="0" w:space="0" w:color="auto"/>
                    <w:left w:val="none" w:sz="0" w:space="0" w:color="auto"/>
                    <w:bottom w:val="none" w:sz="0" w:space="0" w:color="auto"/>
                    <w:right w:val="none" w:sz="0" w:space="0" w:color="auto"/>
                  </w:divBdr>
                </w:div>
                <w:div w:id="669335300">
                  <w:marLeft w:val="0"/>
                  <w:marRight w:val="0"/>
                  <w:marTop w:val="0"/>
                  <w:marBottom w:val="0"/>
                  <w:divBdr>
                    <w:top w:val="none" w:sz="0" w:space="0" w:color="auto"/>
                    <w:left w:val="none" w:sz="0" w:space="0" w:color="auto"/>
                    <w:bottom w:val="none" w:sz="0" w:space="0" w:color="auto"/>
                    <w:right w:val="none" w:sz="0" w:space="0" w:color="auto"/>
                  </w:divBdr>
                </w:div>
                <w:div w:id="1132484950">
                  <w:marLeft w:val="0"/>
                  <w:marRight w:val="0"/>
                  <w:marTop w:val="0"/>
                  <w:marBottom w:val="0"/>
                  <w:divBdr>
                    <w:top w:val="none" w:sz="0" w:space="0" w:color="auto"/>
                    <w:left w:val="none" w:sz="0" w:space="0" w:color="auto"/>
                    <w:bottom w:val="none" w:sz="0" w:space="0" w:color="auto"/>
                    <w:right w:val="none" w:sz="0" w:space="0" w:color="auto"/>
                  </w:divBdr>
                </w:div>
                <w:div w:id="2052806910">
                  <w:marLeft w:val="0"/>
                  <w:marRight w:val="0"/>
                  <w:marTop w:val="0"/>
                  <w:marBottom w:val="0"/>
                  <w:divBdr>
                    <w:top w:val="none" w:sz="0" w:space="0" w:color="auto"/>
                    <w:left w:val="none" w:sz="0" w:space="0" w:color="auto"/>
                    <w:bottom w:val="none" w:sz="0" w:space="0" w:color="auto"/>
                    <w:right w:val="none" w:sz="0" w:space="0" w:color="auto"/>
                  </w:divBdr>
                </w:div>
              </w:divsChild>
            </w:div>
            <w:div w:id="1412317445">
              <w:marLeft w:val="0"/>
              <w:marRight w:val="0"/>
              <w:marTop w:val="0"/>
              <w:marBottom w:val="0"/>
              <w:divBdr>
                <w:top w:val="none" w:sz="0" w:space="0" w:color="auto"/>
                <w:left w:val="none" w:sz="0" w:space="0" w:color="auto"/>
                <w:bottom w:val="none" w:sz="0" w:space="0" w:color="auto"/>
                <w:right w:val="none" w:sz="0" w:space="0" w:color="auto"/>
              </w:divBdr>
              <w:divsChild>
                <w:div w:id="216939487">
                  <w:marLeft w:val="0"/>
                  <w:marRight w:val="0"/>
                  <w:marTop w:val="0"/>
                  <w:marBottom w:val="0"/>
                  <w:divBdr>
                    <w:top w:val="none" w:sz="0" w:space="0" w:color="auto"/>
                    <w:left w:val="none" w:sz="0" w:space="0" w:color="auto"/>
                    <w:bottom w:val="none" w:sz="0" w:space="0" w:color="auto"/>
                    <w:right w:val="none" w:sz="0" w:space="0" w:color="auto"/>
                  </w:divBdr>
                </w:div>
                <w:div w:id="967472398">
                  <w:marLeft w:val="0"/>
                  <w:marRight w:val="0"/>
                  <w:marTop w:val="0"/>
                  <w:marBottom w:val="0"/>
                  <w:divBdr>
                    <w:top w:val="none" w:sz="0" w:space="0" w:color="auto"/>
                    <w:left w:val="none" w:sz="0" w:space="0" w:color="auto"/>
                    <w:bottom w:val="none" w:sz="0" w:space="0" w:color="auto"/>
                    <w:right w:val="none" w:sz="0" w:space="0" w:color="auto"/>
                  </w:divBdr>
                </w:div>
                <w:div w:id="999503406">
                  <w:marLeft w:val="0"/>
                  <w:marRight w:val="0"/>
                  <w:marTop w:val="0"/>
                  <w:marBottom w:val="0"/>
                  <w:divBdr>
                    <w:top w:val="none" w:sz="0" w:space="0" w:color="auto"/>
                    <w:left w:val="none" w:sz="0" w:space="0" w:color="auto"/>
                    <w:bottom w:val="none" w:sz="0" w:space="0" w:color="auto"/>
                    <w:right w:val="none" w:sz="0" w:space="0" w:color="auto"/>
                  </w:divBdr>
                </w:div>
                <w:div w:id="1889144474">
                  <w:marLeft w:val="0"/>
                  <w:marRight w:val="0"/>
                  <w:marTop w:val="0"/>
                  <w:marBottom w:val="0"/>
                  <w:divBdr>
                    <w:top w:val="none" w:sz="0" w:space="0" w:color="auto"/>
                    <w:left w:val="none" w:sz="0" w:space="0" w:color="auto"/>
                    <w:bottom w:val="none" w:sz="0" w:space="0" w:color="auto"/>
                    <w:right w:val="none" w:sz="0" w:space="0" w:color="auto"/>
                  </w:divBdr>
                </w:div>
              </w:divsChild>
            </w:div>
            <w:div w:id="1704793644">
              <w:marLeft w:val="0"/>
              <w:marRight w:val="0"/>
              <w:marTop w:val="0"/>
              <w:marBottom w:val="0"/>
              <w:divBdr>
                <w:top w:val="none" w:sz="0" w:space="0" w:color="auto"/>
                <w:left w:val="none" w:sz="0" w:space="0" w:color="auto"/>
                <w:bottom w:val="none" w:sz="0" w:space="0" w:color="auto"/>
                <w:right w:val="none" w:sz="0" w:space="0" w:color="auto"/>
              </w:divBdr>
              <w:divsChild>
                <w:div w:id="394209937">
                  <w:marLeft w:val="0"/>
                  <w:marRight w:val="0"/>
                  <w:marTop w:val="0"/>
                  <w:marBottom w:val="0"/>
                  <w:divBdr>
                    <w:top w:val="none" w:sz="0" w:space="0" w:color="auto"/>
                    <w:left w:val="none" w:sz="0" w:space="0" w:color="auto"/>
                    <w:bottom w:val="none" w:sz="0" w:space="0" w:color="auto"/>
                    <w:right w:val="none" w:sz="0" w:space="0" w:color="auto"/>
                  </w:divBdr>
                </w:div>
                <w:div w:id="991133007">
                  <w:marLeft w:val="0"/>
                  <w:marRight w:val="0"/>
                  <w:marTop w:val="0"/>
                  <w:marBottom w:val="0"/>
                  <w:divBdr>
                    <w:top w:val="none" w:sz="0" w:space="0" w:color="auto"/>
                    <w:left w:val="none" w:sz="0" w:space="0" w:color="auto"/>
                    <w:bottom w:val="none" w:sz="0" w:space="0" w:color="auto"/>
                    <w:right w:val="none" w:sz="0" w:space="0" w:color="auto"/>
                  </w:divBdr>
                </w:div>
                <w:div w:id="1456870134">
                  <w:marLeft w:val="0"/>
                  <w:marRight w:val="0"/>
                  <w:marTop w:val="0"/>
                  <w:marBottom w:val="0"/>
                  <w:divBdr>
                    <w:top w:val="none" w:sz="0" w:space="0" w:color="auto"/>
                    <w:left w:val="none" w:sz="0" w:space="0" w:color="auto"/>
                    <w:bottom w:val="none" w:sz="0" w:space="0" w:color="auto"/>
                    <w:right w:val="none" w:sz="0" w:space="0" w:color="auto"/>
                  </w:divBdr>
                </w:div>
                <w:div w:id="1634753306">
                  <w:marLeft w:val="0"/>
                  <w:marRight w:val="0"/>
                  <w:marTop w:val="0"/>
                  <w:marBottom w:val="0"/>
                  <w:divBdr>
                    <w:top w:val="none" w:sz="0" w:space="0" w:color="auto"/>
                    <w:left w:val="none" w:sz="0" w:space="0" w:color="auto"/>
                    <w:bottom w:val="none" w:sz="0" w:space="0" w:color="auto"/>
                    <w:right w:val="none" w:sz="0" w:space="0" w:color="auto"/>
                  </w:divBdr>
                </w:div>
              </w:divsChild>
            </w:div>
            <w:div w:id="1712874475">
              <w:marLeft w:val="0"/>
              <w:marRight w:val="0"/>
              <w:marTop w:val="0"/>
              <w:marBottom w:val="0"/>
              <w:divBdr>
                <w:top w:val="none" w:sz="0" w:space="0" w:color="auto"/>
                <w:left w:val="none" w:sz="0" w:space="0" w:color="auto"/>
                <w:bottom w:val="none" w:sz="0" w:space="0" w:color="auto"/>
                <w:right w:val="none" w:sz="0" w:space="0" w:color="auto"/>
              </w:divBdr>
              <w:divsChild>
                <w:div w:id="888961155">
                  <w:marLeft w:val="0"/>
                  <w:marRight w:val="0"/>
                  <w:marTop w:val="0"/>
                  <w:marBottom w:val="0"/>
                  <w:divBdr>
                    <w:top w:val="none" w:sz="0" w:space="0" w:color="auto"/>
                    <w:left w:val="none" w:sz="0" w:space="0" w:color="auto"/>
                    <w:bottom w:val="none" w:sz="0" w:space="0" w:color="auto"/>
                    <w:right w:val="none" w:sz="0" w:space="0" w:color="auto"/>
                  </w:divBdr>
                </w:div>
                <w:div w:id="1494954520">
                  <w:marLeft w:val="0"/>
                  <w:marRight w:val="0"/>
                  <w:marTop w:val="0"/>
                  <w:marBottom w:val="0"/>
                  <w:divBdr>
                    <w:top w:val="none" w:sz="0" w:space="0" w:color="auto"/>
                    <w:left w:val="none" w:sz="0" w:space="0" w:color="auto"/>
                    <w:bottom w:val="none" w:sz="0" w:space="0" w:color="auto"/>
                    <w:right w:val="none" w:sz="0" w:space="0" w:color="auto"/>
                  </w:divBdr>
                </w:div>
                <w:div w:id="1885555643">
                  <w:marLeft w:val="0"/>
                  <w:marRight w:val="0"/>
                  <w:marTop w:val="0"/>
                  <w:marBottom w:val="0"/>
                  <w:divBdr>
                    <w:top w:val="none" w:sz="0" w:space="0" w:color="auto"/>
                    <w:left w:val="none" w:sz="0" w:space="0" w:color="auto"/>
                    <w:bottom w:val="none" w:sz="0" w:space="0" w:color="auto"/>
                    <w:right w:val="none" w:sz="0" w:space="0" w:color="auto"/>
                  </w:divBdr>
                </w:div>
              </w:divsChild>
            </w:div>
            <w:div w:id="1828208524">
              <w:marLeft w:val="0"/>
              <w:marRight w:val="0"/>
              <w:marTop w:val="0"/>
              <w:marBottom w:val="0"/>
              <w:divBdr>
                <w:top w:val="none" w:sz="0" w:space="0" w:color="auto"/>
                <w:left w:val="none" w:sz="0" w:space="0" w:color="auto"/>
                <w:bottom w:val="none" w:sz="0" w:space="0" w:color="auto"/>
                <w:right w:val="none" w:sz="0" w:space="0" w:color="auto"/>
              </w:divBdr>
            </w:div>
            <w:div w:id="1990329801">
              <w:marLeft w:val="0"/>
              <w:marRight w:val="0"/>
              <w:marTop w:val="0"/>
              <w:marBottom w:val="0"/>
              <w:divBdr>
                <w:top w:val="none" w:sz="0" w:space="0" w:color="auto"/>
                <w:left w:val="none" w:sz="0" w:space="0" w:color="auto"/>
                <w:bottom w:val="none" w:sz="0" w:space="0" w:color="auto"/>
                <w:right w:val="none" w:sz="0" w:space="0" w:color="auto"/>
              </w:divBdr>
              <w:divsChild>
                <w:div w:id="305136181">
                  <w:marLeft w:val="0"/>
                  <w:marRight w:val="0"/>
                  <w:marTop w:val="0"/>
                  <w:marBottom w:val="0"/>
                  <w:divBdr>
                    <w:top w:val="none" w:sz="0" w:space="0" w:color="auto"/>
                    <w:left w:val="none" w:sz="0" w:space="0" w:color="auto"/>
                    <w:bottom w:val="none" w:sz="0" w:space="0" w:color="auto"/>
                    <w:right w:val="none" w:sz="0" w:space="0" w:color="auto"/>
                  </w:divBdr>
                </w:div>
                <w:div w:id="954822824">
                  <w:marLeft w:val="0"/>
                  <w:marRight w:val="0"/>
                  <w:marTop w:val="0"/>
                  <w:marBottom w:val="0"/>
                  <w:divBdr>
                    <w:top w:val="none" w:sz="0" w:space="0" w:color="auto"/>
                    <w:left w:val="none" w:sz="0" w:space="0" w:color="auto"/>
                    <w:bottom w:val="none" w:sz="0" w:space="0" w:color="auto"/>
                    <w:right w:val="none" w:sz="0" w:space="0" w:color="auto"/>
                  </w:divBdr>
                </w:div>
                <w:div w:id="983580418">
                  <w:marLeft w:val="0"/>
                  <w:marRight w:val="0"/>
                  <w:marTop w:val="0"/>
                  <w:marBottom w:val="0"/>
                  <w:divBdr>
                    <w:top w:val="none" w:sz="0" w:space="0" w:color="auto"/>
                    <w:left w:val="none" w:sz="0" w:space="0" w:color="auto"/>
                    <w:bottom w:val="none" w:sz="0" w:space="0" w:color="auto"/>
                    <w:right w:val="none" w:sz="0" w:space="0" w:color="auto"/>
                  </w:divBdr>
                </w:div>
                <w:div w:id="1051152629">
                  <w:marLeft w:val="0"/>
                  <w:marRight w:val="0"/>
                  <w:marTop w:val="0"/>
                  <w:marBottom w:val="0"/>
                  <w:divBdr>
                    <w:top w:val="none" w:sz="0" w:space="0" w:color="auto"/>
                    <w:left w:val="none" w:sz="0" w:space="0" w:color="auto"/>
                    <w:bottom w:val="none" w:sz="0" w:space="0" w:color="auto"/>
                    <w:right w:val="none" w:sz="0" w:space="0" w:color="auto"/>
                  </w:divBdr>
                </w:div>
              </w:divsChild>
            </w:div>
            <w:div w:id="2077780228">
              <w:marLeft w:val="0"/>
              <w:marRight w:val="0"/>
              <w:marTop w:val="0"/>
              <w:marBottom w:val="0"/>
              <w:divBdr>
                <w:top w:val="none" w:sz="0" w:space="0" w:color="auto"/>
                <w:left w:val="none" w:sz="0" w:space="0" w:color="auto"/>
                <w:bottom w:val="none" w:sz="0" w:space="0" w:color="auto"/>
                <w:right w:val="none" w:sz="0" w:space="0" w:color="auto"/>
              </w:divBdr>
              <w:divsChild>
                <w:div w:id="1030183027">
                  <w:marLeft w:val="0"/>
                  <w:marRight w:val="0"/>
                  <w:marTop w:val="0"/>
                  <w:marBottom w:val="0"/>
                  <w:divBdr>
                    <w:top w:val="none" w:sz="0" w:space="0" w:color="auto"/>
                    <w:left w:val="none" w:sz="0" w:space="0" w:color="auto"/>
                    <w:bottom w:val="none" w:sz="0" w:space="0" w:color="auto"/>
                    <w:right w:val="none" w:sz="0" w:space="0" w:color="auto"/>
                  </w:divBdr>
                </w:div>
                <w:div w:id="1407262885">
                  <w:marLeft w:val="0"/>
                  <w:marRight w:val="0"/>
                  <w:marTop w:val="0"/>
                  <w:marBottom w:val="0"/>
                  <w:divBdr>
                    <w:top w:val="none" w:sz="0" w:space="0" w:color="auto"/>
                    <w:left w:val="none" w:sz="0" w:space="0" w:color="auto"/>
                    <w:bottom w:val="none" w:sz="0" w:space="0" w:color="auto"/>
                    <w:right w:val="none" w:sz="0" w:space="0" w:color="auto"/>
                  </w:divBdr>
                </w:div>
                <w:div w:id="1900170364">
                  <w:marLeft w:val="0"/>
                  <w:marRight w:val="0"/>
                  <w:marTop w:val="0"/>
                  <w:marBottom w:val="0"/>
                  <w:divBdr>
                    <w:top w:val="none" w:sz="0" w:space="0" w:color="auto"/>
                    <w:left w:val="none" w:sz="0" w:space="0" w:color="auto"/>
                    <w:bottom w:val="none" w:sz="0" w:space="0" w:color="auto"/>
                    <w:right w:val="none" w:sz="0" w:space="0" w:color="auto"/>
                  </w:divBdr>
                </w:div>
                <w:div w:id="1940403557">
                  <w:marLeft w:val="0"/>
                  <w:marRight w:val="0"/>
                  <w:marTop w:val="0"/>
                  <w:marBottom w:val="0"/>
                  <w:divBdr>
                    <w:top w:val="none" w:sz="0" w:space="0" w:color="auto"/>
                    <w:left w:val="none" w:sz="0" w:space="0" w:color="auto"/>
                    <w:bottom w:val="none" w:sz="0" w:space="0" w:color="auto"/>
                    <w:right w:val="none" w:sz="0" w:space="0" w:color="auto"/>
                  </w:divBdr>
                </w:div>
              </w:divsChild>
            </w:div>
            <w:div w:id="2083015619">
              <w:marLeft w:val="0"/>
              <w:marRight w:val="0"/>
              <w:marTop w:val="0"/>
              <w:marBottom w:val="0"/>
              <w:divBdr>
                <w:top w:val="none" w:sz="0" w:space="0" w:color="auto"/>
                <w:left w:val="none" w:sz="0" w:space="0" w:color="auto"/>
                <w:bottom w:val="none" w:sz="0" w:space="0" w:color="auto"/>
                <w:right w:val="none" w:sz="0" w:space="0" w:color="auto"/>
              </w:divBdr>
            </w:div>
            <w:div w:id="21117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13595">
      <w:bodyDiv w:val="1"/>
      <w:marLeft w:val="0"/>
      <w:marRight w:val="0"/>
      <w:marTop w:val="0"/>
      <w:marBottom w:val="0"/>
      <w:divBdr>
        <w:top w:val="none" w:sz="0" w:space="0" w:color="auto"/>
        <w:left w:val="none" w:sz="0" w:space="0" w:color="auto"/>
        <w:bottom w:val="none" w:sz="0" w:space="0" w:color="auto"/>
        <w:right w:val="none" w:sz="0" w:space="0" w:color="auto"/>
      </w:divBdr>
    </w:div>
    <w:div w:id="1912622336">
      <w:bodyDiv w:val="1"/>
      <w:marLeft w:val="0"/>
      <w:marRight w:val="0"/>
      <w:marTop w:val="0"/>
      <w:marBottom w:val="0"/>
      <w:divBdr>
        <w:top w:val="none" w:sz="0" w:space="0" w:color="auto"/>
        <w:left w:val="none" w:sz="0" w:space="0" w:color="auto"/>
        <w:bottom w:val="none" w:sz="0" w:space="0" w:color="auto"/>
        <w:right w:val="none" w:sz="0" w:space="0" w:color="auto"/>
      </w:divBdr>
    </w:div>
    <w:div w:id="1913389619">
      <w:bodyDiv w:val="1"/>
      <w:marLeft w:val="0"/>
      <w:marRight w:val="0"/>
      <w:marTop w:val="0"/>
      <w:marBottom w:val="0"/>
      <w:divBdr>
        <w:top w:val="none" w:sz="0" w:space="0" w:color="auto"/>
        <w:left w:val="none" w:sz="0" w:space="0" w:color="auto"/>
        <w:bottom w:val="none" w:sz="0" w:space="0" w:color="auto"/>
        <w:right w:val="none" w:sz="0" w:space="0" w:color="auto"/>
      </w:divBdr>
    </w:div>
    <w:div w:id="1953173348">
      <w:bodyDiv w:val="1"/>
      <w:marLeft w:val="0"/>
      <w:marRight w:val="0"/>
      <w:marTop w:val="0"/>
      <w:marBottom w:val="0"/>
      <w:divBdr>
        <w:top w:val="none" w:sz="0" w:space="0" w:color="auto"/>
        <w:left w:val="none" w:sz="0" w:space="0" w:color="auto"/>
        <w:bottom w:val="none" w:sz="0" w:space="0" w:color="auto"/>
        <w:right w:val="none" w:sz="0" w:space="0" w:color="auto"/>
      </w:divBdr>
    </w:div>
    <w:div w:id="1985505871">
      <w:bodyDiv w:val="1"/>
      <w:marLeft w:val="0"/>
      <w:marRight w:val="0"/>
      <w:marTop w:val="0"/>
      <w:marBottom w:val="0"/>
      <w:divBdr>
        <w:top w:val="none" w:sz="0" w:space="0" w:color="auto"/>
        <w:left w:val="none" w:sz="0" w:space="0" w:color="auto"/>
        <w:bottom w:val="none" w:sz="0" w:space="0" w:color="auto"/>
        <w:right w:val="none" w:sz="0" w:space="0" w:color="auto"/>
      </w:divBdr>
    </w:div>
    <w:div w:id="2115248335">
      <w:bodyDiv w:val="1"/>
      <w:marLeft w:val="0"/>
      <w:marRight w:val="0"/>
      <w:marTop w:val="0"/>
      <w:marBottom w:val="0"/>
      <w:divBdr>
        <w:top w:val="none" w:sz="0" w:space="0" w:color="auto"/>
        <w:left w:val="none" w:sz="0" w:space="0" w:color="auto"/>
        <w:bottom w:val="none" w:sz="0" w:space="0" w:color="auto"/>
        <w:right w:val="none" w:sz="0" w:space="0" w:color="auto"/>
      </w:divBdr>
      <w:divsChild>
        <w:div w:id="1518546060">
          <w:marLeft w:val="0"/>
          <w:marRight w:val="0"/>
          <w:marTop w:val="0"/>
          <w:marBottom w:val="0"/>
          <w:divBdr>
            <w:top w:val="none" w:sz="0" w:space="0" w:color="auto"/>
            <w:left w:val="none" w:sz="0" w:space="0" w:color="auto"/>
            <w:bottom w:val="none" w:sz="0" w:space="0" w:color="auto"/>
            <w:right w:val="none" w:sz="0" w:space="0" w:color="auto"/>
          </w:divBdr>
          <w:divsChild>
            <w:div w:id="277179475">
              <w:marLeft w:val="0"/>
              <w:marRight w:val="0"/>
              <w:marTop w:val="0"/>
              <w:marBottom w:val="0"/>
              <w:divBdr>
                <w:top w:val="none" w:sz="0" w:space="0" w:color="auto"/>
                <w:left w:val="none" w:sz="0" w:space="0" w:color="auto"/>
                <w:bottom w:val="none" w:sz="0" w:space="0" w:color="auto"/>
                <w:right w:val="none" w:sz="0" w:space="0" w:color="auto"/>
              </w:divBdr>
            </w:div>
          </w:divsChild>
        </w:div>
        <w:div w:id="1852793450">
          <w:marLeft w:val="0"/>
          <w:marRight w:val="0"/>
          <w:marTop w:val="0"/>
          <w:marBottom w:val="0"/>
          <w:divBdr>
            <w:top w:val="none" w:sz="0" w:space="0" w:color="auto"/>
            <w:left w:val="none" w:sz="0" w:space="0" w:color="auto"/>
            <w:bottom w:val="none" w:sz="0" w:space="0" w:color="auto"/>
            <w:right w:val="none" w:sz="0" w:space="0" w:color="auto"/>
          </w:divBdr>
          <w:divsChild>
            <w:div w:id="13603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MT@uts.edu.au"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1.xml"/><Relationship Id="rId21" Type="http://schemas.openxmlformats.org/officeDocument/2006/relationships/image" Target="media/image9.png"/><Relationship Id="rId34" Type="http://schemas.openxmlformats.org/officeDocument/2006/relationships/hyperlink" Target="https://www.acma.gov.au/publications/2022-06/report/investigation-and-remedial-direction-lycamobile-pty-ltd"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2.png"/><Relationship Id="rId32" Type="http://schemas.openxmlformats.org/officeDocument/2006/relationships/hyperlink" Target="https://www.acma.gov.au/sites/default/files/2022-06/SpinTel%20Pty%20Ltd%20-%20Investigation%20Report%20-%20June%202022.pdf" TargetMode="External"/><Relationship Id="rId37" Type="http://schemas.openxmlformats.org/officeDocument/2006/relationships/hyperlink" Target="https://jade.io/article/937474" TargetMode="External"/><Relationship Id="rId40" Type="http://schemas.openxmlformats.org/officeDocument/2006/relationships/image" Target="media/image20.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jade.io/article/319723" TargetMode="Externa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hyperlink" Target="https://www.acma.gov.au/publications/2023-04/report/investigation-report-and-formal-warning-telstra-corporation-limit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https://jade.io/article/289593"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mt@uts.edu.a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www.acma.gov.au/publications/2022-03/report/investigation-report-and-remedial-direction-optus-internet-pty-limited" TargetMode="External"/><Relationship Id="rId38" Type="http://schemas.openxmlformats.org/officeDocument/2006/relationships/image" Target="media/image19.png"/></Relationships>
</file>

<file path=word/_rels/footnotes.xml.rels><?xml version="1.0" encoding="UTF-8" standalone="yes"?>
<Relationships xmlns="http://schemas.openxmlformats.org/package/2006/relationships"><Relationship Id="rId2" Type="http://schemas.openxmlformats.org/officeDocument/2006/relationships/hyperlink" Target="https://www.acma.gov.au/sites/default/files/2022-08/Infringement%20Notice%20-%20Circles.PDF" TargetMode="External"/><Relationship Id="rId1" Type="http://schemas.openxmlformats.org/officeDocument/2006/relationships/hyperlink" Target="https://www.acma.gov.au/compliance-and-enforcement-policy"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0000FF"/>
      </a:accent1>
      <a:accent2>
        <a:srgbClr val="FF0000"/>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9ffdc71-41f6-47e3-86d1-9b214c81e4a1">
      <UserInfo>
        <DisplayName>Fiona Porteous</DisplayName>
        <AccountId>30</AccountId>
        <AccountType/>
      </UserInfo>
      <UserInfo>
        <DisplayName>SharingLinks.62c94ff4-3ea2-45cc-a030-a801434cdb13.OrganizationEdit.3a912d95-9807-49a6-8e45-5c02c62306bf</DisplayName>
        <AccountId>924</AccountId>
        <AccountType/>
      </UserInfo>
      <UserInfo>
        <DisplayName>ACCAN Info</DisplayName>
        <AccountId>19</AccountId>
        <AccountType/>
      </UserInfo>
      <UserInfo>
        <DisplayName>ACCAN Owners</DisplayName>
        <AccountId>6</AccountId>
        <AccountType/>
      </UserInfo>
      <UserInfo>
        <DisplayName>Laetitia Kwan</DisplayName>
        <AccountId>3223</AccountId>
        <AccountType/>
      </UserInfo>
    </SharedWithUsers>
    <_activity xmlns="ad34b615-a1f3-473b-bd14-ee9eb9f937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81EB1212B61541A03752A3AD6A007B" ma:contentTypeVersion="18" ma:contentTypeDescription="Create a new document." ma:contentTypeScope="" ma:versionID="a804066658ced1ba27d3bc43d780e421">
  <xsd:schema xmlns:xsd="http://www.w3.org/2001/XMLSchema" xmlns:xs="http://www.w3.org/2001/XMLSchema" xmlns:p="http://schemas.microsoft.com/office/2006/metadata/properties" xmlns:ns3="ad34b615-a1f3-473b-bd14-ee9eb9f93703" xmlns:ns4="c9ffdc71-41f6-47e3-86d1-9b214c81e4a1" targetNamespace="http://schemas.microsoft.com/office/2006/metadata/properties" ma:root="true" ma:fieldsID="b98ee39bb45deb86f35c55c9bf986f3c" ns3:_="" ns4:_="">
    <xsd:import namespace="ad34b615-a1f3-473b-bd14-ee9eb9f93703"/>
    <xsd:import namespace="c9ffdc71-41f6-47e3-86d1-9b214c81e4a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4b615-a1f3-473b-bd14-ee9eb9f937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ffdc71-41f6-47e3-86d1-9b214c81e4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97BA4-6F32-41A9-827D-26ADDCE8F199}">
  <ds:schemaRefs>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http://purl.org/dc/elements/1.1/"/>
    <ds:schemaRef ds:uri="c9ffdc71-41f6-47e3-86d1-9b214c81e4a1"/>
    <ds:schemaRef ds:uri="http://schemas.microsoft.com/office/2006/documentManagement/types"/>
    <ds:schemaRef ds:uri="ad34b615-a1f3-473b-bd14-ee9eb9f93703"/>
    <ds:schemaRef ds:uri="http://purl.org/dc/dcmitype/"/>
    <ds:schemaRef ds:uri="http://purl.org/dc/terms/"/>
  </ds:schemaRefs>
</ds:datastoreItem>
</file>

<file path=customXml/itemProps2.xml><?xml version="1.0" encoding="utf-8"?>
<ds:datastoreItem xmlns:ds="http://schemas.openxmlformats.org/officeDocument/2006/customXml" ds:itemID="{2A970D15-69E0-431D-8CCF-57017ACCAFA2}">
  <ds:schemaRefs>
    <ds:schemaRef ds:uri="http://schemas.microsoft.com/sharepoint/v3/contenttype/forms"/>
  </ds:schemaRefs>
</ds:datastoreItem>
</file>

<file path=customXml/itemProps3.xml><?xml version="1.0" encoding="utf-8"?>
<ds:datastoreItem xmlns:ds="http://schemas.openxmlformats.org/officeDocument/2006/customXml" ds:itemID="{13F84BD3-6CCD-41AE-B8EA-429B2DA81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4b615-a1f3-473b-bd14-ee9eb9f93703"/>
    <ds:schemaRef ds:uri="c9ffdc71-41f6-47e3-86d1-9b214c81e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72EA8B-5B67-4A3C-91E6-5D94F5245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31208</Words>
  <Characters>177888</Characters>
  <Application>Microsoft Office Word</Application>
  <DocSecurity>4</DocSecurity>
  <Lines>1482</Lines>
  <Paragraphs>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Lee</dc:creator>
  <cp:keywords/>
  <dc:description/>
  <cp:lastModifiedBy>Rosa Alice</cp:lastModifiedBy>
  <cp:revision>2</cp:revision>
  <cp:lastPrinted>2024-03-18T23:31:00Z</cp:lastPrinted>
  <dcterms:created xsi:type="dcterms:W3CDTF">2024-04-09T00:33:00Z</dcterms:created>
  <dcterms:modified xsi:type="dcterms:W3CDTF">2024-04-09T00:33:00Z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0x010100C181EB1212B61541A03752A3AD6A007B</vt:lpwstr>
  </property>
  <property fmtid="{D5CDD505-2E9C-101B-9397-08002B2CF9AE}" pid="3" name="MediaServiceImageTags">
    <vt:lpwstr/>
  </property>
  <property fmtid="{D5CDD505-2E9C-101B-9397-08002B2CF9AE}" pid="4" name="MSIP_Label_51a6c3db-1667-4f49-995a-8b9973972958_Enabled">
    <vt:lpwstr>true</vt:lpwstr>
  </property>
  <property fmtid="{D5CDD505-2E9C-101B-9397-08002B2CF9AE}" pid="5" name="MSIP_Label_51a6c3db-1667-4f49-995a-8b9973972958_SetDate">
    <vt:lpwstr>2024-02-02T01:49:38Z</vt:lpwstr>
  </property>
  <property fmtid="{D5CDD505-2E9C-101B-9397-08002B2CF9AE}" pid="6" name="MSIP_Label_51a6c3db-1667-4f49-995a-8b9973972958_Method">
    <vt:lpwstr>Privileged</vt:lpwstr>
  </property>
  <property fmtid="{D5CDD505-2E9C-101B-9397-08002B2CF9AE}" pid="7" name="MSIP_Label_51a6c3db-1667-4f49-995a-8b9973972958_Name">
    <vt:lpwstr>UTS-Internal</vt:lpwstr>
  </property>
  <property fmtid="{D5CDD505-2E9C-101B-9397-08002B2CF9AE}" pid="8" name="MSIP_Label_51a6c3db-1667-4f49-995a-8b9973972958_SiteId">
    <vt:lpwstr>e8911c26-cf9f-4a9c-878e-527807be8791</vt:lpwstr>
  </property>
  <property fmtid="{D5CDD505-2E9C-101B-9397-08002B2CF9AE}" pid="9" name="MSIP_Label_51a6c3db-1667-4f49-995a-8b9973972958_ActionId">
    <vt:lpwstr>b64c58ee-58da-4612-9053-d6a7a33be317</vt:lpwstr>
  </property>
  <property fmtid="{D5CDD505-2E9C-101B-9397-08002B2CF9AE}" pid="10" name="MSIP_Label_51a6c3db-1667-4f49-995a-8b9973972958_ContentBits">
    <vt:lpwstr>0</vt:lpwstr>
  </property>
</Properties>
</file>